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rPr>
      </w:pPr>
      <w:r w:rsidDel="00000000" w:rsidR="00000000" w:rsidRPr="00000000">
        <w:rPr>
          <w:rFonts w:ascii="Arial" w:cs="Arial" w:eastAsia="Arial" w:hAnsi="Arial"/>
          <w:b w:val="1"/>
          <w:rtl w:val="0"/>
        </w:rPr>
        <w:t xml:space="preserve">Boletín de prensa </w:t>
      </w:r>
    </w:p>
    <w:p w:rsidR="00000000" w:rsidDel="00000000" w:rsidP="00000000" w:rsidRDefault="00000000" w:rsidRPr="00000000" w14:paraId="00000001">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2">
      <w:pPr>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Fortalece Medistik su posición como líder logístico en el sector farmacéutico</w:t>
      </w:r>
    </w:p>
    <w:p w:rsidR="00000000" w:rsidDel="00000000" w:rsidP="00000000" w:rsidRDefault="00000000" w:rsidRPr="00000000" w14:paraId="00000003">
      <w:pPr>
        <w:numPr>
          <w:ilvl w:val="0"/>
          <w:numId w:val="1"/>
        </w:numPr>
        <w:spacing w:after="0" w:lineRule="auto"/>
        <w:ind w:left="720" w:hanging="360"/>
        <w:contextualSpacing w:val="0"/>
        <w:jc w:val="both"/>
        <w:rPr>
          <w:i w:val="1"/>
          <w:color w:val="000000"/>
          <w:sz w:val="20"/>
          <w:szCs w:val="20"/>
        </w:rPr>
      </w:pPr>
      <w:r w:rsidDel="00000000" w:rsidR="00000000" w:rsidRPr="00000000">
        <w:rPr>
          <w:rFonts w:ascii="Arial" w:cs="Arial" w:eastAsia="Arial" w:hAnsi="Arial"/>
          <w:i w:val="1"/>
          <w:sz w:val="20"/>
          <w:szCs w:val="20"/>
          <w:rtl w:val="0"/>
        </w:rPr>
        <w:t xml:space="preserve">De acuerdo a la Secretaría de Economía, la industria farmacéutica aporta el 0.5% al PIB nacional. </w:t>
      </w: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0"/>
        <w:jc w:val="both"/>
        <w:rPr>
          <w:i w:val="1"/>
          <w:color w:val="000000"/>
          <w:sz w:val="20"/>
          <w:szCs w:val="20"/>
        </w:rPr>
      </w:pPr>
      <w:r w:rsidDel="00000000" w:rsidR="00000000" w:rsidRPr="00000000">
        <w:rPr>
          <w:rFonts w:ascii="Arial" w:cs="Arial" w:eastAsia="Arial" w:hAnsi="Arial"/>
          <w:i w:val="1"/>
          <w:color w:val="000000"/>
          <w:sz w:val="20"/>
          <w:szCs w:val="20"/>
          <w:rtl w:val="0"/>
        </w:rPr>
        <w:t xml:space="preserve">A través de la consultoría de Logística de México y tecnología de Manhattan Associates, Medistik busca una </w:t>
      </w:r>
      <w:r w:rsidDel="00000000" w:rsidR="00000000" w:rsidRPr="00000000">
        <w:rPr>
          <w:rFonts w:ascii="Arial" w:cs="Arial" w:eastAsia="Arial" w:hAnsi="Arial"/>
          <w:i w:val="1"/>
          <w:sz w:val="20"/>
          <w:szCs w:val="20"/>
          <w:rtl w:val="0"/>
        </w:rPr>
        <w:t xml:space="preserve">integración logística</w:t>
      </w:r>
      <w:r w:rsidDel="00000000" w:rsidR="00000000" w:rsidRPr="00000000">
        <w:rPr>
          <w:rFonts w:ascii="Arial" w:cs="Arial" w:eastAsia="Arial" w:hAnsi="Arial"/>
          <w:i w:val="1"/>
          <w:color w:val="000000"/>
          <w:sz w:val="20"/>
          <w:szCs w:val="20"/>
          <w:rtl w:val="0"/>
        </w:rPr>
        <w:t xml:space="preserve"> a nivel mundial.</w:t>
      </w: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rPr>
      </w:pPr>
      <w:r w:rsidDel="00000000" w:rsidR="00000000" w:rsidRPr="00000000">
        <w:rPr>
          <w:rFonts w:ascii="Arial" w:cs="Arial" w:eastAsia="Arial" w:hAnsi="Arial"/>
          <w:b w:val="1"/>
          <w:i w:val="1"/>
          <w:rtl w:val="0"/>
        </w:rPr>
        <w:t xml:space="preserve">Ciudad de México 19 de Julio de 2018</w:t>
      </w:r>
      <w:r w:rsidDel="00000000" w:rsidR="00000000" w:rsidRPr="00000000">
        <w:rPr>
          <w:rFonts w:ascii="Arial" w:cs="Arial" w:eastAsia="Arial" w:hAnsi="Arial"/>
          <w:rtl w:val="0"/>
        </w:rPr>
        <w:t xml:space="preserve">. --- Con más de 20 años de experiencia como especialista en soluciones logísticas para diversas áreas en la industria farmacéutica, Medistik dio un paso sólido en su sector con la implementación de tecnología de punta en sus cinco Centros de Distribución, los cuales resguardan anualmente más de 30 millones de dosis de medicinas y dispositivos médicos con 55 mil SKU´s. </w:t>
      </w:r>
    </w:p>
    <w:p w:rsidR="00000000" w:rsidDel="00000000" w:rsidP="00000000" w:rsidRDefault="00000000" w:rsidRPr="00000000" w14:paraId="00000006">
      <w:pPr>
        <w:contextualSpacing w:val="0"/>
        <w:jc w:val="both"/>
        <w:rPr>
          <w:rFonts w:ascii="Arial" w:cs="Arial" w:eastAsia="Arial" w:hAnsi="Arial"/>
        </w:rPr>
      </w:pPr>
      <w:r w:rsidDel="00000000" w:rsidR="00000000" w:rsidRPr="00000000">
        <w:rPr>
          <w:rFonts w:ascii="Arial" w:cs="Arial" w:eastAsia="Arial" w:hAnsi="Arial"/>
          <w:rtl w:val="0"/>
        </w:rPr>
        <w:t xml:space="preserve">Los crecientes retos de una industria que aporta cerca del 2.7% del PIB manufacturero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y el 0.5 del PIB nacional</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aunado a las normas farmacéuticas y reducción de costos para la cadena de clientes, exigió a la empresa mexicana a incrementar en un 20% sus procesos de reabastecimiento con el apoyo de la consultora Logística De México (LDM), y del líder tecnológico en cadena de suministro y comercio omnicanal, Manhattan Associates. </w:t>
      </w:r>
    </w:p>
    <w:p w:rsidR="00000000" w:rsidDel="00000000" w:rsidP="00000000" w:rsidRDefault="00000000" w:rsidRPr="00000000" w14:paraId="00000007">
      <w:pPr>
        <w:contextualSpacing w:val="0"/>
        <w:jc w:val="both"/>
        <w:rPr>
          <w:rFonts w:ascii="Arial" w:cs="Arial" w:eastAsia="Arial" w:hAnsi="Arial"/>
        </w:rPr>
      </w:pPr>
      <w:r w:rsidDel="00000000" w:rsidR="00000000" w:rsidRPr="00000000">
        <w:rPr>
          <w:rFonts w:ascii="Arial" w:cs="Arial" w:eastAsia="Arial" w:hAnsi="Arial"/>
          <w:rtl w:val="0"/>
        </w:rPr>
        <w:t xml:space="preserve">“La industria farmacéutica y de dispositivos médicos evoluciona y demanda mayor visibilidad, flexibilidad, agilidad y cumplimiento de las normas y requerimientos de calidad y control para garantizar la satisfacción de un mercado tan especializado como lo es de la salud. El uso de nuevas tecnologías en logística y cadena de suministro nos permiten anticiparnos a las necesidades del sector y proveer a nuestros clientes soluciones de última generación que les permitan crear un diferenciador en el mercado que genere valor para los pacientes”, indicó Luis Felipe Temores, CTO &amp; Head of Logistics Solutions de Medistik.  </w:t>
      </w:r>
    </w:p>
    <w:p w:rsidR="00000000" w:rsidDel="00000000" w:rsidP="00000000" w:rsidRDefault="00000000" w:rsidRPr="00000000" w14:paraId="00000008">
      <w:pPr>
        <w:contextualSpacing w:val="0"/>
        <w:jc w:val="both"/>
        <w:rPr>
          <w:rFonts w:ascii="Arial" w:cs="Arial" w:eastAsia="Arial" w:hAnsi="Arial"/>
        </w:rPr>
      </w:pPr>
      <w:r w:rsidDel="00000000" w:rsidR="00000000" w:rsidRPr="00000000">
        <w:rPr>
          <w:rFonts w:ascii="Arial" w:cs="Arial" w:eastAsia="Arial" w:hAnsi="Arial"/>
          <w:rtl w:val="0"/>
        </w:rPr>
        <w:t xml:space="preserve">Bajo la asesoría de Logística de México, Medistik pudo implementar la tecnología de Manhattan Associates para lograr una mejor productividad en sus almacenes, la utilización del espacio, así como el compromiso de sus empleados, aprovechando al máximo la experiencia de ambos para aumentar su capacidad operativa en toda la cadena de valor. </w:t>
      </w:r>
    </w:p>
    <w:p w:rsidR="00000000" w:rsidDel="00000000" w:rsidP="00000000" w:rsidRDefault="00000000" w:rsidRPr="00000000" w14:paraId="0000000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A">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C">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D">
      <w:pPr>
        <w:contextualSpacing w:val="0"/>
        <w:jc w:val="both"/>
        <w:rPr>
          <w:rFonts w:ascii="Arial" w:cs="Arial" w:eastAsia="Arial" w:hAnsi="Arial"/>
        </w:rPr>
      </w:pPr>
      <w:r w:rsidDel="00000000" w:rsidR="00000000" w:rsidRPr="00000000">
        <w:rPr>
          <w:rFonts w:ascii="Arial" w:cs="Arial" w:eastAsia="Arial" w:hAnsi="Arial"/>
          <w:rtl w:val="0"/>
        </w:rPr>
        <w:t xml:space="preserve">“Lo que estamos viendo es que las empresas que invierten en su logística y en su cadena de suministro, tienen una mayor competitividad, expresada en niveles de servicio al cliente, lo cual favorece su expansión empresarial a nivel nacional e internacional”, expresó José Ambe, director general de Logística de México.</w:t>
      </w:r>
    </w:p>
    <w:p w:rsidR="00000000" w:rsidDel="00000000" w:rsidP="00000000" w:rsidRDefault="00000000" w:rsidRPr="00000000" w14:paraId="0000000E">
      <w:pPr>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Con el reto adicional de incluir sistemas optimizados en la cadena de suministro que tengan la capacidad de reducir los costos de la misma, Medistik fortaleció su red de distribución al establecer una alianza con socios estratégicos para garantizar cobertura a nivel nacional, factor clave que les ayudará para el segmento donde compiten.</w:t>
      </w:r>
    </w:p>
    <w:p w:rsidR="00000000" w:rsidDel="00000000" w:rsidP="00000000" w:rsidRDefault="00000000" w:rsidRPr="00000000" w14:paraId="0000000F">
      <w:pPr>
        <w:contextualSpacing w:val="0"/>
        <w:jc w:val="both"/>
        <w:rPr>
          <w:rFonts w:ascii="Arial" w:cs="Arial" w:eastAsia="Arial" w:hAnsi="Arial"/>
        </w:rPr>
      </w:pPr>
      <w:r w:rsidDel="00000000" w:rsidR="00000000" w:rsidRPr="00000000">
        <w:rPr>
          <w:rFonts w:ascii="Arial" w:cs="Arial" w:eastAsia="Arial" w:hAnsi="Arial"/>
          <w:rtl w:val="0"/>
        </w:rPr>
        <w:t xml:space="preserve">“Con nuestras soluciones buscamos responder a los retos que hay en la industria farmacéutica, optimizando holísticamente todos los recursos y eliminando los tiempos de inactividad para mejorar el proceso logístico. Los clientes de Manhattan Associates disfrutan de una interfaz táctil e intuitiva, combinada con una solución de fácil uso y de comprobada eficiencia que se despliega con rapidez”, comentó Antonio Rivero, director regional de Ventas para Latinoamérica en Manhattan Associates.</w:t>
      </w:r>
    </w:p>
    <w:p w:rsidR="00000000" w:rsidDel="00000000" w:rsidP="00000000" w:rsidRDefault="00000000" w:rsidRPr="00000000" w14:paraId="00000010">
      <w:pPr>
        <w:contextualSpacing w:val="0"/>
        <w:jc w:val="both"/>
        <w:rPr>
          <w:rFonts w:ascii="Arial" w:cs="Arial" w:eastAsia="Arial" w:hAnsi="Arial"/>
        </w:rPr>
      </w:pPr>
      <w:r w:rsidDel="00000000" w:rsidR="00000000" w:rsidRPr="00000000">
        <w:rPr>
          <w:rFonts w:ascii="Arial" w:cs="Arial" w:eastAsia="Arial" w:hAnsi="Arial"/>
          <w:rtl w:val="0"/>
        </w:rPr>
        <w:t xml:space="preserve">Medistik buscará integrar la innovación, sustentabilidad y nuevos procesos tecnológicos a su operación con el fin de alcanzar un crecimiento paulatino con la apertura de más sucursales, explorando su incursión a nivel internacional mediante la inversión en nuevos CEDIS tanto dentro como fuera del país.  </w:t>
      </w:r>
    </w:p>
    <w:p w:rsidR="00000000" w:rsidDel="00000000" w:rsidP="00000000" w:rsidRDefault="00000000" w:rsidRPr="00000000" w14:paraId="0000001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2">
      <w:pPr>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Acerca de Medistik</w:t>
      </w:r>
    </w:p>
    <w:p w:rsidR="00000000" w:rsidDel="00000000" w:rsidP="00000000" w:rsidRDefault="00000000" w:rsidRPr="00000000" w14:paraId="00000013">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Medistik es una empresa mexicana especializada en soluciones logísticas para distintas áreas del sector: Diagnóstico, Clínicas y Hospitales, Farmacéutica, Biotecnología, Refacciones, Instrumentos, Equipos y Dispositivos Médicos, Salud Animal.</w:t>
      </w:r>
    </w:p>
    <w:p w:rsidR="00000000" w:rsidDel="00000000" w:rsidP="00000000" w:rsidRDefault="00000000" w:rsidRPr="00000000" w14:paraId="00000014">
      <w:pPr>
        <w:spacing w:after="0" w:line="24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Medistik está enfocada en Soluciones completas order to cash para la introducción de nuevos productos al mercado mexicano, así como almacenaje y distribución, de todo tipo de productos para el sector salud.</w:t>
      </w:r>
    </w:p>
    <w:p w:rsidR="00000000" w:rsidDel="00000000" w:rsidP="00000000" w:rsidRDefault="00000000" w:rsidRPr="00000000" w14:paraId="00000016">
      <w:pPr>
        <w:contextualSpacing w:val="0"/>
        <w:jc w:val="both"/>
        <w:rPr>
          <w:rFonts w:ascii="Arial" w:cs="Arial" w:eastAsia="Arial" w:hAnsi="Arial"/>
          <w:i w:val="1"/>
          <w:color w:val="0563c1"/>
          <w:sz w:val="20"/>
          <w:szCs w:val="20"/>
          <w:u w:val="single"/>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Arial" w:cs="Arial" w:eastAsia="Arial" w:hAnsi="Arial"/>
          <w:b w:val="1"/>
        </w:rPr>
      </w:pPr>
      <w:r w:rsidDel="00000000" w:rsidR="00000000" w:rsidRPr="00000000">
        <w:rPr>
          <w:rFonts w:ascii="Arial" w:cs="Arial" w:eastAsia="Arial" w:hAnsi="Arial"/>
          <w:b w:val="1"/>
          <w:rtl w:val="0"/>
        </w:rPr>
        <w:t xml:space="preserve">Contacto con prensa</w:t>
      </w:r>
    </w:p>
    <w:p w:rsidR="00000000" w:rsidDel="00000000" w:rsidP="00000000" w:rsidRDefault="00000000" w:rsidRPr="00000000" w14:paraId="00000018">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Emmanuel Zaragoza</w:t>
      </w:r>
    </w:p>
    <w:p w:rsidR="00000000" w:rsidDel="00000000" w:rsidP="00000000" w:rsidRDefault="00000000" w:rsidRPr="00000000" w14:paraId="00000019">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Another Company</w:t>
      </w:r>
    </w:p>
    <w:p w:rsidR="00000000" w:rsidDel="00000000" w:rsidP="00000000" w:rsidRDefault="00000000" w:rsidRPr="00000000" w14:paraId="0000001A">
      <w:pPr>
        <w:spacing w:after="0" w:line="240" w:lineRule="auto"/>
        <w:contextualSpacing w:val="0"/>
        <w:rPr>
          <w:rFonts w:ascii="Arial" w:cs="Arial" w:eastAsia="Arial" w:hAnsi="Arial"/>
        </w:rPr>
      </w:pPr>
      <w:hyperlink r:id="rId7">
        <w:r w:rsidDel="00000000" w:rsidR="00000000" w:rsidRPr="00000000">
          <w:rPr>
            <w:rFonts w:ascii="Arial" w:cs="Arial" w:eastAsia="Arial" w:hAnsi="Arial"/>
            <w:color w:val="1155cc"/>
            <w:u w:val="single"/>
            <w:rtl w:val="0"/>
          </w:rPr>
          <w:t xml:space="preserve">emmanuel.zaragoza@another.co</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B">
      <w:pPr>
        <w:spacing w:after="0" w:line="24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b w:val="1"/>
          <w:sz w:val="20"/>
          <w:szCs w:val="20"/>
        </w:rPr>
      </w:pPr>
      <w:r w:rsidDel="00000000" w:rsidR="00000000" w:rsidRPr="00000000">
        <w:rPr>
          <w:rtl w:val="0"/>
        </w:rPr>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after="0"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Secretaría de Economía, Industria Farmacéutica, situación macroeconómica </w:t>
      </w:r>
      <w:hyperlink r:id="rId1">
        <w:r w:rsidDel="00000000" w:rsidR="00000000" w:rsidRPr="00000000">
          <w:rPr>
            <w:color w:val="0563c1"/>
            <w:sz w:val="18"/>
            <w:szCs w:val="18"/>
            <w:u w:val="single"/>
            <w:rtl w:val="0"/>
          </w:rPr>
          <w:t xml:space="preserve">https://www.gob.mx/cms/uploads/attachment/file/119065/Sector_Industria_Farmaceutica.pdf</w:t>
        </w:r>
      </w:hyperlink>
      <w:r w:rsidDel="00000000" w:rsidR="00000000" w:rsidRPr="00000000">
        <w:rPr>
          <w:rtl w:val="0"/>
        </w:rPr>
      </w:r>
    </w:p>
    <w:p w:rsidR="00000000" w:rsidDel="00000000" w:rsidP="00000000" w:rsidRDefault="00000000" w:rsidRPr="00000000" w14:paraId="00000021">
      <w:pPr>
        <w:spacing w:after="0" w:line="240" w:lineRule="auto"/>
        <w:contextualSpacing w:val="0"/>
        <w:rPr>
          <w:sz w:val="18"/>
          <w:szCs w:val="18"/>
        </w:rPr>
      </w:pPr>
      <w:r w:rsidDel="00000000" w:rsidR="00000000" w:rsidRPr="00000000">
        <w:rPr>
          <w:rtl w:val="0"/>
        </w:rPr>
      </w:r>
    </w:p>
  </w:footnote>
  <w:footnote w:id="1">
    <w:p w:rsidR="00000000" w:rsidDel="00000000" w:rsidP="00000000" w:rsidRDefault="00000000" w:rsidRPr="00000000" w14:paraId="00000022">
      <w:pPr>
        <w:spacing w:after="0"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KPMG, La Industria Farmacéutica Mexicana, Actualidades.</w:t>
      </w:r>
    </w:p>
    <w:p w:rsidR="00000000" w:rsidDel="00000000" w:rsidP="00000000" w:rsidRDefault="00000000" w:rsidRPr="00000000" w14:paraId="00000023">
      <w:pPr>
        <w:spacing w:after="0" w:line="240" w:lineRule="auto"/>
        <w:contextualSpacing w:val="0"/>
        <w:rPr>
          <w:sz w:val="18"/>
          <w:szCs w:val="18"/>
        </w:rPr>
      </w:pPr>
      <w:hyperlink r:id="rId2">
        <w:r w:rsidDel="00000000" w:rsidR="00000000" w:rsidRPr="00000000">
          <w:rPr>
            <w:color w:val="0563c1"/>
            <w:sz w:val="18"/>
            <w:szCs w:val="18"/>
            <w:u w:val="single"/>
            <w:rtl w:val="0"/>
          </w:rPr>
          <w:t xml:space="preserve">https://home.kpmg.com/mx/es/home/tendencias/2017/05/la-industria-farmaceutica-mexicana.html</w:t>
        </w:r>
      </w:hyperlink>
      <w:r w:rsidDel="00000000" w:rsidR="00000000" w:rsidRPr="00000000">
        <w:rPr>
          <w:rtl w:val="0"/>
        </w:rPr>
      </w:r>
    </w:p>
    <w:p w:rsidR="00000000" w:rsidDel="00000000" w:rsidP="00000000" w:rsidRDefault="00000000" w:rsidRPr="00000000" w14:paraId="00000024">
      <w:pPr>
        <w:spacing w:after="0" w:line="240" w:lineRule="auto"/>
        <w:contextualSpacing w:val="0"/>
        <w:rPr>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419"/>
        <w:tab w:val="right" w:pos="8838"/>
      </w:tabs>
      <w:spacing w:after="0" w:line="240" w:lineRule="auto"/>
      <w:contextualSpacing w:val="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-690243</wp:posOffset>
          </wp:positionH>
          <wp:positionV relativeFrom="paragraph">
            <wp:posOffset>-216532</wp:posOffset>
          </wp:positionV>
          <wp:extent cx="2060575" cy="54165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60575" cy="541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100" w:before="100" w:line="240" w:lineRule="auto"/>
    </w:pPr>
    <w:rPr>
      <w:rFonts w:ascii="Times" w:cs="Times" w:eastAsia="Times" w:hAnsi="Times"/>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mmanuel.zaragoza@another.co"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119065/Sector_Industria_Farmaceutica.pdf" TargetMode="External"/><Relationship Id="rId2" Type="http://schemas.openxmlformats.org/officeDocument/2006/relationships/hyperlink" Target="https://home.kpmg.com/mx/es/home/tendencias/2017/05/la-industria-farmaceutica-mexican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