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Logitech impulsa la flexibilidad laboral con la semana #</w:t>
      </w:r>
      <w:r w:rsidDel="00000000" w:rsidR="00000000" w:rsidRPr="00000000">
        <w:rPr>
          <w:b w:val="1"/>
          <w:i w:val="1"/>
          <w:color w:val="222222"/>
          <w:sz w:val="28"/>
          <w:szCs w:val="28"/>
          <w:rtl w:val="0"/>
        </w:rPr>
        <w:t xml:space="preserve">WorkFromAnywhere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Logitech impulsará esta iniciativa global del 7 al 11 de octubre.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color w:val="222222"/>
          <w:u w:val="none"/>
        </w:rPr>
      </w:pPr>
      <w:r w:rsidDel="00000000" w:rsidR="00000000" w:rsidRPr="00000000">
        <w:rPr>
          <w:i w:val="1"/>
          <w:color w:val="222222"/>
          <w:rtl w:val="0"/>
        </w:rPr>
        <w:t xml:space="preserve">Los colaboradores pueden inscribir su empresa para unirse a la campaña y donar a la Fundación Nacional Forestal el Estados Unidos.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left"/>
        <w:rPr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Es bien sabido que las empresas invierten principalmente en tres cosas: sueldos para empleados, renta de espacios de trabajo y </w:t>
      </w:r>
      <w:r w:rsidDel="00000000" w:rsidR="00000000" w:rsidRPr="00000000">
        <w:rPr>
          <w:rtl w:val="0"/>
        </w:rPr>
        <w:t xml:space="preserve">tecnología para el desempeño de las labores diarias. </w:t>
      </w:r>
      <w:r w:rsidDel="00000000" w:rsidR="00000000" w:rsidRPr="00000000">
        <w:rPr>
          <w:rtl w:val="0"/>
        </w:rPr>
        <w:t xml:space="preserve">Debido a esto, cada vez hay más personas trabajando desde casa, una cafetería o incluso en el auto durante el trayecto a la oficina.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Por esta razón, Logitech impulsará del 7 al 11 de octubre la semana </w:t>
      </w:r>
      <w:r w:rsidDel="00000000" w:rsidR="00000000" w:rsidRPr="00000000">
        <w:rPr>
          <w:b w:val="1"/>
          <w:i w:val="1"/>
          <w:rtl w:val="0"/>
        </w:rPr>
        <w:t xml:space="preserve">#WorkFromAnywhere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que busca animar a más de 50 empresas de todo el mundo a implementar el </w:t>
      </w:r>
      <w:r w:rsidDel="00000000" w:rsidR="00000000" w:rsidRPr="00000000">
        <w:rPr>
          <w:i w:val="1"/>
          <w:rtl w:val="0"/>
        </w:rPr>
        <w:t xml:space="preserve">home office</w:t>
      </w:r>
      <w:r w:rsidDel="00000000" w:rsidR="00000000" w:rsidRPr="00000000">
        <w:rPr>
          <w:rtl w:val="0"/>
        </w:rPr>
        <w:t xml:space="preserve">. De igual forma, la marca realizará u</w:t>
      </w:r>
      <w:r w:rsidDel="00000000" w:rsidR="00000000" w:rsidRPr="00000000">
        <w:rPr>
          <w:rtl w:val="0"/>
        </w:rPr>
        <w:t xml:space="preserve">na donación a nombre de todas las empresas que participen en esta campaña</w:t>
      </w:r>
      <w:r w:rsidDel="00000000" w:rsidR="00000000" w:rsidRPr="00000000">
        <w:rPr>
          <w:rtl w:val="0"/>
        </w:rPr>
        <w:t xml:space="preserve"> para la </w:t>
      </w:r>
      <w:r w:rsidDel="00000000" w:rsidR="00000000" w:rsidRPr="00000000">
        <w:rPr>
          <w:rtl w:val="0"/>
        </w:rPr>
        <w:t xml:space="preserve">Fundación Nacional Forestal</w:t>
      </w:r>
      <w:r w:rsidDel="00000000" w:rsidR="00000000" w:rsidRPr="00000000">
        <w:rPr>
          <w:rtl w:val="0"/>
        </w:rPr>
        <w:t xml:space="preserve"> en Estados Unidos, dedicada a promover la protección de los bosques y pastizales de más de 193 millones de acres.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Se estima que para el 2027 la mayoría de los empleados trabajarán de manera remota, según datos de Upwork, </w:t>
      </w:r>
      <w:r w:rsidDel="00000000" w:rsidR="00000000" w:rsidRPr="00000000">
        <w:rPr>
          <w:rtl w:val="0"/>
        </w:rPr>
        <w:t xml:space="preserve">una de las plataformas </w:t>
      </w:r>
      <w:r w:rsidDel="00000000" w:rsidR="00000000" w:rsidRPr="00000000">
        <w:rPr>
          <w:rtl w:val="0"/>
        </w:rPr>
        <w:t xml:space="preserve">más utilizadas por freelancers</w:t>
      </w:r>
      <w:r w:rsidDel="00000000" w:rsidR="00000000" w:rsidRPr="00000000">
        <w:rPr>
          <w:rtl w:val="0"/>
        </w:rPr>
        <w:t xml:space="preserve">. Asimismo, la Confederación Patronal de la República Mexicana (Coparmex) señala que la productividad se incrementa hasta el 28% al implementar el </w:t>
      </w:r>
      <w:r w:rsidDel="00000000" w:rsidR="00000000" w:rsidRPr="00000000">
        <w:rPr>
          <w:i w:val="1"/>
          <w:rtl w:val="0"/>
        </w:rPr>
        <w:t xml:space="preserve">home office</w:t>
      </w:r>
      <w:r w:rsidDel="00000000" w:rsidR="00000000" w:rsidRPr="00000000">
        <w:rPr>
          <w:rtl w:val="0"/>
        </w:rPr>
        <w:t xml:space="preserve">. Trabajar desde casa es bueno, pero es un hecho que podemos trabajar desde casi cualquier lugar.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Una opción para facilitar el trabajo es realizar reuniones en espacios abiertos como Huddle Rooms (lugares para juntas rápidas), con soluciones de videocolaboración a través de plataformas multimodales y servicios cloud fáciles de ejecutar. Esto permite mantener a sus colaboradores conectados y enlazar sus operaciones sin importar dónde se encuentren.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La tecnología es un recurso que puede facilitar la forma de trabajo e iniciativas como </w:t>
      </w:r>
      <w:r w:rsidDel="00000000" w:rsidR="00000000" w:rsidRPr="00000000">
        <w:rPr>
          <w:i w:val="1"/>
          <w:rtl w:val="0"/>
        </w:rPr>
        <w:t xml:space="preserve">#WorkFromAnywhere</w:t>
      </w:r>
      <w:r w:rsidDel="00000000" w:rsidR="00000000" w:rsidRPr="00000000">
        <w:rPr>
          <w:rtl w:val="0"/>
        </w:rPr>
        <w:t xml:space="preserve"> de Logitech, que b</w:t>
      </w:r>
      <w:r w:rsidDel="00000000" w:rsidR="00000000" w:rsidRPr="00000000">
        <w:rPr>
          <w:rtl w:val="0"/>
        </w:rPr>
        <w:t xml:space="preserve">usca darle beneficios a las compañías con nuevas herramientas para re</w:t>
      </w:r>
      <w:r w:rsidDel="00000000" w:rsidR="00000000" w:rsidRPr="00000000">
        <w:rPr>
          <w:rtl w:val="0"/>
        </w:rPr>
        <w:t xml:space="preserve">ducir costos y aumentar la productividad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La ventaja de equipos como éstos es que pueden ser utilizados para cualquier categoría de la compañía como salud, medicina, educación o gubernamental”, comenta Desirée Ortiz, Country Manager de Logitech México.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Fomentar esta forma de trabajo en un futuro traerá grandes beneficios y oportunidades, que incluso se verán reflejados como una ventaja competitiva para cada empresa. ¡Únete a esta celebración y comienza a trabajar desde cualquier lugar!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Logitech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0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Logitech® diseña productos que tienen su lugar en el día a día de las personas,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conectándolas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las experiencias digitales que les interesan. Hace más de 35 años, Logitech® comenzó a conectar personas a través de computadoras y ahora es una empresa multimarca que diseña dispositivos para unir a la gente a través de la música, juegos,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video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computación. Entre las marcas de Logitech® se incluyen </w:t>
      </w:r>
      <w:hyperlink r:id="rId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Logitech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</w:t>
      </w:r>
      <w:hyperlink r:id="rId7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Logitech G</w:t>
        </w:r>
      </w:hyperlink>
      <w:r w:rsidDel="00000000" w:rsidR="00000000" w:rsidRPr="00000000">
        <w:rPr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ASTRO Gaming</w:t>
        </w:r>
      </w:hyperlink>
      <w:hyperlink r:id="rId9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Ultimate Ears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Jaybird</w:t>
        </w:r>
      </w:hyperlink>
      <w:r w:rsidDel="00000000" w:rsidR="00000000" w:rsidRPr="00000000">
        <w:rPr>
          <w:rtl w:val="0"/>
        </w:rPr>
        <w:t xml:space="preserve"> y </w:t>
      </w:r>
      <w:hyperlink r:id="rId1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Blue Microphones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 Fundada en 1981 y con sede en Lausana, Logitech® International es una compañía pública suiza enlistada en el SIX Swiss Exchange (LOGN) y en el Nasdaq Global Select Market (LOGI). Encuentra a Logitech® en </w:t>
      </w:r>
      <w:hyperlink r:id="rId13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www.logitech.com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el </w:t>
      </w:r>
      <w:hyperlink r:id="rId14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blog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de la compañía o </w:t>
      </w:r>
      <w:hyperlink r:id="rId15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@Logitech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hd w:fill="ffffff" w:val="clear"/>
        <w:spacing w:after="200" w:lineRule="auto"/>
        <w:jc w:val="both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Logitech  y otras marcas Logitech  son propiedad registrada de Logitech Europa S.A y/o sus filiales en E.U.A y otros países. Todas las otras marcas son propiedad de sus respectivos dueños. Para más información sobre Logitech y sus productos visite la página web de la compañía </w:t>
      </w:r>
      <w:hyperlink r:id="rId16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www.logitech.com.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1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465700" cy="5667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5700" cy="56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jaybirdsport.com/" TargetMode="External"/><Relationship Id="rId10" Type="http://schemas.openxmlformats.org/officeDocument/2006/relationships/hyperlink" Target="https://www.ultimateears.com/" TargetMode="External"/><Relationship Id="rId13" Type="http://schemas.openxmlformats.org/officeDocument/2006/relationships/hyperlink" Target="http://www.logitech.com/es-mx" TargetMode="External"/><Relationship Id="rId12" Type="http://schemas.openxmlformats.org/officeDocument/2006/relationships/hyperlink" Target="https://www.bluedesign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ltimateears.com/" TargetMode="External"/><Relationship Id="rId15" Type="http://schemas.openxmlformats.org/officeDocument/2006/relationships/hyperlink" Target="http://twitter.com/logitech" TargetMode="External"/><Relationship Id="rId14" Type="http://schemas.openxmlformats.org/officeDocument/2006/relationships/hyperlink" Target="http://blog.logitech.com/" TargetMode="External"/><Relationship Id="rId17" Type="http://schemas.openxmlformats.org/officeDocument/2006/relationships/header" Target="header1.xml"/><Relationship Id="rId16" Type="http://schemas.openxmlformats.org/officeDocument/2006/relationships/hyperlink" Target="http://www.logitech.com.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ogitech.com/" TargetMode="External"/><Relationship Id="rId7" Type="http://schemas.openxmlformats.org/officeDocument/2006/relationships/hyperlink" Target="https://www.logitechg.com/" TargetMode="External"/><Relationship Id="rId8" Type="http://schemas.openxmlformats.org/officeDocument/2006/relationships/hyperlink" Target="https://www.astrogaming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