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7F8E0EE0"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B028E5">
        <w:rPr>
          <w:rFonts w:asciiTheme="minorHAnsi" w:hAnsiTheme="minorHAnsi" w:cstheme="minorHAnsi"/>
          <w:b/>
          <w:bCs/>
          <w:sz w:val="20"/>
          <w:szCs w:val="20"/>
          <w:lang w:val="fr-FR"/>
        </w:rPr>
        <w:t>14 juillet</w:t>
      </w:r>
      <w:r w:rsidR="00C26C45">
        <w:rPr>
          <w:rFonts w:asciiTheme="minorHAnsi" w:hAnsiTheme="minorHAnsi" w:cstheme="minorHAnsi"/>
          <w:b/>
          <w:bCs/>
          <w:sz w:val="20"/>
          <w:szCs w:val="20"/>
          <w:lang w:val="fr-FR"/>
        </w:rPr>
        <w:t xml:space="preserve"> 2022</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Pr="005D2013" w:rsidRDefault="006619E8" w:rsidP="001B2225">
      <w:pPr>
        <w:spacing w:line="271" w:lineRule="auto"/>
        <w:rPr>
          <w:rFonts w:cs="Arial"/>
          <w:b/>
          <w:bCs/>
          <w:sz w:val="20"/>
          <w:szCs w:val="20"/>
          <w:lang w:val="fr-FR"/>
        </w:rPr>
      </w:pPr>
    </w:p>
    <w:p w14:paraId="15F48F6A" w14:textId="77777777" w:rsidR="005D2013" w:rsidRPr="005D2013" w:rsidRDefault="005D2013" w:rsidP="005D2013">
      <w:pPr>
        <w:rPr>
          <w:rFonts w:eastAsia="Calibri" w:cs="Arial"/>
          <w:b/>
          <w:bCs/>
          <w:sz w:val="20"/>
          <w:szCs w:val="20"/>
          <w:lang w:val="fr-FR"/>
        </w:rPr>
      </w:pPr>
      <w:r w:rsidRPr="005D2013">
        <w:rPr>
          <w:rFonts w:eastAsia="Calibri" w:cs="Arial"/>
          <w:b/>
          <w:bCs/>
          <w:sz w:val="20"/>
          <w:szCs w:val="20"/>
          <w:lang w:val="fr-FR"/>
        </w:rPr>
        <w:t xml:space="preserve">Dans le cadre du processus QRP de CEFLEX, les partenaires du groupe de travail mettent </w:t>
      </w:r>
      <w:r w:rsidRPr="005D2013">
        <w:rPr>
          <w:rFonts w:eastAsia="Calibri" w:cs="Arial"/>
          <w:b/>
          <w:bCs/>
          <w:color w:val="000000"/>
          <w:sz w:val="20"/>
          <w:szCs w:val="20"/>
          <w:bdr w:val="none" w:sz="0" w:space="0" w:color="auto" w:frame="1"/>
          <w:shd w:val="clear" w:color="auto" w:fill="FFFFFF"/>
          <w:lang w:val="fr-FR"/>
        </w:rPr>
        <w:t>au point des sachets contrecollés duplex</w:t>
      </w:r>
      <w:r w:rsidRPr="005D2013">
        <w:rPr>
          <w:rFonts w:eastAsia="Calibri" w:cs="Arial"/>
          <w:color w:val="000000"/>
          <w:sz w:val="20"/>
          <w:szCs w:val="20"/>
          <w:lang w:val="fr-FR"/>
        </w:rPr>
        <w:t xml:space="preserve"> </w:t>
      </w:r>
      <w:r w:rsidRPr="005D2013">
        <w:rPr>
          <w:rFonts w:eastAsia="Calibri" w:cs="Arial"/>
          <w:sz w:val="20"/>
          <w:szCs w:val="20"/>
          <w:lang w:val="fr-FR"/>
        </w:rPr>
        <w:t>à</w:t>
      </w:r>
      <w:r w:rsidRPr="005D2013">
        <w:rPr>
          <w:rFonts w:eastAsia="Calibri" w:cs="Arial"/>
          <w:b/>
          <w:bCs/>
          <w:sz w:val="20"/>
          <w:szCs w:val="20"/>
          <w:lang w:val="fr-FR"/>
        </w:rPr>
        <w:t xml:space="preserve"> base de </w:t>
      </w:r>
      <w:proofErr w:type="spellStart"/>
      <w:r w:rsidRPr="005D2013">
        <w:rPr>
          <w:rFonts w:eastAsia="Calibri" w:cs="Arial"/>
          <w:b/>
          <w:bCs/>
          <w:sz w:val="20"/>
          <w:szCs w:val="20"/>
          <w:lang w:val="fr-FR"/>
        </w:rPr>
        <w:t>recyclats</w:t>
      </w:r>
      <w:proofErr w:type="spellEnd"/>
      <w:r w:rsidRPr="005D2013">
        <w:rPr>
          <w:rFonts w:eastAsia="Calibri" w:cs="Arial"/>
          <w:b/>
          <w:bCs/>
          <w:sz w:val="20"/>
          <w:szCs w:val="20"/>
          <w:lang w:val="fr-FR"/>
        </w:rPr>
        <w:t xml:space="preserve"> en polypropylène</w:t>
      </w:r>
    </w:p>
    <w:p w14:paraId="622EA0BC" w14:textId="77777777" w:rsidR="005D2013" w:rsidRPr="005D2013" w:rsidRDefault="005D2013" w:rsidP="005D2013">
      <w:pPr>
        <w:rPr>
          <w:rFonts w:eastAsia="Calibri" w:cs="Arial"/>
          <w:color w:val="000000"/>
          <w:sz w:val="20"/>
          <w:szCs w:val="20"/>
          <w:lang w:val="fr-FR"/>
        </w:rPr>
      </w:pPr>
    </w:p>
    <w:p w14:paraId="31D93439"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r w:rsidRPr="005D2013">
        <w:rPr>
          <w:rFonts w:eastAsia="Calibri" w:cs="Arial"/>
          <w:color w:val="000000"/>
          <w:sz w:val="20"/>
          <w:szCs w:val="20"/>
          <w:lang w:val="fr-FR"/>
        </w:rPr>
        <w:t xml:space="preserve">L’initiative CEFLEX rassemble </w:t>
      </w:r>
      <w:r w:rsidRPr="005D2013">
        <w:rPr>
          <w:rFonts w:eastAsia="Calibri" w:cs="Arial"/>
          <w:color w:val="000000"/>
          <w:sz w:val="20"/>
          <w:szCs w:val="20"/>
          <w:bdr w:val="none" w:sz="0" w:space="0" w:color="auto" w:frame="1"/>
          <w:shd w:val="clear" w:color="auto" w:fill="FFFFFF"/>
          <w:lang w:val="fr-FR"/>
        </w:rPr>
        <w:t>plus de 180 entreprises, associations et organisations européennes représentant l’ensemble de la chaîne de valeur de l’emballage flexible. Pour contribuer à augmenter les taux de recyclage et favoriser le développement de marchés finaux durables, une équipe d’intervenants de CEFLEX a mis au point un processus de recyclage de qualité (QRP).</w:t>
      </w:r>
    </w:p>
    <w:p w14:paraId="74B54612"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p>
    <w:p w14:paraId="694E18CC" w14:textId="34B9765D" w:rsidR="005D2013" w:rsidRPr="005D2013" w:rsidRDefault="005D2013" w:rsidP="005D2013">
      <w:pPr>
        <w:rPr>
          <w:rFonts w:eastAsia="Calibri" w:cs="Arial"/>
          <w:color w:val="000000"/>
          <w:sz w:val="20"/>
          <w:szCs w:val="20"/>
          <w:bdr w:val="none" w:sz="0" w:space="0" w:color="auto" w:frame="1"/>
          <w:shd w:val="clear" w:color="auto" w:fill="FFFFFF"/>
          <w:lang w:val="fr-FR"/>
        </w:rPr>
      </w:pPr>
      <w:r w:rsidRPr="005D2013">
        <w:rPr>
          <w:rFonts w:eastAsia="Calibri" w:cs="Arial"/>
          <w:color w:val="000000"/>
          <w:sz w:val="20"/>
          <w:szCs w:val="20"/>
          <w:bdr w:val="none" w:sz="0" w:space="0" w:color="auto" w:frame="1"/>
          <w:shd w:val="clear" w:color="auto" w:fill="FFFFFF"/>
          <w:lang w:val="fr-FR"/>
        </w:rPr>
        <w:t>L’objectif du projet QRP est de recycler mécaniquement une plus grande proportion de PE</w:t>
      </w:r>
      <w:r w:rsidR="00E204D8">
        <w:rPr>
          <w:rFonts w:eastAsia="Calibri" w:cs="Arial"/>
          <w:color w:val="000000"/>
          <w:sz w:val="20"/>
          <w:szCs w:val="20"/>
          <w:bdr w:val="none" w:sz="0" w:space="0" w:color="auto" w:frame="1"/>
          <w:shd w:val="clear" w:color="auto" w:fill="FFFFFF"/>
          <w:lang w:val="fr-FR"/>
        </w:rPr>
        <w:t xml:space="preserve"> </w:t>
      </w:r>
      <w:r w:rsidR="00E204D8" w:rsidRPr="00E204D8">
        <w:rPr>
          <w:rFonts w:eastAsia="Calibri" w:cs="Arial"/>
          <w:color w:val="000000"/>
          <w:sz w:val="20"/>
          <w:szCs w:val="20"/>
          <w:bdr w:val="none" w:sz="0" w:space="0" w:color="auto" w:frame="1"/>
          <w:shd w:val="clear" w:color="auto" w:fill="FFFFFF"/>
          <w:lang w:val="fr-FR"/>
        </w:rPr>
        <w:t>(</w:t>
      </w:r>
      <w:proofErr w:type="spellStart"/>
      <w:r w:rsidR="00E204D8" w:rsidRPr="00E204D8">
        <w:rPr>
          <w:rFonts w:eastAsia="Calibri" w:cs="Arial"/>
          <w:color w:val="000000"/>
          <w:sz w:val="20"/>
          <w:szCs w:val="20"/>
          <w:bdr w:val="none" w:sz="0" w:space="0" w:color="auto" w:frame="1"/>
          <w:shd w:val="clear" w:color="auto" w:fill="FFFFFF"/>
          <w:lang w:val="fr-FR"/>
        </w:rPr>
        <w:t>polyethylene</w:t>
      </w:r>
      <w:proofErr w:type="spellEnd"/>
      <w:r w:rsidR="00E204D8" w:rsidRPr="00E204D8">
        <w:rPr>
          <w:rFonts w:eastAsia="Calibri" w:cs="Arial"/>
          <w:color w:val="000000"/>
          <w:sz w:val="20"/>
          <w:szCs w:val="20"/>
          <w:bdr w:val="none" w:sz="0" w:space="0" w:color="auto" w:frame="1"/>
          <w:shd w:val="clear" w:color="auto" w:fill="FFFFFF"/>
          <w:lang w:val="fr-FR"/>
        </w:rPr>
        <w:t xml:space="preserve">) </w:t>
      </w:r>
      <w:r w:rsidRPr="005D2013">
        <w:rPr>
          <w:rFonts w:eastAsia="Calibri" w:cs="Arial"/>
          <w:color w:val="000000"/>
          <w:sz w:val="20"/>
          <w:szCs w:val="20"/>
          <w:bdr w:val="none" w:sz="0" w:space="0" w:color="auto" w:frame="1"/>
          <w:shd w:val="clear" w:color="auto" w:fill="FFFFFF"/>
          <w:lang w:val="fr-FR"/>
        </w:rPr>
        <w:t xml:space="preserve"> et de PP</w:t>
      </w:r>
      <w:r w:rsidR="00425C32">
        <w:rPr>
          <w:rFonts w:eastAsia="Calibri" w:cs="Arial"/>
          <w:color w:val="000000"/>
          <w:sz w:val="20"/>
          <w:szCs w:val="20"/>
          <w:bdr w:val="none" w:sz="0" w:space="0" w:color="auto" w:frame="1"/>
          <w:shd w:val="clear" w:color="auto" w:fill="FFFFFF"/>
          <w:lang w:val="fr-FR"/>
        </w:rPr>
        <w:t xml:space="preserve"> </w:t>
      </w:r>
      <w:r w:rsidR="00425C32" w:rsidRPr="00425C32">
        <w:rPr>
          <w:rFonts w:eastAsia="Calibri" w:cs="Arial"/>
          <w:color w:val="000000"/>
          <w:sz w:val="20"/>
          <w:szCs w:val="20"/>
          <w:bdr w:val="none" w:sz="0" w:space="0" w:color="auto" w:frame="1"/>
          <w:shd w:val="clear" w:color="auto" w:fill="FFFFFF"/>
          <w:lang w:val="fr-FR"/>
        </w:rPr>
        <w:t>(</w:t>
      </w:r>
      <w:proofErr w:type="spellStart"/>
      <w:r w:rsidR="00425C32" w:rsidRPr="00425C32">
        <w:rPr>
          <w:rFonts w:eastAsia="Calibri" w:cs="Arial"/>
          <w:color w:val="000000"/>
          <w:sz w:val="20"/>
          <w:szCs w:val="20"/>
          <w:bdr w:val="none" w:sz="0" w:space="0" w:color="auto" w:frame="1"/>
          <w:shd w:val="clear" w:color="auto" w:fill="FFFFFF"/>
          <w:lang w:val="fr-FR"/>
        </w:rPr>
        <w:t>polypropylene</w:t>
      </w:r>
      <w:proofErr w:type="spellEnd"/>
      <w:r w:rsidR="00425C32" w:rsidRPr="00425C32">
        <w:rPr>
          <w:rFonts w:eastAsia="Calibri" w:cs="Arial"/>
          <w:color w:val="000000"/>
          <w:sz w:val="20"/>
          <w:szCs w:val="20"/>
          <w:bdr w:val="none" w:sz="0" w:space="0" w:color="auto" w:frame="1"/>
          <w:shd w:val="clear" w:color="auto" w:fill="FFFFFF"/>
          <w:lang w:val="fr-FR"/>
        </w:rPr>
        <w:t xml:space="preserve">) </w:t>
      </w:r>
      <w:r w:rsidR="00425C32">
        <w:rPr>
          <w:rFonts w:eastAsia="Calibri" w:cs="Arial"/>
          <w:color w:val="000000"/>
          <w:sz w:val="20"/>
          <w:szCs w:val="20"/>
          <w:bdr w:val="none" w:sz="0" w:space="0" w:color="auto" w:frame="1"/>
          <w:shd w:val="clear" w:color="auto" w:fill="FFFFFF"/>
          <w:lang w:val="fr-FR"/>
        </w:rPr>
        <w:t xml:space="preserve"> </w:t>
      </w:r>
      <w:r w:rsidRPr="005D2013">
        <w:rPr>
          <w:rFonts w:eastAsia="Calibri" w:cs="Arial"/>
          <w:color w:val="000000"/>
          <w:sz w:val="20"/>
          <w:szCs w:val="20"/>
          <w:bdr w:val="none" w:sz="0" w:space="0" w:color="auto" w:frame="1"/>
          <w:shd w:val="clear" w:color="auto" w:fill="FFFFFF"/>
          <w:lang w:val="fr-FR"/>
        </w:rPr>
        <w:t>qu’aujourd’hui pour les applications alimentaires sans contact, car les emballages flexibles issus de déchets ménagers ont des taux de recyclage très faibles en Europe. Après cinq essais semi-industriels, l’objectif ultime est aujourd’hui de construire une usine de démonstration à l’échelle industrielle du processus de traitement des déchets QRP, qui sera pleinement opérationnelle d’ici à 2023.</w:t>
      </w:r>
    </w:p>
    <w:p w14:paraId="741A387A"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p>
    <w:p w14:paraId="2CF58F84"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r w:rsidRPr="005D2013">
        <w:rPr>
          <w:rFonts w:eastAsia="Calibri" w:cs="Arial"/>
          <w:color w:val="000000"/>
          <w:sz w:val="20"/>
          <w:szCs w:val="20"/>
          <w:bdr w:val="none" w:sz="0" w:space="0" w:color="auto" w:frame="1"/>
          <w:shd w:val="clear" w:color="auto" w:fill="FFFFFF"/>
          <w:lang w:val="fr-FR"/>
        </w:rPr>
        <w:t xml:space="preserve">Ces essais ont montré que les déchets liés aux emballages flexibles peuvent être triés et recyclés sous forme de fractions transformables en résines pour produire des films destinés à des applications d’emballage non alimentaire, par exemple des produits d’entretien ménagers comme les pastilles pour lave-vaisselle. </w:t>
      </w:r>
    </w:p>
    <w:p w14:paraId="638F83B5"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p>
    <w:p w14:paraId="13BC9EE8"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r w:rsidRPr="005D2013">
        <w:rPr>
          <w:rFonts w:eastAsia="Calibri" w:cs="Arial"/>
          <w:color w:val="000000"/>
          <w:sz w:val="20"/>
          <w:szCs w:val="20"/>
          <w:bdr w:val="none" w:sz="0" w:space="0" w:color="auto" w:frame="1"/>
          <w:shd w:val="clear" w:color="auto" w:fill="FFFFFF"/>
          <w:lang w:val="fr-FR"/>
        </w:rPr>
        <w:t>Mais quelles sont les performances du film pendant et après les processus d’impression et de conversion et jusqu’au produit fini proposé aux consommateurs au point de vente ?</w:t>
      </w:r>
    </w:p>
    <w:p w14:paraId="4628F030"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p>
    <w:p w14:paraId="2B934D56"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r w:rsidRPr="005D2013">
        <w:rPr>
          <w:rFonts w:eastAsia="Calibri" w:cs="Arial"/>
          <w:color w:val="000000"/>
          <w:sz w:val="20"/>
          <w:szCs w:val="20"/>
          <w:bdr w:val="none" w:sz="0" w:space="0" w:color="auto" w:frame="1"/>
          <w:shd w:val="clear" w:color="auto" w:fill="FFFFFF"/>
          <w:lang w:val="fr-FR"/>
        </w:rPr>
        <w:t xml:space="preserve">Afin de tester et de prouver la validité du concept d’utilisation de polymères recyclés pour cet usage, des groupes de travail composés de représentants des entreprises partenaires de CEFLEX ont été formés pour créer une série d’échantillons constitués de </w:t>
      </w:r>
      <w:proofErr w:type="spellStart"/>
      <w:r w:rsidRPr="005D2013">
        <w:rPr>
          <w:rFonts w:eastAsia="Calibri" w:cs="Arial"/>
          <w:color w:val="000000"/>
          <w:sz w:val="20"/>
          <w:szCs w:val="20"/>
          <w:bdr w:val="none" w:sz="0" w:space="0" w:color="auto" w:frame="1"/>
          <w:shd w:val="clear" w:color="auto" w:fill="FFFFFF"/>
          <w:lang w:val="fr-FR"/>
        </w:rPr>
        <w:t>recyclats</w:t>
      </w:r>
      <w:proofErr w:type="spellEnd"/>
      <w:r w:rsidRPr="005D2013">
        <w:rPr>
          <w:rFonts w:eastAsia="Calibri" w:cs="Arial"/>
          <w:color w:val="000000"/>
          <w:sz w:val="20"/>
          <w:szCs w:val="20"/>
          <w:bdr w:val="none" w:sz="0" w:space="0" w:color="auto" w:frame="1"/>
          <w:shd w:val="clear" w:color="auto" w:fill="FFFFFF"/>
          <w:lang w:val="fr-FR"/>
        </w:rPr>
        <w:t xml:space="preserve"> en PE et en PP comportant des illustrations CEFLEX pour différentes applications, par exemple, des sachets stand-up, des étiquettes et des manchons </w:t>
      </w:r>
      <w:proofErr w:type="spellStart"/>
      <w:r w:rsidRPr="005D2013">
        <w:rPr>
          <w:rFonts w:eastAsia="Calibri" w:cs="Arial"/>
          <w:color w:val="000000"/>
          <w:sz w:val="20"/>
          <w:szCs w:val="20"/>
          <w:bdr w:val="none" w:sz="0" w:space="0" w:color="auto" w:frame="1"/>
          <w:shd w:val="clear" w:color="auto" w:fill="FFFFFF"/>
          <w:lang w:val="fr-FR"/>
        </w:rPr>
        <w:t>thermorétractables</w:t>
      </w:r>
      <w:proofErr w:type="spellEnd"/>
      <w:r w:rsidRPr="005D2013">
        <w:rPr>
          <w:rFonts w:eastAsia="Calibri" w:cs="Arial"/>
          <w:color w:val="000000"/>
          <w:sz w:val="20"/>
          <w:szCs w:val="20"/>
          <w:bdr w:val="none" w:sz="0" w:space="0" w:color="auto" w:frame="1"/>
          <w:shd w:val="clear" w:color="auto" w:fill="FFFFFF"/>
          <w:lang w:val="fr-FR"/>
        </w:rPr>
        <w:t>.</w:t>
      </w:r>
    </w:p>
    <w:p w14:paraId="4D0AA54C" w14:textId="77777777" w:rsidR="005D2013" w:rsidRPr="005D2013" w:rsidRDefault="005D2013" w:rsidP="005D2013">
      <w:pPr>
        <w:rPr>
          <w:rFonts w:eastAsia="Calibri" w:cs="Arial"/>
          <w:color w:val="000000"/>
          <w:sz w:val="20"/>
          <w:szCs w:val="20"/>
          <w:bdr w:val="none" w:sz="0" w:space="0" w:color="auto" w:frame="1"/>
          <w:shd w:val="clear" w:color="auto" w:fill="FFFFFF"/>
          <w:lang w:val="fr-FR"/>
        </w:rPr>
      </w:pPr>
    </w:p>
    <w:p w14:paraId="2C743245" w14:textId="77777777" w:rsidR="005D2013" w:rsidRPr="005D2013" w:rsidRDefault="005D2013" w:rsidP="005D2013">
      <w:pPr>
        <w:rPr>
          <w:rFonts w:eastAsia="Calibri" w:cs="Arial"/>
          <w:sz w:val="20"/>
          <w:szCs w:val="20"/>
          <w:lang w:val="fr-FR"/>
        </w:rPr>
      </w:pPr>
      <w:r w:rsidRPr="005D2013">
        <w:rPr>
          <w:rFonts w:eastAsia="Calibri" w:cs="Arial"/>
          <w:sz w:val="20"/>
          <w:szCs w:val="20"/>
          <w:lang w:val="fr-FR"/>
        </w:rPr>
        <w:t xml:space="preserve">BOBST a participé à un essai visant à mettre au point des sachets stand-up CEFLEX. Les étapes d’enduction, de </w:t>
      </w:r>
      <w:proofErr w:type="spellStart"/>
      <w:r w:rsidRPr="005D2013">
        <w:rPr>
          <w:rFonts w:eastAsia="Calibri" w:cs="Arial"/>
          <w:sz w:val="20"/>
          <w:szCs w:val="20"/>
          <w:lang w:val="fr-FR"/>
        </w:rPr>
        <w:t>contrecollage</w:t>
      </w:r>
      <w:proofErr w:type="spellEnd"/>
      <w:r w:rsidRPr="005D2013">
        <w:rPr>
          <w:rFonts w:eastAsia="Calibri" w:cs="Arial"/>
          <w:sz w:val="20"/>
          <w:szCs w:val="20"/>
          <w:lang w:val="fr-FR"/>
        </w:rPr>
        <w:t xml:space="preserve">, d’impression et de métallisation sous vide ont été réalisées dans ses Centres de compétences d’Italie, d’Allemagne et du Royaume-Uni. Les autres partenaires qui ont participé aux essais de fabrication des sachets étaient </w:t>
      </w:r>
      <w:proofErr w:type="spellStart"/>
      <w:r w:rsidRPr="005D2013">
        <w:rPr>
          <w:rFonts w:eastAsia="Calibri" w:cs="Arial"/>
          <w:sz w:val="20"/>
          <w:szCs w:val="20"/>
          <w:lang w:val="fr-FR"/>
        </w:rPr>
        <w:t>Taghleef</w:t>
      </w:r>
      <w:proofErr w:type="spellEnd"/>
      <w:r w:rsidRPr="005D2013">
        <w:rPr>
          <w:rFonts w:eastAsia="Calibri" w:cs="Arial"/>
          <w:sz w:val="20"/>
          <w:szCs w:val="20"/>
          <w:lang w:val="fr-FR"/>
        </w:rPr>
        <w:t xml:space="preserve"> Industries pour le film </w:t>
      </w:r>
      <w:proofErr w:type="spellStart"/>
      <w:r w:rsidRPr="005D2013">
        <w:rPr>
          <w:rFonts w:eastAsia="Calibri" w:cs="Arial"/>
          <w:sz w:val="20"/>
          <w:szCs w:val="20"/>
          <w:lang w:val="fr-FR"/>
        </w:rPr>
        <w:t>rPP</w:t>
      </w:r>
      <w:proofErr w:type="spellEnd"/>
      <w:r w:rsidRPr="005D2013">
        <w:rPr>
          <w:rFonts w:eastAsia="Calibri" w:cs="Arial"/>
          <w:sz w:val="20"/>
          <w:szCs w:val="20"/>
          <w:lang w:val="fr-FR"/>
        </w:rPr>
        <w:t xml:space="preserve">, </w:t>
      </w:r>
      <w:proofErr w:type="spellStart"/>
      <w:r w:rsidRPr="005D2013">
        <w:rPr>
          <w:rFonts w:eastAsia="Calibri" w:cs="Arial"/>
          <w:sz w:val="20"/>
          <w:szCs w:val="20"/>
          <w:lang w:val="fr-FR"/>
        </w:rPr>
        <w:t>Borealis</w:t>
      </w:r>
      <w:proofErr w:type="spellEnd"/>
      <w:r w:rsidRPr="005D2013">
        <w:rPr>
          <w:rFonts w:eastAsia="Calibri" w:cs="Arial"/>
          <w:sz w:val="20"/>
          <w:szCs w:val="20"/>
          <w:lang w:val="fr-FR"/>
        </w:rPr>
        <w:t xml:space="preserve"> pour le film de scellage, </w:t>
      </w:r>
      <w:proofErr w:type="spellStart"/>
      <w:r w:rsidRPr="005D2013">
        <w:rPr>
          <w:rFonts w:eastAsia="Calibri" w:cs="Arial"/>
          <w:sz w:val="20"/>
          <w:szCs w:val="20"/>
          <w:lang w:val="fr-FR"/>
        </w:rPr>
        <w:t>Coim</w:t>
      </w:r>
      <w:proofErr w:type="spellEnd"/>
      <w:r w:rsidRPr="005D2013">
        <w:rPr>
          <w:rFonts w:eastAsia="Calibri" w:cs="Arial"/>
          <w:sz w:val="20"/>
          <w:szCs w:val="20"/>
          <w:lang w:val="fr-FR"/>
        </w:rPr>
        <w:t xml:space="preserve">, Henkel et Sun Chemical pour les adhésifs, Flint Group pour les encres et </w:t>
      </w:r>
      <w:proofErr w:type="spellStart"/>
      <w:r w:rsidRPr="005D2013">
        <w:rPr>
          <w:rFonts w:eastAsia="Calibri" w:cs="Arial"/>
          <w:sz w:val="20"/>
          <w:szCs w:val="20"/>
          <w:lang w:val="fr-FR"/>
        </w:rPr>
        <w:t>Elba</w:t>
      </w:r>
      <w:proofErr w:type="spellEnd"/>
      <w:r w:rsidRPr="005D2013">
        <w:rPr>
          <w:rFonts w:eastAsia="Calibri" w:cs="Arial"/>
          <w:sz w:val="20"/>
          <w:szCs w:val="20"/>
          <w:lang w:val="fr-FR"/>
        </w:rPr>
        <w:t xml:space="preserve"> pour la confection des sachets.</w:t>
      </w:r>
    </w:p>
    <w:p w14:paraId="00B95CDC" w14:textId="77777777" w:rsidR="005D2013" w:rsidRPr="005D2013" w:rsidRDefault="005D2013" w:rsidP="005D2013">
      <w:pPr>
        <w:rPr>
          <w:rFonts w:eastAsia="Calibri" w:cs="Arial"/>
          <w:sz w:val="20"/>
          <w:szCs w:val="20"/>
          <w:lang w:val="fr-FR"/>
        </w:rPr>
      </w:pPr>
    </w:p>
    <w:p w14:paraId="622C0497" w14:textId="77777777" w:rsidR="005D2013" w:rsidRPr="005D2013" w:rsidRDefault="005D2013" w:rsidP="005D2013">
      <w:pPr>
        <w:rPr>
          <w:rFonts w:eastAsia="Calibri" w:cs="Arial"/>
          <w:sz w:val="20"/>
          <w:szCs w:val="20"/>
          <w:lang w:val="fr-FR"/>
        </w:rPr>
      </w:pPr>
      <w:r w:rsidRPr="005D2013">
        <w:rPr>
          <w:rFonts w:eastAsia="Calibri" w:cs="Arial"/>
          <w:sz w:val="20"/>
          <w:szCs w:val="20"/>
          <w:lang w:val="fr-FR"/>
        </w:rPr>
        <w:t xml:space="preserve">Deux solutions entièrement conçues à base de polypropylène, utilisant des films fabriqués à partir de résines </w:t>
      </w:r>
      <w:proofErr w:type="spellStart"/>
      <w:r w:rsidRPr="005D2013">
        <w:rPr>
          <w:rFonts w:eastAsia="Calibri" w:cs="Arial"/>
          <w:sz w:val="20"/>
          <w:szCs w:val="20"/>
          <w:lang w:val="fr-FR"/>
        </w:rPr>
        <w:t>rPP</w:t>
      </w:r>
      <w:proofErr w:type="spellEnd"/>
      <w:r w:rsidRPr="005D2013">
        <w:rPr>
          <w:rFonts w:eastAsia="Calibri" w:cs="Arial"/>
          <w:sz w:val="20"/>
          <w:szCs w:val="20"/>
          <w:lang w:val="fr-FR"/>
        </w:rPr>
        <w:t xml:space="preserve"> issues des essais QPR de CEFLEX, ont été produites et testées avec différents consommables. </w:t>
      </w:r>
    </w:p>
    <w:p w14:paraId="4DB8F630" w14:textId="77777777" w:rsidR="005D2013" w:rsidRPr="005D2013" w:rsidRDefault="005D2013" w:rsidP="005D2013">
      <w:pPr>
        <w:rPr>
          <w:rFonts w:eastAsia="Calibri" w:cs="Arial"/>
          <w:sz w:val="20"/>
          <w:szCs w:val="20"/>
          <w:lang w:val="fr-FR"/>
        </w:rPr>
      </w:pPr>
    </w:p>
    <w:p w14:paraId="4BC972DE" w14:textId="77777777" w:rsidR="005D2013" w:rsidRPr="005D2013" w:rsidRDefault="005D2013" w:rsidP="005D2013">
      <w:pPr>
        <w:numPr>
          <w:ilvl w:val="0"/>
          <w:numId w:val="16"/>
        </w:numPr>
        <w:autoSpaceDE w:val="0"/>
        <w:autoSpaceDN w:val="0"/>
        <w:adjustRightInd w:val="0"/>
        <w:spacing w:after="160" w:line="259" w:lineRule="auto"/>
        <w:ind w:left="284" w:hanging="284"/>
        <w:contextualSpacing/>
        <w:rPr>
          <w:rFonts w:eastAsia="Calibri" w:cs="Arial"/>
          <w:color w:val="000000"/>
          <w:sz w:val="20"/>
          <w:szCs w:val="20"/>
          <w:lang w:val="fr-FR"/>
        </w:rPr>
      </w:pPr>
      <w:r w:rsidRPr="005D2013">
        <w:rPr>
          <w:rFonts w:eastAsia="Calibri" w:cs="Arial"/>
          <w:color w:val="000000"/>
          <w:sz w:val="20"/>
          <w:szCs w:val="20"/>
          <w:lang w:val="fr-FR"/>
        </w:rPr>
        <w:t xml:space="preserve">Sachets mono-matériau en polypropylène contrecollé duplex pour applications non alimentaires et à barrière moyenne – Métallisation sous vide et impression de surface </w:t>
      </w:r>
      <w:proofErr w:type="spellStart"/>
      <w:r w:rsidRPr="005D2013">
        <w:rPr>
          <w:rFonts w:eastAsia="Calibri" w:cs="Arial"/>
          <w:color w:val="000000"/>
          <w:sz w:val="20"/>
          <w:szCs w:val="20"/>
          <w:lang w:val="fr-FR"/>
        </w:rPr>
        <w:t>flexo</w:t>
      </w:r>
      <w:proofErr w:type="spellEnd"/>
      <w:r w:rsidRPr="005D2013">
        <w:rPr>
          <w:rFonts w:eastAsia="Calibri" w:cs="Arial"/>
          <w:color w:val="000000"/>
          <w:sz w:val="20"/>
          <w:szCs w:val="20"/>
          <w:lang w:val="fr-FR"/>
        </w:rPr>
        <w:t xml:space="preserve"> à tambour central.</w:t>
      </w:r>
    </w:p>
    <w:p w14:paraId="0A4889EA" w14:textId="77777777" w:rsidR="005D2013" w:rsidRPr="005D2013" w:rsidRDefault="005D2013" w:rsidP="005D2013">
      <w:pPr>
        <w:numPr>
          <w:ilvl w:val="0"/>
          <w:numId w:val="17"/>
        </w:numPr>
        <w:autoSpaceDE w:val="0"/>
        <w:autoSpaceDN w:val="0"/>
        <w:adjustRightInd w:val="0"/>
        <w:spacing w:after="160" w:line="259" w:lineRule="auto"/>
        <w:contextualSpacing/>
        <w:rPr>
          <w:rFonts w:eastAsia="Calibri" w:cs="Arial"/>
          <w:color w:val="000000"/>
          <w:sz w:val="20"/>
          <w:szCs w:val="20"/>
          <w:lang w:val="fr-FR"/>
        </w:rPr>
      </w:pPr>
      <w:r w:rsidRPr="005D2013">
        <w:rPr>
          <w:rFonts w:eastAsia="Calibri" w:cs="Arial"/>
          <w:color w:val="000000"/>
          <w:sz w:val="20"/>
          <w:szCs w:val="20"/>
          <w:lang w:val="fr-FR"/>
        </w:rPr>
        <w:lastRenderedPageBreak/>
        <w:t>Encres à base d’eau</w:t>
      </w:r>
    </w:p>
    <w:p w14:paraId="1BDF92A1" w14:textId="77777777" w:rsidR="005D2013" w:rsidRPr="005D2013" w:rsidRDefault="005D2013" w:rsidP="005D2013">
      <w:pPr>
        <w:numPr>
          <w:ilvl w:val="0"/>
          <w:numId w:val="17"/>
        </w:numPr>
        <w:autoSpaceDE w:val="0"/>
        <w:autoSpaceDN w:val="0"/>
        <w:adjustRightInd w:val="0"/>
        <w:spacing w:after="160" w:line="259" w:lineRule="auto"/>
        <w:contextualSpacing/>
        <w:rPr>
          <w:rFonts w:eastAsia="Calibri" w:cs="Arial"/>
          <w:color w:val="000000"/>
          <w:sz w:val="20"/>
          <w:szCs w:val="20"/>
          <w:lang w:val="fr-FR"/>
        </w:rPr>
      </w:pPr>
      <w:r w:rsidRPr="005D2013">
        <w:rPr>
          <w:rFonts w:eastAsia="Calibri" w:cs="Arial"/>
          <w:color w:val="000000"/>
          <w:sz w:val="20"/>
          <w:szCs w:val="20"/>
          <w:lang w:val="fr-FR"/>
        </w:rPr>
        <w:t>Substrat </w:t>
      </w:r>
      <w:proofErr w:type="spellStart"/>
      <w:r w:rsidRPr="005D2013">
        <w:rPr>
          <w:rFonts w:eastAsia="Calibri" w:cs="Arial"/>
          <w:color w:val="000000"/>
          <w:sz w:val="20"/>
          <w:szCs w:val="20"/>
          <w:lang w:val="fr-FR"/>
        </w:rPr>
        <w:t>rBOPP</w:t>
      </w:r>
      <w:proofErr w:type="spellEnd"/>
      <w:r w:rsidRPr="005D2013">
        <w:rPr>
          <w:rFonts w:eastAsia="Calibri" w:cs="Arial"/>
          <w:color w:val="000000"/>
          <w:sz w:val="20"/>
          <w:szCs w:val="20"/>
          <w:lang w:val="fr-FR"/>
        </w:rPr>
        <w:t xml:space="preserve"> 40 microns </w:t>
      </w:r>
    </w:p>
    <w:p w14:paraId="6B08DBF0" w14:textId="77777777" w:rsidR="005D2013" w:rsidRPr="005D2013" w:rsidRDefault="005D2013" w:rsidP="005D2013">
      <w:pPr>
        <w:numPr>
          <w:ilvl w:val="0"/>
          <w:numId w:val="17"/>
        </w:numPr>
        <w:autoSpaceDE w:val="0"/>
        <w:autoSpaceDN w:val="0"/>
        <w:adjustRightInd w:val="0"/>
        <w:spacing w:after="160" w:line="259" w:lineRule="auto"/>
        <w:contextualSpacing/>
        <w:rPr>
          <w:rFonts w:eastAsia="Calibri" w:cs="Arial"/>
          <w:color w:val="000000"/>
          <w:sz w:val="20"/>
          <w:szCs w:val="20"/>
          <w:lang w:val="fr-FR"/>
        </w:rPr>
      </w:pPr>
      <w:r w:rsidRPr="005D2013">
        <w:rPr>
          <w:rFonts w:eastAsia="Calibri" w:cs="Arial"/>
          <w:sz w:val="20"/>
          <w:szCs w:val="20"/>
          <w:lang w:val="fr-FR"/>
        </w:rPr>
        <w:t>Adhésif barrière sans solvant</w:t>
      </w:r>
    </w:p>
    <w:p w14:paraId="4DEA81E5" w14:textId="77777777" w:rsidR="005D2013" w:rsidRPr="005D2013" w:rsidRDefault="005D2013" w:rsidP="005D2013">
      <w:pPr>
        <w:numPr>
          <w:ilvl w:val="0"/>
          <w:numId w:val="17"/>
        </w:numPr>
        <w:autoSpaceDE w:val="0"/>
        <w:autoSpaceDN w:val="0"/>
        <w:adjustRightInd w:val="0"/>
        <w:spacing w:after="160" w:line="259" w:lineRule="auto"/>
        <w:contextualSpacing/>
        <w:rPr>
          <w:rFonts w:eastAsia="Calibri" w:cs="Arial"/>
          <w:color w:val="000000"/>
          <w:sz w:val="20"/>
          <w:szCs w:val="20"/>
          <w:lang w:val="fr-FR"/>
        </w:rPr>
      </w:pPr>
      <w:r w:rsidRPr="005D2013">
        <w:rPr>
          <w:rFonts w:eastAsia="Calibri" w:cs="Arial"/>
          <w:sz w:val="20"/>
          <w:szCs w:val="20"/>
          <w:lang w:val="fr-FR"/>
        </w:rPr>
        <w:t xml:space="preserve">Substrat de scellage haute performance produit par extrusion soufflée en PP </w:t>
      </w:r>
    </w:p>
    <w:p w14:paraId="388603D6" w14:textId="77777777" w:rsidR="005D2013" w:rsidRPr="005D2013" w:rsidRDefault="005D2013" w:rsidP="005D2013">
      <w:pPr>
        <w:autoSpaceDE w:val="0"/>
        <w:autoSpaceDN w:val="0"/>
        <w:adjustRightInd w:val="0"/>
        <w:ind w:left="720"/>
        <w:contextualSpacing/>
        <w:rPr>
          <w:rFonts w:eastAsia="Calibri" w:cs="Arial"/>
          <w:color w:val="000000"/>
          <w:sz w:val="20"/>
          <w:szCs w:val="20"/>
          <w:lang w:val="fr-FR"/>
        </w:rPr>
      </w:pPr>
    </w:p>
    <w:p w14:paraId="084DF3D3" w14:textId="77777777" w:rsidR="005D2013" w:rsidRPr="005D2013" w:rsidRDefault="005D2013" w:rsidP="005D2013">
      <w:pPr>
        <w:numPr>
          <w:ilvl w:val="0"/>
          <w:numId w:val="16"/>
        </w:numPr>
        <w:autoSpaceDE w:val="0"/>
        <w:autoSpaceDN w:val="0"/>
        <w:adjustRightInd w:val="0"/>
        <w:spacing w:after="160" w:line="259" w:lineRule="auto"/>
        <w:ind w:left="284" w:hanging="284"/>
        <w:contextualSpacing/>
        <w:rPr>
          <w:rFonts w:eastAsia="Calibri" w:cs="Arial"/>
          <w:color w:val="000000"/>
          <w:sz w:val="20"/>
          <w:szCs w:val="20"/>
          <w:lang w:val="fr-FR"/>
        </w:rPr>
      </w:pPr>
      <w:r w:rsidRPr="005D2013">
        <w:rPr>
          <w:rFonts w:eastAsia="Calibri" w:cs="Arial"/>
          <w:color w:val="000000"/>
          <w:sz w:val="20"/>
          <w:szCs w:val="20"/>
          <w:lang w:val="fr-FR"/>
        </w:rPr>
        <w:t xml:space="preserve">Sachets mono-matériau en polypropylène contrecollé duplex pour applications non alimentaires et sans propriétés barrière – Sans métallisation, impression de surface </w:t>
      </w:r>
      <w:proofErr w:type="spellStart"/>
      <w:r w:rsidRPr="005D2013">
        <w:rPr>
          <w:rFonts w:eastAsia="Calibri" w:cs="Arial"/>
          <w:color w:val="000000"/>
          <w:sz w:val="20"/>
          <w:szCs w:val="20"/>
          <w:lang w:val="fr-FR"/>
        </w:rPr>
        <w:t>flexo</w:t>
      </w:r>
      <w:proofErr w:type="spellEnd"/>
      <w:r w:rsidRPr="005D2013">
        <w:rPr>
          <w:rFonts w:eastAsia="Calibri" w:cs="Arial"/>
          <w:color w:val="000000"/>
          <w:sz w:val="20"/>
          <w:szCs w:val="20"/>
          <w:lang w:val="fr-FR"/>
        </w:rPr>
        <w:t xml:space="preserve"> à tambour central.</w:t>
      </w:r>
    </w:p>
    <w:p w14:paraId="318F9947" w14:textId="77777777" w:rsidR="005D2013" w:rsidRPr="005D2013" w:rsidRDefault="005D2013" w:rsidP="005D2013">
      <w:pPr>
        <w:numPr>
          <w:ilvl w:val="0"/>
          <w:numId w:val="17"/>
        </w:numPr>
        <w:autoSpaceDE w:val="0"/>
        <w:autoSpaceDN w:val="0"/>
        <w:adjustRightInd w:val="0"/>
        <w:spacing w:after="160" w:line="259" w:lineRule="auto"/>
        <w:contextualSpacing/>
        <w:rPr>
          <w:rFonts w:eastAsia="Calibri" w:cs="Arial"/>
          <w:color w:val="000000"/>
          <w:sz w:val="20"/>
          <w:szCs w:val="20"/>
          <w:lang w:val="fr-FR"/>
        </w:rPr>
      </w:pPr>
      <w:r w:rsidRPr="005D2013">
        <w:rPr>
          <w:rFonts w:eastAsia="Calibri" w:cs="Arial"/>
          <w:color w:val="000000"/>
          <w:sz w:val="20"/>
          <w:szCs w:val="20"/>
          <w:lang w:val="fr-FR"/>
        </w:rPr>
        <w:t>Encres à base d’eau</w:t>
      </w:r>
    </w:p>
    <w:p w14:paraId="6CF81866" w14:textId="77777777" w:rsidR="005D2013" w:rsidRPr="005D2013" w:rsidRDefault="005D2013" w:rsidP="005D2013">
      <w:pPr>
        <w:autoSpaceDE w:val="0"/>
        <w:autoSpaceDN w:val="0"/>
        <w:adjustRightInd w:val="0"/>
        <w:ind w:left="709" w:hanging="425"/>
        <w:contextualSpacing/>
        <w:rPr>
          <w:rFonts w:eastAsia="Calibri" w:cs="Arial"/>
          <w:sz w:val="20"/>
          <w:szCs w:val="20"/>
          <w:lang w:val="fr-FR"/>
        </w:rPr>
      </w:pPr>
      <w:r w:rsidRPr="005D2013">
        <w:rPr>
          <w:rFonts w:eastAsia="Calibri" w:cs="Arial"/>
          <w:color w:val="000000"/>
          <w:sz w:val="20"/>
          <w:szCs w:val="20"/>
          <w:lang w:val="fr-FR"/>
        </w:rPr>
        <w:t xml:space="preserve">- </w:t>
      </w:r>
      <w:r w:rsidRPr="005D2013">
        <w:rPr>
          <w:rFonts w:eastAsia="Calibri" w:cs="Arial"/>
          <w:color w:val="000000"/>
          <w:sz w:val="20"/>
          <w:szCs w:val="20"/>
          <w:lang w:val="fr-FR"/>
        </w:rPr>
        <w:tab/>
        <w:t xml:space="preserve">Substrat </w:t>
      </w:r>
      <w:proofErr w:type="spellStart"/>
      <w:r w:rsidRPr="005D2013">
        <w:rPr>
          <w:rFonts w:eastAsia="Calibri" w:cs="Arial"/>
          <w:color w:val="000000"/>
          <w:sz w:val="20"/>
          <w:szCs w:val="20"/>
          <w:lang w:val="fr-FR"/>
        </w:rPr>
        <w:t>rBOPP</w:t>
      </w:r>
      <w:proofErr w:type="spellEnd"/>
      <w:r w:rsidRPr="005D2013">
        <w:rPr>
          <w:rFonts w:eastAsia="Calibri" w:cs="Arial"/>
          <w:color w:val="000000"/>
          <w:sz w:val="20"/>
          <w:szCs w:val="20"/>
          <w:lang w:val="fr-FR"/>
        </w:rPr>
        <w:t xml:space="preserve"> 40 </w:t>
      </w:r>
      <w:r w:rsidRPr="005D2013">
        <w:rPr>
          <w:rFonts w:eastAsia="Calibri" w:cs="Arial"/>
          <w:sz w:val="20"/>
          <w:szCs w:val="20"/>
          <w:lang w:val="fr-FR"/>
        </w:rPr>
        <w:t>microns</w:t>
      </w:r>
    </w:p>
    <w:p w14:paraId="04CCF892" w14:textId="77777777" w:rsidR="005D2013" w:rsidRPr="005D2013" w:rsidRDefault="005D2013" w:rsidP="005D2013">
      <w:pPr>
        <w:autoSpaceDE w:val="0"/>
        <w:autoSpaceDN w:val="0"/>
        <w:adjustRightInd w:val="0"/>
        <w:ind w:left="709" w:hanging="425"/>
        <w:contextualSpacing/>
        <w:rPr>
          <w:rFonts w:eastAsia="Calibri" w:cs="Arial"/>
          <w:sz w:val="20"/>
          <w:szCs w:val="20"/>
          <w:lang w:val="fr-FR"/>
        </w:rPr>
      </w:pPr>
      <w:r w:rsidRPr="005D2013">
        <w:rPr>
          <w:rFonts w:eastAsia="Calibri" w:cs="Arial"/>
          <w:sz w:val="20"/>
          <w:szCs w:val="20"/>
          <w:lang w:val="fr-FR"/>
        </w:rPr>
        <w:t xml:space="preserve">- </w:t>
      </w:r>
      <w:r w:rsidRPr="005D2013">
        <w:rPr>
          <w:rFonts w:eastAsia="Calibri" w:cs="Arial"/>
          <w:sz w:val="20"/>
          <w:szCs w:val="20"/>
          <w:lang w:val="fr-FR"/>
        </w:rPr>
        <w:tab/>
        <w:t xml:space="preserve">Adhésif sans solvant </w:t>
      </w:r>
    </w:p>
    <w:p w14:paraId="4668A1BA" w14:textId="77777777" w:rsidR="005D2013" w:rsidRPr="005D2013" w:rsidRDefault="005D2013" w:rsidP="005D2013">
      <w:pPr>
        <w:autoSpaceDE w:val="0"/>
        <w:autoSpaceDN w:val="0"/>
        <w:adjustRightInd w:val="0"/>
        <w:ind w:left="709" w:hanging="425"/>
        <w:contextualSpacing/>
        <w:rPr>
          <w:rFonts w:eastAsia="Calibri" w:cs="Arial"/>
          <w:sz w:val="20"/>
          <w:szCs w:val="20"/>
          <w:lang w:val="fr-FR"/>
        </w:rPr>
      </w:pPr>
      <w:r w:rsidRPr="005D2013">
        <w:rPr>
          <w:rFonts w:eastAsia="Calibri" w:cs="Arial"/>
          <w:sz w:val="20"/>
          <w:szCs w:val="20"/>
          <w:lang w:val="fr-FR"/>
        </w:rPr>
        <w:t xml:space="preserve">- </w:t>
      </w:r>
      <w:r w:rsidRPr="005D2013">
        <w:rPr>
          <w:rFonts w:eastAsia="Calibri" w:cs="Arial"/>
          <w:sz w:val="20"/>
          <w:szCs w:val="20"/>
          <w:lang w:val="fr-FR"/>
        </w:rPr>
        <w:tab/>
        <w:t xml:space="preserve">Substrat de scellage haute performance produit par extrusion soufflée en PP </w:t>
      </w:r>
    </w:p>
    <w:p w14:paraId="37112840" w14:textId="77777777" w:rsidR="005D2013" w:rsidRPr="005D2013" w:rsidRDefault="005D2013" w:rsidP="005D2013">
      <w:pPr>
        <w:autoSpaceDE w:val="0"/>
        <w:autoSpaceDN w:val="0"/>
        <w:adjustRightInd w:val="0"/>
        <w:ind w:left="284"/>
        <w:contextualSpacing/>
        <w:rPr>
          <w:rFonts w:eastAsia="Calibri" w:cs="Arial"/>
          <w:color w:val="000000"/>
          <w:sz w:val="20"/>
          <w:szCs w:val="20"/>
          <w:lang w:val="fr-FR"/>
        </w:rPr>
      </w:pPr>
    </w:p>
    <w:p w14:paraId="2841E443" w14:textId="77777777" w:rsidR="005D2013" w:rsidRPr="005D2013" w:rsidRDefault="005D2013" w:rsidP="005D2013">
      <w:pPr>
        <w:autoSpaceDE w:val="0"/>
        <w:autoSpaceDN w:val="0"/>
        <w:adjustRightInd w:val="0"/>
        <w:rPr>
          <w:rFonts w:eastAsia="Calibri" w:cs="Arial"/>
          <w:color w:val="000000"/>
          <w:sz w:val="20"/>
          <w:szCs w:val="20"/>
          <w:lang w:val="fr-FR"/>
        </w:rPr>
      </w:pPr>
      <w:r w:rsidRPr="005D2013">
        <w:rPr>
          <w:rFonts w:eastAsia="Calibri" w:cs="Arial"/>
          <w:color w:val="000000"/>
          <w:sz w:val="20"/>
          <w:szCs w:val="20"/>
          <w:lang w:val="fr-FR"/>
        </w:rPr>
        <w:t xml:space="preserve">En termes d’usinabilité des plastiques recyclés post-consommation (PCR) contenant les substrats, les tests réalisés sur les métalliseurs sous vide, les machines de complexage et les presses </w:t>
      </w:r>
      <w:proofErr w:type="spellStart"/>
      <w:r w:rsidRPr="005D2013">
        <w:rPr>
          <w:rFonts w:eastAsia="Calibri" w:cs="Arial"/>
          <w:color w:val="000000"/>
          <w:sz w:val="20"/>
          <w:szCs w:val="20"/>
          <w:lang w:val="fr-FR"/>
        </w:rPr>
        <w:t>flexo</w:t>
      </w:r>
      <w:proofErr w:type="spellEnd"/>
      <w:r w:rsidRPr="005D2013">
        <w:rPr>
          <w:rFonts w:eastAsia="Calibri" w:cs="Arial"/>
          <w:color w:val="000000"/>
          <w:sz w:val="20"/>
          <w:szCs w:val="20"/>
          <w:lang w:val="fr-FR"/>
        </w:rPr>
        <w:t xml:space="preserve"> à tambour central de BOBST, ainsi que sur la machine de fabrication de sachets </w:t>
      </w:r>
      <w:proofErr w:type="spellStart"/>
      <w:r w:rsidRPr="005D2013">
        <w:rPr>
          <w:rFonts w:eastAsia="Calibri" w:cs="Arial"/>
          <w:color w:val="000000"/>
          <w:sz w:val="20"/>
          <w:szCs w:val="20"/>
          <w:lang w:val="fr-FR"/>
        </w:rPr>
        <w:t>Elba</w:t>
      </w:r>
      <w:proofErr w:type="spellEnd"/>
      <w:r w:rsidRPr="005D2013">
        <w:rPr>
          <w:rFonts w:eastAsia="Calibri" w:cs="Arial"/>
          <w:color w:val="000000"/>
          <w:sz w:val="20"/>
          <w:szCs w:val="20"/>
          <w:lang w:val="fr-FR"/>
        </w:rPr>
        <w:t xml:space="preserve">, ont démontré qu’ils peuvent être traités sur un équipement standard sans nécessité d’adaptation. Ils confirment également que la teneur en PCR n’est pas un obstacle à l’utilisation de ce matériau sur des équipements de conversion, que ce soit en termes de fonctionnalité du substrat ou de rendement de l’équipement. </w:t>
      </w:r>
    </w:p>
    <w:p w14:paraId="02DE9CFC" w14:textId="77777777" w:rsidR="005D2013" w:rsidRPr="005D2013" w:rsidRDefault="005D2013" w:rsidP="005D2013">
      <w:pPr>
        <w:autoSpaceDE w:val="0"/>
        <w:autoSpaceDN w:val="0"/>
        <w:adjustRightInd w:val="0"/>
        <w:rPr>
          <w:rFonts w:eastAsia="Calibri" w:cs="Arial"/>
          <w:color w:val="000000"/>
          <w:sz w:val="20"/>
          <w:szCs w:val="20"/>
          <w:lang w:val="fr-FR"/>
        </w:rPr>
      </w:pPr>
    </w:p>
    <w:p w14:paraId="31391D54" w14:textId="77777777" w:rsidR="005D2013" w:rsidRPr="005D2013" w:rsidRDefault="005D2013" w:rsidP="005D2013">
      <w:pPr>
        <w:autoSpaceDE w:val="0"/>
        <w:autoSpaceDN w:val="0"/>
        <w:adjustRightInd w:val="0"/>
        <w:rPr>
          <w:rFonts w:eastAsia="Calibri" w:cs="Arial"/>
          <w:color w:val="000000"/>
          <w:sz w:val="20"/>
          <w:szCs w:val="20"/>
          <w:lang w:val="fr-FR"/>
        </w:rPr>
      </w:pPr>
      <w:r w:rsidRPr="005D2013">
        <w:rPr>
          <w:rFonts w:eastAsia="Calibri" w:cs="Arial"/>
          <w:sz w:val="20"/>
          <w:szCs w:val="20"/>
          <w:lang w:val="fr-FR"/>
        </w:rPr>
        <w:t xml:space="preserve">Dana </w:t>
      </w:r>
      <w:proofErr w:type="spellStart"/>
      <w:r w:rsidRPr="005D2013">
        <w:rPr>
          <w:rFonts w:eastAsia="Calibri" w:cs="Arial"/>
          <w:sz w:val="20"/>
          <w:szCs w:val="20"/>
          <w:lang w:val="fr-FR"/>
        </w:rPr>
        <w:t>Mosora</w:t>
      </w:r>
      <w:proofErr w:type="spellEnd"/>
      <w:r w:rsidRPr="005D2013">
        <w:rPr>
          <w:rFonts w:eastAsia="Calibri" w:cs="Arial"/>
          <w:sz w:val="20"/>
          <w:szCs w:val="20"/>
          <w:lang w:val="fr-FR"/>
        </w:rPr>
        <w:t xml:space="preserve">, </w:t>
      </w:r>
      <w:proofErr w:type="spellStart"/>
      <w:r w:rsidRPr="005D2013">
        <w:rPr>
          <w:rFonts w:eastAsia="Calibri" w:cs="Arial"/>
          <w:sz w:val="20"/>
          <w:szCs w:val="20"/>
          <w:lang w:val="fr-FR"/>
        </w:rPr>
        <w:t>Workstream</w:t>
      </w:r>
      <w:proofErr w:type="spellEnd"/>
      <w:r w:rsidRPr="005D2013">
        <w:rPr>
          <w:rFonts w:eastAsia="Calibri" w:cs="Arial"/>
          <w:sz w:val="20"/>
          <w:szCs w:val="20"/>
          <w:lang w:val="fr-FR"/>
        </w:rPr>
        <w:t xml:space="preserve"> Manager chez CEFLEX</w:t>
      </w:r>
      <w:r w:rsidRPr="005D2013">
        <w:rPr>
          <w:rFonts w:eastAsia="Calibri" w:cs="Arial"/>
          <w:color w:val="000000"/>
          <w:sz w:val="20"/>
          <w:szCs w:val="20"/>
          <w:lang w:val="fr-FR"/>
        </w:rPr>
        <w:t xml:space="preserve">, a déclaré au sujet des résultats des tests de fabrication des sachets : « Avec le projet QRP, nous voulons repousser les limites de ce qui est possible en termes de </w:t>
      </w:r>
      <w:proofErr w:type="spellStart"/>
      <w:r w:rsidRPr="005D2013">
        <w:rPr>
          <w:rFonts w:eastAsia="Calibri" w:cs="Arial"/>
          <w:color w:val="000000"/>
          <w:sz w:val="20"/>
          <w:szCs w:val="20"/>
          <w:lang w:val="fr-FR"/>
        </w:rPr>
        <w:t>rPP</w:t>
      </w:r>
      <w:proofErr w:type="spellEnd"/>
      <w:r w:rsidRPr="005D2013">
        <w:rPr>
          <w:rFonts w:eastAsia="Calibri" w:cs="Arial"/>
          <w:color w:val="000000"/>
          <w:sz w:val="20"/>
          <w:szCs w:val="20"/>
          <w:lang w:val="fr-FR"/>
        </w:rPr>
        <w:t xml:space="preserve"> et de recyclage. Les résultats concluants des tests de fabrication du sachet prouvent une nouvelle fois qu’une proportion beaucoup plus grande des déchets d’emballages flexibles peut être rendue à l’économie et toucher un éventail plus large de segments du marché final pour les applications alimentaires sans contact. »     </w:t>
      </w:r>
    </w:p>
    <w:p w14:paraId="5A525252" w14:textId="7BE63AFA" w:rsidR="00C26C45" w:rsidRDefault="00C26C45" w:rsidP="006A1224">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sz w:val="20"/>
          <w:szCs w:val="20"/>
          <w:lang w:val="fr-FR"/>
        </w:rPr>
      </w:pPr>
    </w:p>
    <w:p w14:paraId="4A718FD7" w14:textId="77777777" w:rsidR="005D2013" w:rsidRDefault="005D2013" w:rsidP="006A1224">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sz w:val="20"/>
          <w:szCs w:val="20"/>
          <w:lang w:val="fr-FR"/>
        </w:rPr>
      </w:pPr>
    </w:p>
    <w:p w14:paraId="79C6602F" w14:textId="77777777" w:rsidR="006A1224" w:rsidRPr="00A536F3"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BE"/>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t>A propos de BOBST</w:t>
      </w:r>
    </w:p>
    <w:p w14:paraId="7AD4025D" w14:textId="77777777"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Default="007D2FE3" w:rsidP="007D2FE3">
      <w:pPr>
        <w:spacing w:line="240" w:lineRule="auto"/>
        <w:rPr>
          <w:rFonts w:ascii="Noto Sans" w:hAnsi="Noto Sans" w:cs="Noto Sans"/>
          <w:lang w:val="fr-FR"/>
        </w:rPr>
      </w:pPr>
    </w:p>
    <w:p w14:paraId="672023C2" w14:textId="77777777" w:rsidR="007D2FE3" w:rsidRDefault="007D2FE3" w:rsidP="007D2FE3">
      <w:pPr>
        <w:spacing w:line="240" w:lineRule="auto"/>
        <w:rPr>
          <w:rFonts w:ascii="Noto Sans" w:hAnsi="Noto Sans" w:cs="Noto Sans"/>
          <w:lang w:val="fr-FR"/>
        </w:rPr>
      </w:pPr>
      <w:r>
        <w:rPr>
          <w:rFonts w:ascii="Noto Sans" w:hAnsi="Noto Sans" w:cs="Noto Sans"/>
          <w:lang w:val="fr-FR"/>
        </w:rPr>
        <w:t>Fondée en 1890 à Lausanne (Suisse) par Joseph Bobst, la société BOBST est présente dans plus de 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6C777AFE" w14:textId="77777777" w:rsidR="004C28DE" w:rsidRPr="00C365C9" w:rsidRDefault="004C28DE" w:rsidP="001B2225">
      <w:pPr>
        <w:shd w:val="clear" w:color="auto" w:fill="FFFFFF"/>
        <w:spacing w:line="271" w:lineRule="auto"/>
        <w:rPr>
          <w:rFonts w:cs="Arial"/>
          <w:szCs w:val="19"/>
          <w:lang w:val="fr-FR" w:eastAsia="fr-FR"/>
        </w:rPr>
      </w:pPr>
    </w:p>
    <w:p w14:paraId="74ECDFA6" w14:textId="638F0DAE" w:rsidR="001B00E3" w:rsidRPr="00C365C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7941F84D" w14:textId="77777777" w:rsidR="001B00E3" w:rsidRPr="00E30F10" w:rsidRDefault="001B00E3" w:rsidP="001B2225">
      <w:pPr>
        <w:rPr>
          <w:rFonts w:cs="Arial"/>
          <w:szCs w:val="19"/>
          <w:lang w:val="fr-CH" w:eastAsia="de-DE"/>
        </w:rPr>
      </w:pPr>
    </w:p>
    <w:p w14:paraId="07DC0FFE" w14:textId="58D17A60" w:rsidR="001B00E3" w:rsidRPr="00B028E5"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97824" w14:textId="77777777" w:rsidR="00460802" w:rsidRDefault="00460802" w:rsidP="00BB5BE9">
      <w:pPr>
        <w:spacing w:line="240" w:lineRule="auto"/>
      </w:pPr>
      <w:r>
        <w:separator/>
      </w:r>
    </w:p>
  </w:endnote>
  <w:endnote w:type="continuationSeparator" w:id="0">
    <w:p w14:paraId="14E0986F" w14:textId="77777777" w:rsidR="00460802" w:rsidRDefault="0046080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9ACF3" w14:textId="77777777" w:rsidR="00460802" w:rsidRDefault="00460802" w:rsidP="00BB5BE9">
      <w:pPr>
        <w:spacing w:line="240" w:lineRule="auto"/>
      </w:pPr>
      <w:r>
        <w:separator/>
      </w:r>
    </w:p>
  </w:footnote>
  <w:footnote w:type="continuationSeparator" w:id="0">
    <w:p w14:paraId="1095FAEC" w14:textId="77777777" w:rsidR="00460802" w:rsidRDefault="0046080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460802"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460802"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1488D"/>
    <w:multiLevelType w:val="hybridMultilevel"/>
    <w:tmpl w:val="92B4B128"/>
    <w:lvl w:ilvl="0" w:tplc="FCC23638">
      <w:start w:val="1"/>
      <w:numFmt w:val="decimal"/>
      <w:lvlText w:val="%1."/>
      <w:lvlJc w:val="left"/>
      <w:pPr>
        <w:ind w:left="360" w:hanging="360"/>
      </w:pPr>
      <w:rPr>
        <w:rFonts w:ascii="Noto Sans" w:eastAsiaTheme="minorHAnsi" w:hAnsi="Noto Sans" w:cs="Noto San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1178"/>
    <w:multiLevelType w:val="hybridMultilevel"/>
    <w:tmpl w:val="744C01D4"/>
    <w:lvl w:ilvl="0" w:tplc="CBB44F60">
      <w:start w:val="1"/>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25C32"/>
    <w:rsid w:val="00441257"/>
    <w:rsid w:val="00441D37"/>
    <w:rsid w:val="00460802"/>
    <w:rsid w:val="004701B5"/>
    <w:rsid w:val="004711C7"/>
    <w:rsid w:val="004C2489"/>
    <w:rsid w:val="004C28DE"/>
    <w:rsid w:val="004F3549"/>
    <w:rsid w:val="00540DC4"/>
    <w:rsid w:val="00546823"/>
    <w:rsid w:val="005A48B2"/>
    <w:rsid w:val="005C7A5F"/>
    <w:rsid w:val="005D2013"/>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9E0AB9"/>
    <w:rsid w:val="00A131E9"/>
    <w:rsid w:val="00A13434"/>
    <w:rsid w:val="00AB644E"/>
    <w:rsid w:val="00B028E5"/>
    <w:rsid w:val="00BA155B"/>
    <w:rsid w:val="00BB5BE9"/>
    <w:rsid w:val="00C20D00"/>
    <w:rsid w:val="00C26C45"/>
    <w:rsid w:val="00C365C9"/>
    <w:rsid w:val="00C5488B"/>
    <w:rsid w:val="00CC7F9D"/>
    <w:rsid w:val="00D97770"/>
    <w:rsid w:val="00DB1DC2"/>
    <w:rsid w:val="00DE5DD2"/>
    <w:rsid w:val="00DF7B45"/>
    <w:rsid w:val="00E204D8"/>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2</Pages>
  <Words>852</Words>
  <Characters>4860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2022-07-11T09:24:00Z</dcterms:created>
  <dcterms:modified xsi:type="dcterms:W3CDTF">2022-07-11T13:52:00Z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