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b/>
          <w:bCs/>
          <w:sz w:val="21"/>
          <w:szCs w:val="21"/>
        </w:rPr>
      </w:pPr>
      <w:bookmarkStart w:id="3" w:name="_GoBack"/>
      <w:bookmarkEnd w:id="3"/>
      <w:r>
        <w:rPr>
          <w:rFonts w:hint="eastAsia"/>
          <w:b/>
          <w:bCs/>
          <w:sz w:val="21"/>
          <w:szCs w:val="21"/>
        </w:rPr>
        <w:t>听觉漫游·全情沉浸：</w:t>
      </w:r>
    </w:p>
    <w:p>
      <w:pPr>
        <w:rPr>
          <w:b/>
          <w:bCs/>
        </w:rPr>
      </w:pPr>
      <w:r>
        <w:rPr>
          <w:rFonts w:hint="eastAsia"/>
          <w:b/>
          <w:bCs/>
        </w:rPr>
        <w:t>诺音曼与杜比实验室再携手，共同开启香港沉浸声体验之旅</w:t>
      </w:r>
    </w:p>
    <w:p>
      <w:pPr>
        <w:jc w:val="center"/>
        <w:rPr>
          <w:rFonts w:hint="eastAsia" w:eastAsia="宋体"/>
          <w:lang w:eastAsia="zh-CN"/>
        </w:rPr>
      </w:pPr>
    </w:p>
    <w:p>
      <w:pPr>
        <w:jc w:val="center"/>
        <w:rPr>
          <w:rFonts w:hint="eastAsia" w:eastAsia="宋体"/>
          <w:lang w:eastAsia="zh-CN"/>
        </w:rPr>
      </w:pPr>
      <w:r>
        <w:rPr>
          <w:rFonts w:hint="eastAsia" w:eastAsia="宋体"/>
          <w:lang w:eastAsia="zh-CN"/>
        </w:rPr>
        <w:drawing>
          <wp:inline distT="0" distB="0" distL="114300" distR="114300">
            <wp:extent cx="5292090" cy="2379980"/>
            <wp:effectExtent l="0" t="0" r="3810" b="1270"/>
            <wp:docPr id="6" name="图片 6" descr="NCF_0084_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NCF_0084_1117"/>
                    <pic:cNvPicPr>
                      <a:picLocks noChangeAspect="1"/>
                    </pic:cNvPicPr>
                  </pic:nvPicPr>
                  <pic:blipFill>
                    <a:blip r:embed="rId8"/>
                    <a:srcRect t="20890" b="11554"/>
                    <a:stretch>
                      <a:fillRect/>
                    </a:stretch>
                  </pic:blipFill>
                  <pic:spPr>
                    <a:xfrm>
                      <a:off x="0" y="0"/>
                      <a:ext cx="5292090" cy="2379980"/>
                    </a:xfrm>
                    <a:prstGeom prst="rect">
                      <a:avLst/>
                    </a:prstGeom>
                  </pic:spPr>
                </pic:pic>
              </a:graphicData>
            </a:graphic>
          </wp:inline>
        </w:drawing>
      </w:r>
    </w:p>
    <w:p>
      <w:pPr>
        <w:rPr>
          <w:b/>
          <w:bCs/>
        </w:rPr>
      </w:pPr>
      <w:r>
        <w:rPr>
          <w:rFonts w:hint="eastAsia"/>
          <w:b/>
          <w:bCs/>
        </w:rPr>
        <w:t>香港，2023年11月17日——行业领先的录音棚设备制造商诺音曼携手杜比实验室，为香港用户呈现杜比全景声（Dolby Atmos）沉浸式音频体验之旅。继北京首场合作广受好评后，双方于香港联袂再掀沉浸声浪潮。此次诺音曼沉浸声体验之旅在诺音曼香港体验中心举办，活动现场包含由诺音曼 KH系列监听音箱搭建的5.1.4沉浸声系统。本次活动于11月6日和7日共举办了3场，分别关注诺音曼沉浸声系统在广播电视、音乐制作和影视后期制作领域的应用及优势，与业内专业人士共享听觉盛宴。</w:t>
      </w:r>
    </w:p>
    <w:p/>
    <w:p>
      <w:pPr>
        <w:jc w:val="center"/>
        <w:rPr>
          <w:rFonts w:hint="eastAsia" w:eastAsia="宋体"/>
          <w:i/>
          <w:iCs/>
          <w:sz w:val="16"/>
          <w:szCs w:val="16"/>
          <w:lang w:eastAsia="zh-CN"/>
        </w:rPr>
      </w:pPr>
    </w:p>
    <w:p>
      <w:pPr>
        <w:jc w:val="center"/>
        <w:rPr>
          <w:rFonts w:hint="eastAsia" w:eastAsia="宋体"/>
          <w:i/>
          <w:iCs/>
          <w:sz w:val="16"/>
          <w:szCs w:val="16"/>
          <w:lang w:eastAsia="zh-CN"/>
        </w:rPr>
      </w:pPr>
      <w:r>
        <w:rPr>
          <w:rFonts w:hint="eastAsia" w:eastAsia="宋体"/>
          <w:i/>
          <w:iCs/>
          <w:sz w:val="16"/>
          <w:szCs w:val="16"/>
          <w:lang w:eastAsia="zh-CN"/>
        </w:rPr>
        <w:drawing>
          <wp:inline distT="0" distB="0" distL="114300" distR="114300">
            <wp:extent cx="3722370" cy="2713990"/>
            <wp:effectExtent l="0" t="0" r="11430" b="10160"/>
            <wp:docPr id="7" name="图片 7" descr="NCF_0214_AJ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NCF_0214_AJ3"/>
                    <pic:cNvPicPr>
                      <a:picLocks noChangeAspect="1"/>
                    </pic:cNvPicPr>
                  </pic:nvPicPr>
                  <pic:blipFill>
                    <a:blip r:embed="rId9"/>
                    <a:srcRect t="12465"/>
                    <a:stretch>
                      <a:fillRect/>
                    </a:stretch>
                  </pic:blipFill>
                  <pic:spPr>
                    <a:xfrm>
                      <a:off x="0" y="0"/>
                      <a:ext cx="3722370" cy="2713990"/>
                    </a:xfrm>
                    <a:prstGeom prst="rect">
                      <a:avLst/>
                    </a:prstGeom>
                  </pic:spPr>
                </pic:pic>
              </a:graphicData>
            </a:graphic>
          </wp:inline>
        </w:drawing>
      </w:r>
    </w:p>
    <w:p>
      <w:pPr>
        <w:jc w:val="center"/>
        <w:rPr>
          <w:i/>
          <w:iCs/>
          <w:sz w:val="16"/>
          <w:szCs w:val="16"/>
        </w:rPr>
      </w:pPr>
      <w:r>
        <w:rPr>
          <w:rFonts w:hint="eastAsia"/>
          <w:i/>
          <w:iCs/>
          <w:sz w:val="16"/>
          <w:szCs w:val="16"/>
          <w:lang w:val="en-US" w:eastAsia="zh-CN"/>
        </w:rPr>
        <w:t>森海塞尔</w:t>
      </w:r>
      <w:r>
        <w:rPr>
          <w:rFonts w:hint="eastAsia"/>
          <w:i/>
          <w:iCs/>
          <w:sz w:val="16"/>
          <w:szCs w:val="16"/>
        </w:rPr>
        <w:t>集团联合首席执行官Daniel Sennheiser致欢迎辞</w:t>
      </w:r>
    </w:p>
    <w:p/>
    <w:p>
      <w:r>
        <w:rPr>
          <w:rFonts w:hint="eastAsia"/>
        </w:rPr>
        <w:t>活动伊始，</w:t>
      </w:r>
      <w:r>
        <w:rPr>
          <w:rFonts w:hint="eastAsia"/>
          <w:lang w:val="en-US" w:eastAsia="zh-CN"/>
        </w:rPr>
        <w:t>森海塞尔</w:t>
      </w:r>
      <w:r>
        <w:rPr>
          <w:rFonts w:hint="eastAsia"/>
        </w:rPr>
        <w:t>集团联合首席执行官Daniel Sennheiser 向在场嘉宾致欢迎辞：“香港市场非常重要，充满蓬勃活力。我们很高兴能够为香港客户提供诺音曼的前沿产品，它们为音频行业树立了标杆。一直以来，创新深植于</w:t>
      </w:r>
      <w:r>
        <w:rPr>
          <w:rFonts w:hint="eastAsia"/>
          <w:lang w:val="en-US" w:eastAsia="zh-CN"/>
        </w:rPr>
        <w:t>森海塞尔</w:t>
      </w:r>
      <w:r>
        <w:rPr>
          <w:rFonts w:hint="eastAsia"/>
        </w:rPr>
        <w:t>集团的基因中。我们相信未来音频质量将不断提高，特别是在沉浸式格式方面。此次</w:t>
      </w:r>
      <w:r>
        <w:rPr>
          <w:rFonts w:hint="eastAsia"/>
          <w:lang w:val="en-US" w:eastAsia="zh-CN"/>
        </w:rPr>
        <w:t>诺音曼</w:t>
      </w:r>
      <w:r>
        <w:rPr>
          <w:rFonts w:hint="eastAsia"/>
        </w:rPr>
        <w:t>与杜比实验室携手举办的沉浸声体验之旅正印证了这一点，展现了沉浸式音频的多种可能性及广泛应用场景。我们期待与各位合作，不断塑造音频之未来！”</w:t>
      </w:r>
    </w:p>
    <w:p/>
    <w:p>
      <w:r>
        <w:rPr>
          <w:rFonts w:hint="eastAsia"/>
        </w:rPr>
        <w:t>随后，</w:t>
      </w:r>
      <w:r>
        <w:rPr>
          <w:rFonts w:hint="eastAsia"/>
          <w:lang w:val="en-US" w:eastAsia="zh-CN"/>
        </w:rPr>
        <w:t>诺音曼</w:t>
      </w:r>
      <w:r>
        <w:rPr>
          <w:rFonts w:hint="eastAsia"/>
        </w:rPr>
        <w:t>和杜比实验室为与会嘉宾带来了对沉浸式音频制作和沉浸声体验未来发展方向的真知灼见。</w:t>
      </w:r>
    </w:p>
    <w:p/>
    <w:p>
      <w:pPr>
        <w:jc w:val="center"/>
        <w:rPr>
          <w:rFonts w:hint="eastAsia" w:eastAsia="宋体"/>
          <w:i/>
          <w:iCs/>
          <w:sz w:val="16"/>
          <w:szCs w:val="16"/>
          <w:lang w:eastAsia="zh-CN"/>
        </w:rPr>
      </w:pPr>
      <w:r>
        <w:rPr>
          <w:rFonts w:hint="eastAsia" w:eastAsia="宋体"/>
          <w:i/>
          <w:iCs/>
          <w:sz w:val="16"/>
          <w:szCs w:val="16"/>
          <w:lang w:eastAsia="zh-CN"/>
        </w:rPr>
        <w:drawing>
          <wp:inline distT="0" distB="0" distL="114300" distR="114300">
            <wp:extent cx="3690620" cy="2456815"/>
            <wp:effectExtent l="0" t="0" r="5080" b="635"/>
            <wp:docPr id="8" name="图片 8" descr="NCF_0262_1117_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NCF_0262_1117_AJ"/>
                    <pic:cNvPicPr>
                      <a:picLocks noChangeAspect="1"/>
                    </pic:cNvPicPr>
                  </pic:nvPicPr>
                  <pic:blipFill>
                    <a:blip r:embed="rId10"/>
                    <a:stretch>
                      <a:fillRect/>
                    </a:stretch>
                  </pic:blipFill>
                  <pic:spPr>
                    <a:xfrm>
                      <a:off x="0" y="0"/>
                      <a:ext cx="3690620" cy="2456815"/>
                    </a:xfrm>
                    <a:prstGeom prst="rect">
                      <a:avLst/>
                    </a:prstGeom>
                  </pic:spPr>
                </pic:pic>
              </a:graphicData>
            </a:graphic>
          </wp:inline>
        </w:drawing>
      </w:r>
    </w:p>
    <w:p>
      <w:pPr>
        <w:jc w:val="center"/>
        <w:rPr>
          <w:i/>
          <w:iCs/>
          <w:sz w:val="16"/>
          <w:szCs w:val="16"/>
        </w:rPr>
      </w:pPr>
      <w:r>
        <w:rPr>
          <w:rFonts w:hint="eastAsia"/>
          <w:i/>
          <w:iCs/>
          <w:sz w:val="16"/>
          <w:szCs w:val="16"/>
          <w:lang w:val="en-US" w:eastAsia="zh-CN"/>
        </w:rPr>
        <w:t>森海塞尔</w:t>
      </w:r>
      <w:r>
        <w:rPr>
          <w:rFonts w:hint="eastAsia"/>
          <w:i/>
          <w:iCs/>
          <w:sz w:val="16"/>
          <w:szCs w:val="16"/>
        </w:rPr>
        <w:t>大中华区专业音频产品应用技术经理赵亚军</w:t>
      </w:r>
    </w:p>
    <w:p/>
    <w:p>
      <w:r>
        <w:rPr>
          <w:rFonts w:hint="eastAsia"/>
          <w:lang w:val="en-US" w:eastAsia="zh-CN"/>
        </w:rPr>
        <w:t>森海塞尔</w:t>
      </w:r>
      <w:r>
        <w:rPr>
          <w:rFonts w:hint="eastAsia"/>
        </w:rPr>
        <w:t>大中华区专业音频产品应用技术经理赵亚军介绍了</w:t>
      </w:r>
      <w:r>
        <w:rPr>
          <w:rFonts w:hint="eastAsia"/>
          <w:lang w:val="en-US" w:eastAsia="zh-CN"/>
        </w:rPr>
        <w:t>诺音曼</w:t>
      </w:r>
      <w:r>
        <w:rPr>
          <w:rFonts w:hint="eastAsia"/>
        </w:rPr>
        <w:t>全链路参考级产品及其前沿技术，并分享了全球众多前沿沉浸声录音棚的精彩案例，其沉浸声系统均使用</w:t>
      </w:r>
      <w:r>
        <w:rPr>
          <w:rFonts w:hint="eastAsia"/>
          <w:lang w:val="en-US" w:eastAsia="zh-CN"/>
        </w:rPr>
        <w:t>诺音曼</w:t>
      </w:r>
      <w:r>
        <w:rPr>
          <w:rFonts w:hint="eastAsia"/>
        </w:rPr>
        <w:t>KH系列监听音箱搭建，应用场景覆盖各专业音频领域。这些录音棚均已满足杜比全景声内容制作环境的要求。</w:t>
      </w:r>
    </w:p>
    <w:p/>
    <w:p>
      <w:pPr>
        <w:jc w:val="center"/>
        <w:rPr>
          <w:rFonts w:hint="eastAsia" w:eastAsia="宋体"/>
          <w:i/>
          <w:iCs/>
          <w:sz w:val="16"/>
          <w:szCs w:val="16"/>
          <w:lang w:eastAsia="zh-CN"/>
        </w:rPr>
      </w:pPr>
      <w:r>
        <w:rPr>
          <w:rFonts w:hint="eastAsia" w:eastAsia="宋体"/>
          <w:i/>
          <w:iCs/>
          <w:sz w:val="16"/>
          <w:szCs w:val="16"/>
          <w:lang w:eastAsia="zh-CN"/>
        </w:rPr>
        <w:drawing>
          <wp:inline distT="0" distB="0" distL="114300" distR="114300">
            <wp:extent cx="3573780" cy="2379345"/>
            <wp:effectExtent l="0" t="0" r="7620" b="1905"/>
            <wp:docPr id="9" name="图片 9" descr="NCF_0297_1117_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NCF_0297_1117_AJ"/>
                    <pic:cNvPicPr>
                      <a:picLocks noChangeAspect="1"/>
                    </pic:cNvPicPr>
                  </pic:nvPicPr>
                  <pic:blipFill>
                    <a:blip r:embed="rId11"/>
                    <a:stretch>
                      <a:fillRect/>
                    </a:stretch>
                  </pic:blipFill>
                  <pic:spPr>
                    <a:xfrm>
                      <a:off x="0" y="0"/>
                      <a:ext cx="3573780" cy="2379345"/>
                    </a:xfrm>
                    <a:prstGeom prst="rect">
                      <a:avLst/>
                    </a:prstGeom>
                  </pic:spPr>
                </pic:pic>
              </a:graphicData>
            </a:graphic>
          </wp:inline>
        </w:drawing>
      </w:r>
    </w:p>
    <w:p>
      <w:pPr>
        <w:jc w:val="center"/>
        <w:rPr>
          <w:i/>
          <w:iCs/>
          <w:sz w:val="16"/>
          <w:szCs w:val="16"/>
        </w:rPr>
      </w:pPr>
      <w:r>
        <w:rPr>
          <w:rFonts w:hint="eastAsia"/>
          <w:i/>
          <w:iCs/>
          <w:sz w:val="16"/>
          <w:szCs w:val="16"/>
        </w:rPr>
        <w:t>杜比实验室技术总监张岩</w:t>
      </w:r>
    </w:p>
    <w:p/>
    <w:p>
      <w:r>
        <w:rPr>
          <w:rFonts w:hint="eastAsia"/>
        </w:rPr>
        <w:t>杜比实验室技术总监张岩带来了题为“关于杜比全景声的一切”的主题演讲并表示：“杜比全景声是开创性的沉浸式音频解决方案，突破了传统的环绕声概念，能真实还原人们的实际听声环境，带来优质的多维度聆听体验，已被广泛应用于各类音频制作中。我们期待业内同仁能够借助诺音曼打造的先进的沉浸声系统，拥有更非凡的杜比全景声创作环境。”</w:t>
      </w:r>
    </w:p>
    <w:p/>
    <w:p>
      <w:r>
        <w:rPr>
          <w:rFonts w:hint="eastAsia"/>
        </w:rPr>
        <w:t>随后是诺音曼沉浸声系统的体验互动环节。诺音曼香港体验中心的5.1.4沉浸声系统，由5个KH 80 DSP组成主扩音箱、 4个KH 80 DSP构成环绕音箱和 1个KH 750 DSP用作低音音箱，以极致的临场感和饱满的声音细节，最大程度还原真实的声音。</w:t>
      </w:r>
    </w:p>
    <w:p/>
    <w:p>
      <w:pPr>
        <w:jc w:val="center"/>
        <w:rPr>
          <w:sz w:val="16"/>
          <w:szCs w:val="16"/>
        </w:rPr>
      </w:pPr>
      <w:r>
        <w:rPr>
          <w:rFonts w:hint="eastAsia"/>
          <w:sz w:val="16"/>
          <w:szCs w:val="16"/>
        </w:rPr>
        <w:drawing>
          <wp:inline distT="0" distB="0" distL="0" distR="0">
            <wp:extent cx="2882900" cy="28829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2"/>
                    <a:srcRect/>
                    <a:stretch>
                      <a:fillRect/>
                    </a:stretch>
                  </pic:blipFill>
                  <pic:spPr>
                    <a:xfrm>
                      <a:off x="0" y="0"/>
                      <a:ext cx="2902554" cy="2902554"/>
                    </a:xfrm>
                    <a:prstGeom prst="rect">
                      <a:avLst/>
                    </a:prstGeom>
                    <a:noFill/>
                    <a:ln>
                      <a:noFill/>
                    </a:ln>
                  </pic:spPr>
                </pic:pic>
              </a:graphicData>
            </a:graphic>
          </wp:inline>
        </w:drawing>
      </w:r>
    </w:p>
    <w:p>
      <w:pPr>
        <w:jc w:val="center"/>
        <w:rPr>
          <w:i/>
          <w:iCs/>
          <w:sz w:val="16"/>
          <w:szCs w:val="16"/>
        </w:rPr>
      </w:pPr>
      <w:r>
        <w:rPr>
          <w:rFonts w:hint="eastAsia"/>
          <w:i/>
          <w:iCs/>
          <w:sz w:val="16"/>
          <w:szCs w:val="16"/>
        </w:rPr>
        <w:t>KH 80 DSP和KH 750 DSP可通过诺音曼MA 1自动监听校准系统进行相位线性分频和空间校正</w:t>
      </w:r>
    </w:p>
    <w:p/>
    <w:p>
      <w:r>
        <w:rPr>
          <w:rFonts w:hint="eastAsia"/>
        </w:rPr>
        <w:t>KH 80 DSP和KH 750 DSP采用数字核心，细节准确，指向精准，拥有参考级音质。这两款音箱均可通过诺音曼MA 1自动监听校准系统，进行相位线性分频和空间校正，即使在一些不太理想的环境，如小型录音棚或移动录音的临时控制室中，用户也能获得可靠的参考级监听支持。</w:t>
      </w:r>
    </w:p>
    <w:p/>
    <w:p>
      <w:r>
        <w:rPr>
          <w:rFonts w:hint="eastAsia"/>
        </w:rPr>
        <w:t>KH 80 DSP和KH 750 DSP设计紧凑，较适合小尺寸房间或工作室搭建沉浸声监听系统。除此之外，用户还可根据其实际空间大小选择不同尺寸的诺音曼KH系列监听音箱（KH 120 II、KH 150、KH 310、KH 420、KH 810和KH 870），打造最适合的沉浸声监听系统。</w:t>
      </w:r>
    </w:p>
    <w:p/>
    <w:p>
      <w:pPr>
        <w:jc w:val="center"/>
        <w:rPr>
          <w:sz w:val="16"/>
          <w:szCs w:val="16"/>
        </w:rPr>
      </w:pPr>
      <w:r>
        <w:rPr>
          <w:rFonts w:hint="eastAsia"/>
          <w:sz w:val="16"/>
          <w:szCs w:val="16"/>
        </w:rPr>
        <w:drawing>
          <wp:inline distT="0" distB="0" distL="0" distR="0">
            <wp:extent cx="3958590" cy="2007870"/>
            <wp:effectExtent l="0" t="0" r="381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3"/>
                    <a:srcRect/>
                    <a:stretch>
                      <a:fillRect/>
                    </a:stretch>
                  </pic:blipFill>
                  <pic:spPr>
                    <a:xfrm>
                      <a:off x="0" y="0"/>
                      <a:ext cx="4017612" cy="2038157"/>
                    </a:xfrm>
                    <a:prstGeom prst="rect">
                      <a:avLst/>
                    </a:prstGeom>
                    <a:noFill/>
                    <a:ln>
                      <a:noFill/>
                    </a:ln>
                  </pic:spPr>
                </pic:pic>
              </a:graphicData>
            </a:graphic>
          </wp:inline>
        </w:drawing>
      </w:r>
    </w:p>
    <w:p>
      <w:pPr>
        <w:jc w:val="center"/>
        <w:rPr>
          <w:i/>
          <w:iCs/>
          <w:sz w:val="16"/>
          <w:szCs w:val="16"/>
        </w:rPr>
      </w:pPr>
      <w:r>
        <w:rPr>
          <w:rFonts w:hint="eastAsia"/>
          <w:i/>
          <w:iCs/>
          <w:sz w:val="16"/>
          <w:szCs w:val="16"/>
        </w:rPr>
        <w:t>诺音曼KH系列监听音箱</w:t>
      </w:r>
    </w:p>
    <w:p/>
    <w:p>
      <w:r>
        <w:rPr>
          <w:rFonts w:hint="eastAsia"/>
        </w:rPr>
        <w:t>如您想亲身感受诺音曼KH系列监听音箱打造的5.1.4沉浸声系统及诺音曼全系列产品，欢迎光临诺音曼香港体验中心（地址：香港新界荃湾海盛路3号TML广场35楼D2）参观体验。</w:t>
      </w:r>
    </w:p>
    <w:p/>
    <w:p>
      <w:bookmarkStart w:id="0" w:name="_Hlk108026077"/>
      <w:r>
        <w:br w:type="page"/>
      </w:r>
    </w:p>
    <w:bookmarkEnd w:id="0"/>
    <w:p>
      <w:pPr>
        <w:pStyle w:val="25"/>
        <w:rPr>
          <w:rFonts w:cs="Sennheiser Office"/>
          <w:b/>
          <w:bCs/>
          <w:color w:val="000000"/>
          <w:sz w:val="20"/>
        </w:rPr>
      </w:pPr>
      <w:r>
        <w:rPr>
          <w:rFonts w:cs="Sennheiser Office"/>
          <w:b/>
          <w:bCs/>
          <w:color w:val="000000"/>
          <w:sz w:val="20"/>
          <w:lang w:val="en-US"/>
        </w:rPr>
        <w:t>关于</w:t>
      </w:r>
      <w:r>
        <w:rPr>
          <w:rFonts w:cs="Sennheiser Office"/>
          <w:b/>
          <w:bCs/>
          <w:color w:val="000000"/>
          <w:sz w:val="20"/>
        </w:rPr>
        <w:t>Neumann</w:t>
      </w:r>
      <w:r>
        <w:rPr>
          <w:rFonts w:cs="Sennheiser Office"/>
          <w:b/>
          <w:bCs/>
          <w:color w:val="000000"/>
          <w:sz w:val="20"/>
          <w:lang w:val="en-US"/>
        </w:rPr>
        <w:t>诺音曼</w:t>
      </w:r>
    </w:p>
    <w:p>
      <w:pPr>
        <w:pStyle w:val="25"/>
        <w:rPr>
          <w:rFonts w:hint="default" w:ascii="Sennheiser Office" w:hAnsi="Sennheiser Office" w:cs="Sennheiser Office"/>
          <w:color w:val="000000"/>
          <w:sz w:val="20"/>
        </w:rPr>
      </w:pPr>
    </w:p>
    <w:p>
      <w:r>
        <w:rPr>
          <w:rFonts w:cs="Sennheiser Office"/>
          <w:color w:val="000000"/>
          <w:sz w:val="20"/>
        </w:rPr>
        <w:t>Georg Neumann GmbH，</w:t>
      </w:r>
      <w:r>
        <w:rPr>
          <w:rFonts w:cs="Sennheiser Office"/>
          <w:color w:val="000000"/>
          <w:sz w:val="20"/>
          <w:lang w:val="en-US"/>
        </w:rPr>
        <w:t>称为</w:t>
      </w:r>
      <w:r>
        <w:rPr>
          <w:rFonts w:cs="Sennheiser Office"/>
          <w:color w:val="000000"/>
          <w:sz w:val="20"/>
        </w:rPr>
        <w:t>“Neumann.Berlin”（</w:t>
      </w:r>
      <w:r>
        <w:rPr>
          <w:rFonts w:cs="Sennheiser Office"/>
          <w:color w:val="000000"/>
          <w:sz w:val="20"/>
          <w:lang w:val="en-US"/>
        </w:rPr>
        <w:t>诺音曼</w:t>
      </w:r>
      <w:r>
        <w:rPr>
          <w:rFonts w:cs="Sennheiser Office"/>
          <w:color w:val="000000"/>
          <w:sz w:val="20"/>
        </w:rPr>
        <w:t>），</w:t>
      </w:r>
      <w:r>
        <w:rPr>
          <w:rFonts w:cs="Sennheiser Office"/>
          <w:color w:val="000000"/>
          <w:sz w:val="20"/>
          <w:lang w:val="en-US"/>
        </w:rPr>
        <w:t>是全球领先的录音棚级音</w:t>
      </w:r>
      <w:r>
        <w:rPr>
          <w:rFonts w:hint="eastAsia" w:cs="Sennheiser Office"/>
          <w:color w:val="000000"/>
          <w:sz w:val="20"/>
          <w:lang w:val="en-US" w:eastAsia="zh-CN"/>
        </w:rPr>
        <w:t>频</w:t>
      </w:r>
      <w:r>
        <w:rPr>
          <w:rFonts w:cs="Sennheiser Office"/>
          <w:color w:val="000000"/>
          <w:sz w:val="20"/>
          <w:lang w:val="en-US"/>
        </w:rPr>
        <w:t>设备制造商</w:t>
      </w:r>
      <w:r>
        <w:rPr>
          <w:rFonts w:cs="Sennheiser Office"/>
          <w:color w:val="000000"/>
          <w:sz w:val="20"/>
        </w:rPr>
        <w:t>，</w:t>
      </w:r>
      <w:r>
        <w:rPr>
          <w:rFonts w:cs="Sennheiser Office"/>
          <w:color w:val="000000"/>
          <w:sz w:val="20"/>
          <w:lang w:val="en-US"/>
        </w:rPr>
        <w:t>打造了许多富有盛名的传奇麦克风</w:t>
      </w:r>
      <w:r>
        <w:rPr>
          <w:rFonts w:cs="Sennheiser Office"/>
          <w:color w:val="000000"/>
          <w:sz w:val="20"/>
        </w:rPr>
        <w:t>，</w:t>
      </w:r>
      <w:r>
        <w:rPr>
          <w:rFonts w:cs="Sennheiser Office"/>
          <w:color w:val="000000"/>
          <w:sz w:val="20"/>
          <w:lang w:val="en-US"/>
        </w:rPr>
        <w:t>如</w:t>
      </w:r>
      <w:r>
        <w:rPr>
          <w:rFonts w:cs="Sennheiser Office"/>
          <w:color w:val="000000"/>
          <w:sz w:val="20"/>
        </w:rPr>
        <w:t>U 47, M 49, U 67</w:t>
      </w:r>
      <w:r>
        <w:rPr>
          <w:rFonts w:cs="Sennheiser Office"/>
          <w:color w:val="000000"/>
          <w:sz w:val="20"/>
          <w:lang w:val="en-US"/>
        </w:rPr>
        <w:t>和</w:t>
      </w:r>
      <w:r>
        <w:rPr>
          <w:rFonts w:cs="Sennheiser Office"/>
          <w:color w:val="000000"/>
          <w:sz w:val="20"/>
        </w:rPr>
        <w:t>U 87</w:t>
      </w:r>
      <w:r>
        <w:rPr>
          <w:rFonts w:cs="Sennheiser Office"/>
          <w:color w:val="000000"/>
          <w:sz w:val="20"/>
          <w:lang w:val="en-US"/>
        </w:rPr>
        <w:t>。</w:t>
      </w:r>
      <w:r>
        <w:rPr>
          <w:rFonts w:cs="Sennheiser Office"/>
          <w:color w:val="000000"/>
          <w:sz w:val="20"/>
          <w:lang w:val="en-US" w:eastAsia="zh-CN"/>
        </w:rPr>
        <w:t>诺音曼于1928年创建</w:t>
      </w:r>
      <w:r>
        <w:rPr>
          <w:rFonts w:hint="eastAsia" w:cs="Sennheiser Office"/>
          <w:color w:val="000000"/>
          <w:sz w:val="20"/>
          <w:lang w:val="en-US" w:eastAsia="zh-CN"/>
        </w:rPr>
        <w:t>于柏林</w:t>
      </w:r>
      <w:r>
        <w:rPr>
          <w:rFonts w:cs="Sennheiser Office"/>
          <w:color w:val="000000"/>
          <w:sz w:val="20"/>
          <w:lang w:val="en-US" w:eastAsia="zh-CN"/>
        </w:rPr>
        <w:t>，凭借技术创新屡获国际大奖。自2010年以来，诺音曼将其在电声换能器方面的专长扩展到录音棚监听音</w:t>
      </w:r>
      <w:bookmarkStart w:id="1" w:name="_Hlk151066827"/>
      <w:r>
        <w:rPr>
          <w:rFonts w:hint="eastAsia" w:cs="Sennheiser Office"/>
          <w:color w:val="000000"/>
          <w:sz w:val="20"/>
          <w:lang w:val="en-US" w:eastAsia="zh-CN"/>
        </w:rPr>
        <w:t>箱</w:t>
      </w:r>
      <w:bookmarkEnd w:id="1"/>
      <w:r>
        <w:rPr>
          <w:rFonts w:cs="Sennheiser Office"/>
          <w:color w:val="000000"/>
          <w:sz w:val="20"/>
          <w:lang w:val="en-US" w:eastAsia="zh-CN"/>
        </w:rPr>
        <w:t>市场，主要面向电视，广播，录音及音频制作等应用领域。首支诺音曼录音棚监听耳机于2019年面世。自2022年以来，诺音曼越来越关注为现场演出提供专业解决方案。</w:t>
      </w:r>
      <w:bookmarkStart w:id="2" w:name="_Hlk151067072"/>
      <w:r>
        <w:rPr>
          <w:rFonts w:cs="Sennheiser Office"/>
          <w:color w:val="000000"/>
          <w:sz w:val="20"/>
          <w:lang w:val="en-US" w:eastAsia="zh-CN"/>
        </w:rPr>
        <w:t>随着首款音频接口MT  48的推出，以及其革新性转换器技术，诺音曼现可提供拾取</w:t>
      </w:r>
      <w:r>
        <w:rPr>
          <w:rFonts w:hint="eastAsia" w:cs="Sennheiser Office"/>
          <w:color w:val="000000"/>
          <w:sz w:val="20"/>
          <w:lang w:val="en-US" w:eastAsia="zh-CN"/>
        </w:rPr>
        <w:t>和</w:t>
      </w:r>
      <w:r>
        <w:rPr>
          <w:rFonts w:cs="Sennheiser Office"/>
          <w:color w:val="000000"/>
          <w:sz w:val="20"/>
          <w:lang w:val="en-US" w:eastAsia="zh-CN"/>
        </w:rPr>
        <w:t>传递最佳</w:t>
      </w:r>
      <w:r>
        <w:rPr>
          <w:rFonts w:hint="eastAsia" w:cs="Sennheiser Office"/>
          <w:color w:val="000000"/>
          <w:sz w:val="20"/>
          <w:lang w:val="en-US" w:eastAsia="zh-CN"/>
        </w:rPr>
        <w:t>声音所需</w:t>
      </w:r>
      <w:r>
        <w:rPr>
          <w:rFonts w:cs="Sennheiser Office"/>
          <w:color w:val="000000"/>
          <w:sz w:val="20"/>
          <w:lang w:val="en-US" w:eastAsia="zh-CN"/>
        </w:rPr>
        <w:t>的所有必要技术。</w:t>
      </w:r>
      <w:bookmarkEnd w:id="2"/>
      <w:r>
        <w:rPr>
          <w:rFonts w:cs="Sennheiser Office"/>
          <w:color w:val="000000"/>
          <w:sz w:val="20"/>
        </w:rPr>
        <w:t>Georg Neumann GmbH</w:t>
      </w:r>
      <w:r>
        <w:rPr>
          <w:rFonts w:cs="Sennheiser Office"/>
          <w:color w:val="000000"/>
          <w:sz w:val="20"/>
          <w:lang w:val="en-US"/>
        </w:rPr>
        <w:t>于</w:t>
      </w:r>
      <w:r>
        <w:rPr>
          <w:rFonts w:cs="Sennheiser Office"/>
          <w:color w:val="000000"/>
          <w:sz w:val="20"/>
        </w:rPr>
        <w:t>1991</w:t>
      </w:r>
      <w:r>
        <w:rPr>
          <w:rFonts w:cs="Sennheiser Office"/>
          <w:color w:val="000000"/>
          <w:sz w:val="20"/>
          <w:lang w:val="en-US"/>
        </w:rPr>
        <w:t>年并入森海塞尔集团</w:t>
      </w:r>
      <w:r>
        <w:rPr>
          <w:rFonts w:cs="Sennheiser Office"/>
          <w:color w:val="000000"/>
          <w:sz w:val="20"/>
        </w:rPr>
        <w:t>，</w:t>
      </w:r>
      <w:r>
        <w:rPr>
          <w:rFonts w:cs="Sennheiser Office"/>
          <w:color w:val="000000"/>
          <w:sz w:val="20"/>
          <w:lang w:val="en-US"/>
        </w:rPr>
        <w:t>其产品由森海塞尔的子公司和长期贸易伙伴代理在全球销售</w:t>
      </w:r>
      <w:r>
        <w:t>。</w:t>
      </w:r>
      <w:r>
        <w:fldChar w:fldCharType="begin"/>
      </w:r>
      <w:r>
        <w:instrText xml:space="preserve"> HYPERLINK "http://www.neumann.com" </w:instrText>
      </w:r>
      <w:r>
        <w:fldChar w:fldCharType="separate"/>
      </w:r>
      <w:r>
        <w:rPr>
          <w:rStyle w:val="16"/>
        </w:rPr>
        <w:t>www.neumann.com</w:t>
      </w:r>
      <w:r>
        <w:rPr>
          <w:rStyle w:val="16"/>
        </w:rPr>
        <w:fldChar w:fldCharType="end"/>
      </w:r>
    </w:p>
    <w:p>
      <w:pPr>
        <w:rPr>
          <w:lang w:val="en-US"/>
        </w:rPr>
      </w:pPr>
    </w:p>
    <w:p>
      <w:r>
        <w:rPr>
          <w:rFonts w:hint="eastAsia"/>
        </w:rPr>
        <w:t>大中华区新闻联络人</w:t>
      </w:r>
    </w:p>
    <w:p>
      <w:r>
        <w:rPr>
          <w:rFonts w:hint="eastAsia"/>
        </w:rPr>
        <w:t>顾彦多</w:t>
      </w:r>
      <w:r>
        <w:t xml:space="preserve"> Ivy</w:t>
      </w:r>
    </w:p>
    <w:p>
      <w:r>
        <w:t>ivy.gu@sennheiser.com</w:t>
      </w:r>
    </w:p>
    <w:p>
      <w:r>
        <w:t>+86-138 1067 4317</w:t>
      </w:r>
    </w:p>
    <w:sectPr>
      <w:headerReference r:id="rId6" w:type="first"/>
      <w:headerReference r:id="rId5" w:type="default"/>
      <w:pgSz w:w="11906" w:h="16838"/>
      <w:pgMar w:top="2754" w:right="2124" w:bottom="793" w:left="1418" w:header="629" w:footer="482" w:gutter="0"/>
      <w:cols w:space="708" w:num="1"/>
      <w:titlePg/>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D3E559B3-03E8-423F-A3D2-2A6DADCBADFD}"/>
  </w:font>
  <w:font w:name="Arial">
    <w:panose1 w:val="020B0604020202020204"/>
    <w:charset w:val="01"/>
    <w:family w:val="swiss"/>
    <w:pitch w:val="default"/>
    <w:sig w:usb0="E0002EFF" w:usb1="C000785B" w:usb2="00000009" w:usb3="00000000" w:csb0="400001FF" w:csb1="FFFF0000"/>
    <w:embedRegular r:id="rId2" w:fontKey="{28739A97-7DCE-449B-A82F-0F032381159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BE7939A9-06B8-4249-96FC-73AE2861AF23}"/>
  </w:font>
  <w:font w:name="Symbol">
    <w:panose1 w:val="05050102010706020507"/>
    <w:charset w:val="02"/>
    <w:family w:val="roman"/>
    <w:pitch w:val="default"/>
    <w:sig w:usb0="00000000" w:usb1="00000000" w:usb2="00000000" w:usb3="00000000" w:csb0="80000000" w:csb1="00000000"/>
    <w:embedRegular r:id="rId4" w:fontKey="{259E1E71-15AF-4DB5-92B5-367B214B1CF9}"/>
  </w:font>
  <w:font w:name="Calibri">
    <w:panose1 w:val="020F0502020204030204"/>
    <w:charset w:val="00"/>
    <w:family w:val="swiss"/>
    <w:pitch w:val="default"/>
    <w:sig w:usb0="E4002EFF" w:usb1="C200247B" w:usb2="00000009" w:usb3="00000000" w:csb0="200001FF" w:csb1="00000000"/>
    <w:embedRegular r:id="rId5" w:fontKey="{FA50AE3D-751E-4CF8-9827-C8CF4D6214EB}"/>
  </w:font>
  <w:font w:name="Sennheiser Office">
    <w:panose1 w:val="02010504010101010104"/>
    <w:charset w:val="00"/>
    <w:family w:val="swiss"/>
    <w:pitch w:val="default"/>
    <w:sig w:usb0="A00000AF" w:usb1="500020DB" w:usb2="00000000" w:usb3="00000000" w:csb0="20000093" w:csb1="00000000"/>
    <w:embedRegular r:id="rId6" w:fontKey="{77DA3DEC-AA9B-4C94-B5DF-8390ECEE5AF8}"/>
  </w:font>
  <w:font w:name="Segoe UI">
    <w:panose1 w:val="020B0502040204020203"/>
    <w:charset w:val="00"/>
    <w:family w:val="swiss"/>
    <w:pitch w:val="default"/>
    <w:sig w:usb0="E4002EFF" w:usb1="C000E47F" w:usb2="00000009" w:usb3="00000000" w:csb0="200001FF" w:csb1="00000000"/>
    <w:embedRegular r:id="rId7" w:fontKey="{9D41743C-9595-4B61-8838-F8F30CCF6CDA}"/>
  </w:font>
  <w:font w:name="Avenir Next Condensed Regular">
    <w:altName w:val="Segoe Print"/>
    <w:panose1 w:val="00000000000000000000"/>
    <w:charset w:val="00"/>
    <w:family w:val="swiss"/>
    <w:pitch w:val="default"/>
    <w:sig w:usb0="00000000" w:usb1="00000000" w:usb2="00000000" w:usb3="00000000" w:csb0="0000009B" w:csb1="00000000"/>
    <w:embedRegular r:id="rId8" w:fontKey="{81EC58AC-7912-4967-AC1A-3CC560F7A636}"/>
  </w:font>
  <w:font w:name="MS Mincho">
    <w:altName w:val="Yu Gothic UI"/>
    <w:panose1 w:val="02020609040205080304"/>
    <w:charset w:val="80"/>
    <w:family w:val="modern"/>
    <w:pitch w:val="default"/>
    <w:sig w:usb0="00000000" w:usb1="00000000" w:usb2="00000012" w:usb3="00000000" w:csb0="4002009F" w:csb1="DFD70000"/>
  </w:font>
  <w:font w:name="Arial Narrow">
    <w:panose1 w:val="020B0606020202030204"/>
    <w:charset w:val="00"/>
    <w:family w:val="swiss"/>
    <w:pitch w:val="default"/>
    <w:sig w:usb0="00000287" w:usb1="00000800" w:usb2="00000000" w:usb3="00000000" w:csb0="2000009F" w:csb1="DFD70000"/>
    <w:embedRegular r:id="rId9" w:fontKey="{CC7B480F-6CCD-46B5-8F82-7B5236BFD5A0}"/>
  </w:font>
  <w:font w:name="UnitPro">
    <w:altName w:val="Segoe Script"/>
    <w:panose1 w:val="00000000000000000000"/>
    <w:charset w:val="00"/>
    <w:family w:val="swiss"/>
    <w:pitch w:val="default"/>
    <w:sig w:usb0="00000000" w:usb1="00000000" w:usb2="00000008" w:usb3="00000000" w:csb0="0000009F" w:csb1="00000000"/>
    <w:embedRegular r:id="rId10" w:fontKey="{2F9D77AC-AC20-4407-B834-F267194A6B5B}"/>
  </w:font>
  <w:font w:name="Arial">
    <w:panose1 w:val="020B0604020202020204"/>
    <w:charset w:val="00"/>
    <w:family w:val="auto"/>
    <w:pitch w:val="default"/>
    <w:sig w:usb0="E0002EFF" w:usb1="C000785B" w:usb2="00000009" w:usb3="00000000" w:csb0="400001FF" w:csb1="FFFF0000"/>
    <w:embedRegular r:id="rId11" w:fontKey="{F4BB73CF-44EC-46E8-90A7-99F311D26FB6}"/>
  </w:font>
  <w:font w:name="Segoe Script">
    <w:panose1 w:val="030B0504020000000003"/>
    <w:charset w:val="00"/>
    <w:family w:val="auto"/>
    <w:pitch w:val="default"/>
    <w:sig w:usb0="0000028F" w:usb1="00000000" w:usb2="00000000" w:usb3="00000000" w:csb0="0000009F" w:csb1="00000000"/>
    <w:embedRegular r:id="rId12" w:fontKey="{C244B4FE-A9A1-4769-A15C-5A92846E0762}"/>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right="-1559"/>
      <w:rPr>
        <w:rFonts w:asciiTheme="minorHAnsi" w:hAnsiTheme="minorHAnsi" w:cstheme="minorHAnsi"/>
      </w:rPr>
    </w:pPr>
    <w:r>
      <w:rPr>
        <w:rFonts w:asciiTheme="minorHAnsi" w:hAnsiTheme="minorHAnsi" w:cstheme="minorHAnsi"/>
        <w:caps w:val="0"/>
        <w:color w:val="414141" w:themeColor="accent2"/>
        <w:lang w:val="en-US" w:eastAsia="en-US"/>
        <w14:textFill>
          <w14:solidFill>
            <w14:schemeClr w14:val="accent2"/>
          </w14:solidFill>
        </w14:textFill>
      </w:rPr>
      <w:drawing>
        <wp:anchor distT="0" distB="0" distL="114300" distR="114300" simplePos="0" relativeHeight="251659264" behindDoc="0" locked="1" layoutInCell="1" allowOverlap="1">
          <wp:simplePos x="0" y="0"/>
          <wp:positionH relativeFrom="page">
            <wp:posOffset>900430</wp:posOffset>
          </wp:positionH>
          <wp:positionV relativeFrom="page">
            <wp:posOffset>398780</wp:posOffset>
          </wp:positionV>
          <wp:extent cx="3153410" cy="694690"/>
          <wp:effectExtent l="0" t="0" r="0" b="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a:xfrm>
                    <a:off x="0" y="0"/>
                    <a:ext cx="3153600" cy="694800"/>
                  </a:xfrm>
                  <a:prstGeom prst="rect">
                    <a:avLst/>
                  </a:prstGeom>
                  <a:noFill/>
                  <a:ln>
                    <a:noFill/>
                  </a:ln>
                </pic:spPr>
              </pic:pic>
            </a:graphicData>
          </a:graphic>
        </wp:anchor>
      </w:drawing>
    </w:r>
    <w:r>
      <w:rPr>
        <w:rFonts w:asciiTheme="minorHAnsi" w:hAnsiTheme="minorHAnsi" w:cstheme="minorHAnsi"/>
      </w:rPr>
      <w:fldChar w:fldCharType="begin"/>
    </w:r>
    <w:r>
      <w:rPr>
        <w:rFonts w:asciiTheme="minorHAnsi" w:hAnsiTheme="minorHAnsi" w:cstheme="minorHAnsi"/>
      </w:rPr>
      <w:instrText xml:space="preserve"> PAGE  \* Arabic  \* MERGEFORMAT </w:instrText>
    </w:r>
    <w:r>
      <w:rPr>
        <w:rFonts w:asciiTheme="minorHAnsi" w:hAnsiTheme="minorHAnsi" w:cstheme="minorHAnsi"/>
      </w:rPr>
      <w:fldChar w:fldCharType="separate"/>
    </w:r>
    <w:r>
      <w:rPr>
        <w:rFonts w:eastAsia="宋体" w:asciiTheme="minorHAnsi" w:hAnsiTheme="minorHAnsi" w:cstheme="minorHAnsi"/>
      </w:rPr>
      <w:t>2</w:t>
    </w:r>
    <w:r>
      <w:rPr>
        <w:rFonts w:asciiTheme="minorHAnsi" w:hAnsiTheme="minorHAnsi" w:cstheme="minorHAnsi"/>
      </w:rPr>
      <w:fldChar w:fldCharType="end"/>
    </w:r>
    <w:r>
      <w:rPr>
        <w:rFonts w:eastAsia="宋体" w:asciiTheme="minorHAnsi" w:hAnsiTheme="minorHAnsi" w:cstheme="minorHAnsi"/>
      </w:rPr>
      <w:t>/</w:t>
    </w:r>
    <w:r>
      <w:rPr>
        <w:rFonts w:asciiTheme="minorHAnsi" w:hAnsiTheme="minorHAnsi" w:cstheme="minorHAnsi"/>
      </w:rPr>
      <w:fldChar w:fldCharType="begin"/>
    </w:r>
    <w:r>
      <w:rPr>
        <w:rFonts w:asciiTheme="minorHAnsi" w:hAnsiTheme="minorHAnsi" w:cstheme="minorHAnsi"/>
      </w:rPr>
      <w:instrText xml:space="preserve"> NUMPAGES  \* Arabic  \* MERGEFORMAT </w:instrText>
    </w:r>
    <w:r>
      <w:rPr>
        <w:rFonts w:asciiTheme="minorHAnsi" w:hAnsiTheme="minorHAnsi" w:cstheme="minorHAnsi"/>
      </w:rPr>
      <w:fldChar w:fldCharType="separate"/>
    </w:r>
    <w:r>
      <w:rPr>
        <w:rFonts w:eastAsia="宋体" w:asciiTheme="minorHAnsi" w:hAnsiTheme="minorHAnsi" w:cstheme="minorHAnsi"/>
      </w:rPr>
      <w:t>2</w:t>
    </w:r>
    <w:r>
      <w:rPr>
        <w:rFonts w:asciiTheme="minorHAnsi" w:hAnsiTheme="minorHAnsi" w:cstheme="minorHAnsi"/>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right="-1559"/>
      <w:rPr>
        <w:rFonts w:asciiTheme="minorHAnsi" w:hAnsiTheme="minorHAnsi" w:cstheme="minorHAnsi"/>
        <w:color w:val="414141" w:themeColor="accent2"/>
        <w14:textFill>
          <w14:solidFill>
            <w14:schemeClr w14:val="accent2"/>
          </w14:solidFill>
        </w14:textFill>
      </w:rPr>
    </w:pPr>
    <w:r>
      <w:rPr>
        <w:rFonts w:eastAsia="宋体" w:asciiTheme="minorHAnsi" w:hAnsiTheme="minorHAnsi" w:cstheme="minorHAnsi"/>
        <w:color w:val="414141" w:themeColor="accent2"/>
        <w:lang w:val="en-US"/>
        <w14:textFill>
          <w14:solidFill>
            <w14:schemeClr w14:val="accent2"/>
          </w14:solidFill>
        </w14:textFill>
      </w:rPr>
      <w:t>PRESS</w:t>
    </w:r>
    <w:r>
      <w:rPr>
        <w:rFonts w:asciiTheme="minorHAnsi" w:hAnsiTheme="minorHAnsi" w:cstheme="minorHAnsi"/>
        <w:caps w:val="0"/>
        <w:color w:val="414141" w:themeColor="accent2"/>
        <w:lang w:val="en-US" w:eastAsia="en-US"/>
        <w14:textFill>
          <w14:solidFill>
            <w14:schemeClr w14:val="accent2"/>
          </w14:solidFill>
        </w14:textFill>
      </w:rPr>
      <w:drawing>
        <wp:anchor distT="0" distB="0" distL="114300" distR="114300" simplePos="0" relativeHeight="251660288" behindDoc="0" locked="1" layoutInCell="1" allowOverlap="1">
          <wp:simplePos x="0" y="0"/>
          <wp:positionH relativeFrom="page">
            <wp:posOffset>900430</wp:posOffset>
          </wp:positionH>
          <wp:positionV relativeFrom="page">
            <wp:posOffset>398780</wp:posOffset>
          </wp:positionV>
          <wp:extent cx="3153410" cy="694690"/>
          <wp:effectExtent l="0" t="0" r="0" b="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a:xfrm>
                    <a:off x="0" y="0"/>
                    <a:ext cx="3153600" cy="694800"/>
                  </a:xfrm>
                  <a:prstGeom prst="rect">
                    <a:avLst/>
                  </a:prstGeom>
                  <a:noFill/>
                  <a:ln>
                    <a:noFill/>
                  </a:ln>
                </pic:spPr>
              </pic:pic>
            </a:graphicData>
          </a:graphic>
        </wp:anchor>
      </w:drawing>
    </w:r>
    <w:r>
      <w:rPr>
        <w:rFonts w:eastAsia="宋体" w:asciiTheme="minorHAnsi" w:hAnsiTheme="minorHAnsi" w:cstheme="minorHAnsi"/>
        <w:color w:val="414141" w:themeColor="accent2"/>
        <w14:textFill>
          <w14:solidFill>
            <w14:schemeClr w14:val="accent2"/>
          </w14:solidFill>
        </w14:textFill>
      </w:rPr>
      <w:t xml:space="preserve"> Release</w:t>
    </w:r>
  </w:p>
  <w:p>
    <w:pPr>
      <w:pStyle w:val="8"/>
      <w:ind w:right="-1559"/>
      <w:rPr>
        <w:rFonts w:ascii="UnitPro" w:hAnsi="UnitPro" w:cs="UnitPro"/>
        <w:color w:val="414141" w:themeColor="accent2"/>
        <w14:textFill>
          <w14:solidFill>
            <w14:schemeClr w14:val="accent2"/>
          </w14:solidFill>
        </w14:textFill>
      </w:rPr>
    </w:pPr>
    <w:r>
      <w:rPr>
        <w:rFonts w:asciiTheme="minorHAnsi" w:hAnsiTheme="minorHAnsi" w:cstheme="minorHAnsi"/>
        <w:color w:val="414141" w:themeColor="accent2"/>
        <w14:textFill>
          <w14:solidFill>
            <w14:schemeClr w14:val="accent2"/>
          </w14:solidFill>
        </w14:textFill>
      </w:rPr>
      <w:fldChar w:fldCharType="begin"/>
    </w:r>
    <w:r>
      <w:rPr>
        <w:rFonts w:asciiTheme="minorHAnsi" w:hAnsiTheme="minorHAnsi" w:cstheme="minorHAnsi"/>
        <w:color w:val="414141" w:themeColor="accent2"/>
        <w14:textFill>
          <w14:solidFill>
            <w14:schemeClr w14:val="accent2"/>
          </w14:solidFill>
        </w14:textFill>
      </w:rPr>
      <w:instrText xml:space="preserve"> PAGE  \* Arabic  \* MERGEFORMAT </w:instrText>
    </w:r>
    <w:r>
      <w:rPr>
        <w:rFonts w:asciiTheme="minorHAnsi" w:hAnsiTheme="minorHAnsi" w:cstheme="minorHAnsi"/>
        <w:color w:val="414141" w:themeColor="accent2"/>
        <w14:textFill>
          <w14:solidFill>
            <w14:schemeClr w14:val="accent2"/>
          </w14:solidFill>
        </w14:textFill>
      </w:rPr>
      <w:fldChar w:fldCharType="separate"/>
    </w:r>
    <w:r>
      <w:rPr>
        <w:rFonts w:eastAsia="宋体" w:asciiTheme="minorHAnsi" w:hAnsiTheme="minorHAnsi" w:cstheme="minorHAnsi"/>
        <w:color w:val="414141" w:themeColor="accent2"/>
        <w14:textFill>
          <w14:solidFill>
            <w14:schemeClr w14:val="accent2"/>
          </w14:solidFill>
        </w14:textFill>
      </w:rPr>
      <w:t>1</w:t>
    </w:r>
    <w:r>
      <w:rPr>
        <w:rFonts w:asciiTheme="minorHAnsi" w:hAnsiTheme="minorHAnsi" w:cstheme="minorHAnsi"/>
        <w:color w:val="414141" w:themeColor="accent2"/>
        <w14:textFill>
          <w14:solidFill>
            <w14:schemeClr w14:val="accent2"/>
          </w14:solidFill>
        </w14:textFill>
      </w:rPr>
      <w:fldChar w:fldCharType="end"/>
    </w:r>
    <w:r>
      <w:rPr>
        <w:rFonts w:eastAsia="宋体" w:asciiTheme="minorHAnsi" w:hAnsiTheme="minorHAnsi" w:cstheme="minorHAnsi"/>
        <w:color w:val="414141" w:themeColor="accent2"/>
        <w14:textFill>
          <w14:solidFill>
            <w14:schemeClr w14:val="accent2"/>
          </w14:solidFill>
        </w14:textFill>
      </w:rPr>
      <w:t>/</w:t>
    </w:r>
    <w:r>
      <w:rPr>
        <w:rFonts w:asciiTheme="minorHAnsi" w:hAnsiTheme="minorHAnsi" w:cstheme="minorHAnsi"/>
        <w:color w:val="414141" w:themeColor="accent2"/>
        <w14:textFill>
          <w14:solidFill>
            <w14:schemeClr w14:val="accent2"/>
          </w14:solidFill>
        </w14:textFill>
      </w:rPr>
      <w:fldChar w:fldCharType="begin"/>
    </w:r>
    <w:r>
      <w:rPr>
        <w:rFonts w:asciiTheme="minorHAnsi" w:hAnsiTheme="minorHAnsi" w:cstheme="minorHAnsi"/>
        <w:color w:val="414141" w:themeColor="accent2"/>
        <w14:textFill>
          <w14:solidFill>
            <w14:schemeClr w14:val="accent2"/>
          </w14:solidFill>
        </w14:textFill>
      </w:rPr>
      <w:instrText xml:space="preserve"> NUMPAGES  \* Arabic  \* MERGEFORMAT </w:instrText>
    </w:r>
    <w:r>
      <w:rPr>
        <w:rFonts w:asciiTheme="minorHAnsi" w:hAnsiTheme="minorHAnsi" w:cstheme="minorHAnsi"/>
        <w:color w:val="414141" w:themeColor="accent2"/>
        <w14:textFill>
          <w14:solidFill>
            <w14:schemeClr w14:val="accent2"/>
          </w14:solidFill>
        </w14:textFill>
      </w:rPr>
      <w:fldChar w:fldCharType="separate"/>
    </w:r>
    <w:r>
      <w:rPr>
        <w:rFonts w:eastAsia="宋体" w:asciiTheme="minorHAnsi" w:hAnsiTheme="minorHAnsi" w:cstheme="minorHAnsi"/>
        <w:color w:val="414141" w:themeColor="accent2"/>
        <w14:textFill>
          <w14:solidFill>
            <w14:schemeClr w14:val="accent2"/>
          </w14:solidFill>
        </w14:textFill>
      </w:rPr>
      <w:t>2</w:t>
    </w:r>
    <w:r>
      <w:rPr>
        <w:rFonts w:asciiTheme="minorHAnsi" w:hAnsiTheme="minorHAnsi" w:cstheme="minorHAnsi"/>
        <w:color w:val="414141" w:themeColor="accent2"/>
        <w14:textFill>
          <w14:solidFill>
            <w14:schemeClr w14:val="accent2"/>
          </w14:solidFill>
        </w14:textFill>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08"/>
  <w:hyphenationZone w:val="425"/>
  <w:noPunctuationKerning w:val="1"/>
  <w:characterSpacingControl w:val="doNotCompress"/>
  <w:footnotePr>
    <w:footnote w:id="0"/>
    <w:footnote w:id="1"/>
  </w:footnotePr>
  <w:endnotePr>
    <w:endnote w:id="0"/>
    <w:endnote w:id="1"/>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g0MGVjOGUyZDhkNGI2ZTMwYTAxNDUxNjRhMWRhNzIifQ=="/>
  </w:docVars>
  <w:rsids>
    <w:rsidRoot w:val="00CA1EB9"/>
    <w:rsid w:val="00000EC1"/>
    <w:rsid w:val="000010E1"/>
    <w:rsid w:val="00001A5F"/>
    <w:rsid w:val="0000263E"/>
    <w:rsid w:val="00003FE8"/>
    <w:rsid w:val="000049C8"/>
    <w:rsid w:val="00005543"/>
    <w:rsid w:val="00006FA8"/>
    <w:rsid w:val="000071F7"/>
    <w:rsid w:val="00007A78"/>
    <w:rsid w:val="00014791"/>
    <w:rsid w:val="000177F5"/>
    <w:rsid w:val="000204AA"/>
    <w:rsid w:val="000248A8"/>
    <w:rsid w:val="0002699E"/>
    <w:rsid w:val="00027F42"/>
    <w:rsid w:val="00031E96"/>
    <w:rsid w:val="00031F2A"/>
    <w:rsid w:val="00033182"/>
    <w:rsid w:val="000355EE"/>
    <w:rsid w:val="00036334"/>
    <w:rsid w:val="000401EB"/>
    <w:rsid w:val="00043993"/>
    <w:rsid w:val="00051C8E"/>
    <w:rsid w:val="00052CCC"/>
    <w:rsid w:val="00052E12"/>
    <w:rsid w:val="00055756"/>
    <w:rsid w:val="00055E12"/>
    <w:rsid w:val="0006186F"/>
    <w:rsid w:val="00063C0A"/>
    <w:rsid w:val="000730E3"/>
    <w:rsid w:val="000808FD"/>
    <w:rsid w:val="000834F5"/>
    <w:rsid w:val="000862AE"/>
    <w:rsid w:val="00087835"/>
    <w:rsid w:val="000922DA"/>
    <w:rsid w:val="00094FFA"/>
    <w:rsid w:val="0009516E"/>
    <w:rsid w:val="000A318B"/>
    <w:rsid w:val="000A3F00"/>
    <w:rsid w:val="000A5CAD"/>
    <w:rsid w:val="000A6BD0"/>
    <w:rsid w:val="000B0EFB"/>
    <w:rsid w:val="000B479A"/>
    <w:rsid w:val="000C036D"/>
    <w:rsid w:val="000C4330"/>
    <w:rsid w:val="000C5D49"/>
    <w:rsid w:val="000C7AB6"/>
    <w:rsid w:val="000D0839"/>
    <w:rsid w:val="000D49C1"/>
    <w:rsid w:val="000D66DA"/>
    <w:rsid w:val="000E091A"/>
    <w:rsid w:val="000E31A5"/>
    <w:rsid w:val="000E3661"/>
    <w:rsid w:val="000E4537"/>
    <w:rsid w:val="000E4907"/>
    <w:rsid w:val="000E6D9B"/>
    <w:rsid w:val="000F18C2"/>
    <w:rsid w:val="000F4E31"/>
    <w:rsid w:val="000F7E1C"/>
    <w:rsid w:val="00103149"/>
    <w:rsid w:val="001064F7"/>
    <w:rsid w:val="001078A3"/>
    <w:rsid w:val="001107BC"/>
    <w:rsid w:val="00115A50"/>
    <w:rsid w:val="0011643F"/>
    <w:rsid w:val="001179C3"/>
    <w:rsid w:val="00127E5C"/>
    <w:rsid w:val="00135FD2"/>
    <w:rsid w:val="00137EA1"/>
    <w:rsid w:val="0014028C"/>
    <w:rsid w:val="00141395"/>
    <w:rsid w:val="00141734"/>
    <w:rsid w:val="00141970"/>
    <w:rsid w:val="00144B03"/>
    <w:rsid w:val="001451A9"/>
    <w:rsid w:val="00150A8E"/>
    <w:rsid w:val="00151A38"/>
    <w:rsid w:val="001544D5"/>
    <w:rsid w:val="00154712"/>
    <w:rsid w:val="00154CF8"/>
    <w:rsid w:val="001553BB"/>
    <w:rsid w:val="00156A36"/>
    <w:rsid w:val="0015795B"/>
    <w:rsid w:val="00157C98"/>
    <w:rsid w:val="00162582"/>
    <w:rsid w:val="00166A53"/>
    <w:rsid w:val="00174D2F"/>
    <w:rsid w:val="0017502A"/>
    <w:rsid w:val="0018021E"/>
    <w:rsid w:val="001823DC"/>
    <w:rsid w:val="00184E77"/>
    <w:rsid w:val="001869E9"/>
    <w:rsid w:val="00187E45"/>
    <w:rsid w:val="001A3791"/>
    <w:rsid w:val="001A4037"/>
    <w:rsid w:val="001A4D12"/>
    <w:rsid w:val="001A65BC"/>
    <w:rsid w:val="001A6703"/>
    <w:rsid w:val="001B05C7"/>
    <w:rsid w:val="001B3A46"/>
    <w:rsid w:val="001C0401"/>
    <w:rsid w:val="001C48CD"/>
    <w:rsid w:val="001C5B8F"/>
    <w:rsid w:val="001D0CC3"/>
    <w:rsid w:val="001D3C55"/>
    <w:rsid w:val="001D4612"/>
    <w:rsid w:val="001E347B"/>
    <w:rsid w:val="001E5E26"/>
    <w:rsid w:val="001E6BD7"/>
    <w:rsid w:val="001E7FAE"/>
    <w:rsid w:val="001F0467"/>
    <w:rsid w:val="001F11A0"/>
    <w:rsid w:val="001F275C"/>
    <w:rsid w:val="002016A3"/>
    <w:rsid w:val="0020279E"/>
    <w:rsid w:val="00202FC5"/>
    <w:rsid w:val="00204C93"/>
    <w:rsid w:val="002053BA"/>
    <w:rsid w:val="00210EFD"/>
    <w:rsid w:val="002119DE"/>
    <w:rsid w:val="00213C61"/>
    <w:rsid w:val="0021549B"/>
    <w:rsid w:val="0022377B"/>
    <w:rsid w:val="00227AB1"/>
    <w:rsid w:val="00233273"/>
    <w:rsid w:val="00234E97"/>
    <w:rsid w:val="002354A9"/>
    <w:rsid w:val="002366F8"/>
    <w:rsid w:val="00240551"/>
    <w:rsid w:val="00243C61"/>
    <w:rsid w:val="00245058"/>
    <w:rsid w:val="00245201"/>
    <w:rsid w:val="002532E0"/>
    <w:rsid w:val="00256942"/>
    <w:rsid w:val="002611B4"/>
    <w:rsid w:val="0026170E"/>
    <w:rsid w:val="002622BB"/>
    <w:rsid w:val="00262CA7"/>
    <w:rsid w:val="00262FAC"/>
    <w:rsid w:val="0026506A"/>
    <w:rsid w:val="00266FEB"/>
    <w:rsid w:val="0027275B"/>
    <w:rsid w:val="002744A8"/>
    <w:rsid w:val="0027461F"/>
    <w:rsid w:val="00275C2D"/>
    <w:rsid w:val="002767F9"/>
    <w:rsid w:val="002801FC"/>
    <w:rsid w:val="00280534"/>
    <w:rsid w:val="002828FD"/>
    <w:rsid w:val="00284C92"/>
    <w:rsid w:val="00286580"/>
    <w:rsid w:val="00287C46"/>
    <w:rsid w:val="002919D0"/>
    <w:rsid w:val="002938E4"/>
    <w:rsid w:val="00293F7D"/>
    <w:rsid w:val="00293FDD"/>
    <w:rsid w:val="002949AA"/>
    <w:rsid w:val="00297733"/>
    <w:rsid w:val="00297C5F"/>
    <w:rsid w:val="002A192D"/>
    <w:rsid w:val="002A30F0"/>
    <w:rsid w:val="002A7771"/>
    <w:rsid w:val="002B0A16"/>
    <w:rsid w:val="002B40DD"/>
    <w:rsid w:val="002B5B0F"/>
    <w:rsid w:val="002C0498"/>
    <w:rsid w:val="002C2D18"/>
    <w:rsid w:val="002C629A"/>
    <w:rsid w:val="002C69B6"/>
    <w:rsid w:val="002C6BE7"/>
    <w:rsid w:val="002D26EF"/>
    <w:rsid w:val="002D285D"/>
    <w:rsid w:val="002D2D00"/>
    <w:rsid w:val="002D31C9"/>
    <w:rsid w:val="002E0872"/>
    <w:rsid w:val="002E1B40"/>
    <w:rsid w:val="002E273F"/>
    <w:rsid w:val="002E4EE7"/>
    <w:rsid w:val="002E5059"/>
    <w:rsid w:val="002E5BFE"/>
    <w:rsid w:val="002E79BA"/>
    <w:rsid w:val="002F3106"/>
    <w:rsid w:val="002F7F4D"/>
    <w:rsid w:val="00301CB7"/>
    <w:rsid w:val="003057A0"/>
    <w:rsid w:val="00305CC3"/>
    <w:rsid w:val="00311826"/>
    <w:rsid w:val="00311D5F"/>
    <w:rsid w:val="00312A53"/>
    <w:rsid w:val="003154D6"/>
    <w:rsid w:val="00315E38"/>
    <w:rsid w:val="00325B3D"/>
    <w:rsid w:val="00334495"/>
    <w:rsid w:val="00334743"/>
    <w:rsid w:val="00336916"/>
    <w:rsid w:val="00343734"/>
    <w:rsid w:val="00343A56"/>
    <w:rsid w:val="003442F6"/>
    <w:rsid w:val="00347232"/>
    <w:rsid w:val="00347344"/>
    <w:rsid w:val="00350C01"/>
    <w:rsid w:val="00351AEC"/>
    <w:rsid w:val="00353973"/>
    <w:rsid w:val="003545D5"/>
    <w:rsid w:val="003547D0"/>
    <w:rsid w:val="00360795"/>
    <w:rsid w:val="00361B06"/>
    <w:rsid w:val="00362CAF"/>
    <w:rsid w:val="00364E03"/>
    <w:rsid w:val="00367FEB"/>
    <w:rsid w:val="0037085E"/>
    <w:rsid w:val="00373EE6"/>
    <w:rsid w:val="00374A88"/>
    <w:rsid w:val="0037587A"/>
    <w:rsid w:val="00375D35"/>
    <w:rsid w:val="00376FB3"/>
    <w:rsid w:val="003774AC"/>
    <w:rsid w:val="00380098"/>
    <w:rsid w:val="00382963"/>
    <w:rsid w:val="003863C2"/>
    <w:rsid w:val="00386CBB"/>
    <w:rsid w:val="00391F55"/>
    <w:rsid w:val="00393969"/>
    <w:rsid w:val="00393996"/>
    <w:rsid w:val="00395731"/>
    <w:rsid w:val="00397338"/>
    <w:rsid w:val="003A3466"/>
    <w:rsid w:val="003A45A1"/>
    <w:rsid w:val="003A778D"/>
    <w:rsid w:val="003B0AE2"/>
    <w:rsid w:val="003B3645"/>
    <w:rsid w:val="003B39A1"/>
    <w:rsid w:val="003B4E6F"/>
    <w:rsid w:val="003B4F13"/>
    <w:rsid w:val="003B7B84"/>
    <w:rsid w:val="003C141C"/>
    <w:rsid w:val="003C165F"/>
    <w:rsid w:val="003C16E7"/>
    <w:rsid w:val="003C2E04"/>
    <w:rsid w:val="003D3678"/>
    <w:rsid w:val="003D698D"/>
    <w:rsid w:val="003D6D68"/>
    <w:rsid w:val="003D792B"/>
    <w:rsid w:val="003E4360"/>
    <w:rsid w:val="003E4F16"/>
    <w:rsid w:val="003E5320"/>
    <w:rsid w:val="003E5526"/>
    <w:rsid w:val="003E7DA2"/>
    <w:rsid w:val="003F4160"/>
    <w:rsid w:val="00400525"/>
    <w:rsid w:val="00401154"/>
    <w:rsid w:val="00405959"/>
    <w:rsid w:val="00410A68"/>
    <w:rsid w:val="00410DD4"/>
    <w:rsid w:val="0041111F"/>
    <w:rsid w:val="004135A9"/>
    <w:rsid w:val="00414167"/>
    <w:rsid w:val="00420EDC"/>
    <w:rsid w:val="00421B9B"/>
    <w:rsid w:val="00431E4D"/>
    <w:rsid w:val="0044297D"/>
    <w:rsid w:val="00443762"/>
    <w:rsid w:val="00445773"/>
    <w:rsid w:val="00446FB3"/>
    <w:rsid w:val="004514EC"/>
    <w:rsid w:val="00451C28"/>
    <w:rsid w:val="0045388A"/>
    <w:rsid w:val="00454919"/>
    <w:rsid w:val="00454EB2"/>
    <w:rsid w:val="00460BF9"/>
    <w:rsid w:val="004620AA"/>
    <w:rsid w:val="00462EDE"/>
    <w:rsid w:val="0046468F"/>
    <w:rsid w:val="004649EB"/>
    <w:rsid w:val="00465A77"/>
    <w:rsid w:val="00467AE2"/>
    <w:rsid w:val="00467ED9"/>
    <w:rsid w:val="00471DCC"/>
    <w:rsid w:val="00471F51"/>
    <w:rsid w:val="00474914"/>
    <w:rsid w:val="00475EE8"/>
    <w:rsid w:val="00477913"/>
    <w:rsid w:val="00485B54"/>
    <w:rsid w:val="00485E2F"/>
    <w:rsid w:val="004861D6"/>
    <w:rsid w:val="00486DA8"/>
    <w:rsid w:val="00491BAC"/>
    <w:rsid w:val="0049211B"/>
    <w:rsid w:val="004930B5"/>
    <w:rsid w:val="0049718C"/>
    <w:rsid w:val="00497A90"/>
    <w:rsid w:val="004A18E8"/>
    <w:rsid w:val="004A1CAE"/>
    <w:rsid w:val="004A3713"/>
    <w:rsid w:val="004A402E"/>
    <w:rsid w:val="004B0A2B"/>
    <w:rsid w:val="004B22D2"/>
    <w:rsid w:val="004B2E04"/>
    <w:rsid w:val="004B55D3"/>
    <w:rsid w:val="004B7CE3"/>
    <w:rsid w:val="004C32C6"/>
    <w:rsid w:val="004C3B17"/>
    <w:rsid w:val="004C425C"/>
    <w:rsid w:val="004C5B8C"/>
    <w:rsid w:val="004C5CFC"/>
    <w:rsid w:val="004D4E57"/>
    <w:rsid w:val="004D6CCE"/>
    <w:rsid w:val="004D7457"/>
    <w:rsid w:val="004E2A84"/>
    <w:rsid w:val="004E3C5C"/>
    <w:rsid w:val="004F298C"/>
    <w:rsid w:val="004F3796"/>
    <w:rsid w:val="004F42EB"/>
    <w:rsid w:val="00500A75"/>
    <w:rsid w:val="00507C89"/>
    <w:rsid w:val="00511BC0"/>
    <w:rsid w:val="00513641"/>
    <w:rsid w:val="005172E3"/>
    <w:rsid w:val="005250F0"/>
    <w:rsid w:val="0052664D"/>
    <w:rsid w:val="00530E48"/>
    <w:rsid w:val="00532511"/>
    <w:rsid w:val="00532FF8"/>
    <w:rsid w:val="005354BF"/>
    <w:rsid w:val="005363CA"/>
    <w:rsid w:val="005446F8"/>
    <w:rsid w:val="00546CC7"/>
    <w:rsid w:val="00550DDF"/>
    <w:rsid w:val="0055283C"/>
    <w:rsid w:val="00555CB2"/>
    <w:rsid w:val="00561857"/>
    <w:rsid w:val="00566061"/>
    <w:rsid w:val="00566C47"/>
    <w:rsid w:val="00570171"/>
    <w:rsid w:val="00575884"/>
    <w:rsid w:val="0057679C"/>
    <w:rsid w:val="00582A3B"/>
    <w:rsid w:val="00583FA1"/>
    <w:rsid w:val="00590A9A"/>
    <w:rsid w:val="005926A2"/>
    <w:rsid w:val="0059380A"/>
    <w:rsid w:val="00593B57"/>
    <w:rsid w:val="005966FA"/>
    <w:rsid w:val="005A6C4A"/>
    <w:rsid w:val="005A7B03"/>
    <w:rsid w:val="005B0D2E"/>
    <w:rsid w:val="005B1F2D"/>
    <w:rsid w:val="005B28FD"/>
    <w:rsid w:val="005B4459"/>
    <w:rsid w:val="005B553B"/>
    <w:rsid w:val="005C35A8"/>
    <w:rsid w:val="005C492C"/>
    <w:rsid w:val="005C6B3A"/>
    <w:rsid w:val="005C78F1"/>
    <w:rsid w:val="005D4D7A"/>
    <w:rsid w:val="005E29BC"/>
    <w:rsid w:val="005E7014"/>
    <w:rsid w:val="005E77A0"/>
    <w:rsid w:val="005F2F1F"/>
    <w:rsid w:val="005F66BA"/>
    <w:rsid w:val="006004B9"/>
    <w:rsid w:val="00602857"/>
    <w:rsid w:val="00603D0C"/>
    <w:rsid w:val="00613BFA"/>
    <w:rsid w:val="00615A9E"/>
    <w:rsid w:val="00625B11"/>
    <w:rsid w:val="00627C37"/>
    <w:rsid w:val="00632633"/>
    <w:rsid w:val="00633C4E"/>
    <w:rsid w:val="00634DA6"/>
    <w:rsid w:val="00635799"/>
    <w:rsid w:val="0063732A"/>
    <w:rsid w:val="006419E7"/>
    <w:rsid w:val="006426FC"/>
    <w:rsid w:val="006428F7"/>
    <w:rsid w:val="00647972"/>
    <w:rsid w:val="00650D17"/>
    <w:rsid w:val="00651CEA"/>
    <w:rsid w:val="006655D2"/>
    <w:rsid w:val="00667DFE"/>
    <w:rsid w:val="00671D29"/>
    <w:rsid w:val="006746D3"/>
    <w:rsid w:val="006766EE"/>
    <w:rsid w:val="006817D1"/>
    <w:rsid w:val="0068678F"/>
    <w:rsid w:val="00690501"/>
    <w:rsid w:val="006960B8"/>
    <w:rsid w:val="006A34D9"/>
    <w:rsid w:val="006A6042"/>
    <w:rsid w:val="006A77AA"/>
    <w:rsid w:val="006A7ED5"/>
    <w:rsid w:val="006B1E7A"/>
    <w:rsid w:val="006B24FF"/>
    <w:rsid w:val="006B350F"/>
    <w:rsid w:val="006B4A90"/>
    <w:rsid w:val="006B70E3"/>
    <w:rsid w:val="006B7921"/>
    <w:rsid w:val="006C1547"/>
    <w:rsid w:val="006C343F"/>
    <w:rsid w:val="006C4144"/>
    <w:rsid w:val="006C5CE1"/>
    <w:rsid w:val="006D0464"/>
    <w:rsid w:val="006D2617"/>
    <w:rsid w:val="006D33FC"/>
    <w:rsid w:val="006D45CF"/>
    <w:rsid w:val="006D569A"/>
    <w:rsid w:val="006E15A8"/>
    <w:rsid w:val="006E4BFD"/>
    <w:rsid w:val="006F086C"/>
    <w:rsid w:val="006F2952"/>
    <w:rsid w:val="006F3C19"/>
    <w:rsid w:val="006F4EA5"/>
    <w:rsid w:val="007069FD"/>
    <w:rsid w:val="007074A3"/>
    <w:rsid w:val="00711419"/>
    <w:rsid w:val="0071284D"/>
    <w:rsid w:val="00714A7F"/>
    <w:rsid w:val="00714F7E"/>
    <w:rsid w:val="00716CA2"/>
    <w:rsid w:val="007222C1"/>
    <w:rsid w:val="00730659"/>
    <w:rsid w:val="00731634"/>
    <w:rsid w:val="007330F5"/>
    <w:rsid w:val="007356C0"/>
    <w:rsid w:val="00735A9F"/>
    <w:rsid w:val="00737521"/>
    <w:rsid w:val="00737A5D"/>
    <w:rsid w:val="00740E2A"/>
    <w:rsid w:val="0074222C"/>
    <w:rsid w:val="00742386"/>
    <w:rsid w:val="00743192"/>
    <w:rsid w:val="00745BA5"/>
    <w:rsid w:val="00746499"/>
    <w:rsid w:val="007506CE"/>
    <w:rsid w:val="0075278A"/>
    <w:rsid w:val="007551E8"/>
    <w:rsid w:val="00756C3A"/>
    <w:rsid w:val="0076079E"/>
    <w:rsid w:val="00761E5A"/>
    <w:rsid w:val="007641CE"/>
    <w:rsid w:val="007668B7"/>
    <w:rsid w:val="00766C9C"/>
    <w:rsid w:val="007676A2"/>
    <w:rsid w:val="00770201"/>
    <w:rsid w:val="00772AE1"/>
    <w:rsid w:val="00773590"/>
    <w:rsid w:val="00781D40"/>
    <w:rsid w:val="00787855"/>
    <w:rsid w:val="007904C2"/>
    <w:rsid w:val="00792673"/>
    <w:rsid w:val="0079791B"/>
    <w:rsid w:val="00797FF0"/>
    <w:rsid w:val="007A2500"/>
    <w:rsid w:val="007A2F98"/>
    <w:rsid w:val="007A5211"/>
    <w:rsid w:val="007A5E9A"/>
    <w:rsid w:val="007A6246"/>
    <w:rsid w:val="007B0E22"/>
    <w:rsid w:val="007B3825"/>
    <w:rsid w:val="007B383C"/>
    <w:rsid w:val="007B51F1"/>
    <w:rsid w:val="007B7573"/>
    <w:rsid w:val="007B792D"/>
    <w:rsid w:val="007C00CC"/>
    <w:rsid w:val="007C0BE8"/>
    <w:rsid w:val="007C1FBF"/>
    <w:rsid w:val="007C2D49"/>
    <w:rsid w:val="007C3958"/>
    <w:rsid w:val="007C4AA1"/>
    <w:rsid w:val="007C6E88"/>
    <w:rsid w:val="007C70A4"/>
    <w:rsid w:val="007D7003"/>
    <w:rsid w:val="007E012D"/>
    <w:rsid w:val="007E2A37"/>
    <w:rsid w:val="007E35C2"/>
    <w:rsid w:val="007E599B"/>
    <w:rsid w:val="007E72A1"/>
    <w:rsid w:val="007F03AE"/>
    <w:rsid w:val="007F1132"/>
    <w:rsid w:val="0080053D"/>
    <w:rsid w:val="008012AD"/>
    <w:rsid w:val="00801395"/>
    <w:rsid w:val="008021EC"/>
    <w:rsid w:val="008035B6"/>
    <w:rsid w:val="0081039B"/>
    <w:rsid w:val="00811D3F"/>
    <w:rsid w:val="008121CB"/>
    <w:rsid w:val="0081485D"/>
    <w:rsid w:val="008162C3"/>
    <w:rsid w:val="00816849"/>
    <w:rsid w:val="00817348"/>
    <w:rsid w:val="00823229"/>
    <w:rsid w:val="008248D9"/>
    <w:rsid w:val="00825292"/>
    <w:rsid w:val="008338B3"/>
    <w:rsid w:val="00833C76"/>
    <w:rsid w:val="00833E6A"/>
    <w:rsid w:val="00834D4C"/>
    <w:rsid w:val="00835141"/>
    <w:rsid w:val="008356B4"/>
    <w:rsid w:val="00843EBF"/>
    <w:rsid w:val="00846F74"/>
    <w:rsid w:val="00852BC5"/>
    <w:rsid w:val="00853DA4"/>
    <w:rsid w:val="00855777"/>
    <w:rsid w:val="008576F0"/>
    <w:rsid w:val="0086441F"/>
    <w:rsid w:val="0086488B"/>
    <w:rsid w:val="008666EB"/>
    <w:rsid w:val="00867C44"/>
    <w:rsid w:val="00870785"/>
    <w:rsid w:val="00872B58"/>
    <w:rsid w:val="00872BB0"/>
    <w:rsid w:val="0087515D"/>
    <w:rsid w:val="008760A0"/>
    <w:rsid w:val="008766DB"/>
    <w:rsid w:val="0087688A"/>
    <w:rsid w:val="00876E03"/>
    <w:rsid w:val="008808AA"/>
    <w:rsid w:val="00882174"/>
    <w:rsid w:val="008824FF"/>
    <w:rsid w:val="00883690"/>
    <w:rsid w:val="008874A7"/>
    <w:rsid w:val="008906FE"/>
    <w:rsid w:val="00891275"/>
    <w:rsid w:val="00893898"/>
    <w:rsid w:val="0089518B"/>
    <w:rsid w:val="00895E89"/>
    <w:rsid w:val="00896AD7"/>
    <w:rsid w:val="008A0966"/>
    <w:rsid w:val="008A10E3"/>
    <w:rsid w:val="008A306F"/>
    <w:rsid w:val="008A340B"/>
    <w:rsid w:val="008A4B75"/>
    <w:rsid w:val="008A7BA7"/>
    <w:rsid w:val="008B094D"/>
    <w:rsid w:val="008B1710"/>
    <w:rsid w:val="008B336B"/>
    <w:rsid w:val="008B5775"/>
    <w:rsid w:val="008C1C03"/>
    <w:rsid w:val="008C26FE"/>
    <w:rsid w:val="008C2BB5"/>
    <w:rsid w:val="008C3C29"/>
    <w:rsid w:val="008C4077"/>
    <w:rsid w:val="008C55EA"/>
    <w:rsid w:val="008C6634"/>
    <w:rsid w:val="008C7C85"/>
    <w:rsid w:val="008C7F85"/>
    <w:rsid w:val="008D1026"/>
    <w:rsid w:val="008D12F5"/>
    <w:rsid w:val="008E0E73"/>
    <w:rsid w:val="008E2C38"/>
    <w:rsid w:val="008E3091"/>
    <w:rsid w:val="008E3863"/>
    <w:rsid w:val="008E68B3"/>
    <w:rsid w:val="008E7194"/>
    <w:rsid w:val="008E7E93"/>
    <w:rsid w:val="008F05D6"/>
    <w:rsid w:val="008F137C"/>
    <w:rsid w:val="008F1B03"/>
    <w:rsid w:val="008F3CC0"/>
    <w:rsid w:val="008F4C4B"/>
    <w:rsid w:val="008F4C83"/>
    <w:rsid w:val="008F5204"/>
    <w:rsid w:val="008F67CE"/>
    <w:rsid w:val="008F796A"/>
    <w:rsid w:val="00902035"/>
    <w:rsid w:val="00903A21"/>
    <w:rsid w:val="00910242"/>
    <w:rsid w:val="00911532"/>
    <w:rsid w:val="00912197"/>
    <w:rsid w:val="0091364D"/>
    <w:rsid w:val="00913E70"/>
    <w:rsid w:val="00917177"/>
    <w:rsid w:val="0091722D"/>
    <w:rsid w:val="0091759E"/>
    <w:rsid w:val="0091796F"/>
    <w:rsid w:val="009202B7"/>
    <w:rsid w:val="00921758"/>
    <w:rsid w:val="009232E9"/>
    <w:rsid w:val="00924B06"/>
    <w:rsid w:val="00927540"/>
    <w:rsid w:val="00927812"/>
    <w:rsid w:val="009300D2"/>
    <w:rsid w:val="009302D1"/>
    <w:rsid w:val="0093118A"/>
    <w:rsid w:val="009333AD"/>
    <w:rsid w:val="00933C79"/>
    <w:rsid w:val="00934CEC"/>
    <w:rsid w:val="00936493"/>
    <w:rsid w:val="00936701"/>
    <w:rsid w:val="00940BBB"/>
    <w:rsid w:val="0094202C"/>
    <w:rsid w:val="00945A95"/>
    <w:rsid w:val="00945EDC"/>
    <w:rsid w:val="00946244"/>
    <w:rsid w:val="0094700A"/>
    <w:rsid w:val="00950223"/>
    <w:rsid w:val="00950545"/>
    <w:rsid w:val="00950761"/>
    <w:rsid w:val="0095228D"/>
    <w:rsid w:val="00954E1A"/>
    <w:rsid w:val="00954E97"/>
    <w:rsid w:val="00957D7D"/>
    <w:rsid w:val="0096150B"/>
    <w:rsid w:val="00961899"/>
    <w:rsid w:val="00962DBE"/>
    <w:rsid w:val="009635C9"/>
    <w:rsid w:val="00964C09"/>
    <w:rsid w:val="00974670"/>
    <w:rsid w:val="00977989"/>
    <w:rsid w:val="00980325"/>
    <w:rsid w:val="00980484"/>
    <w:rsid w:val="00987D0E"/>
    <w:rsid w:val="009903C5"/>
    <w:rsid w:val="00991B3F"/>
    <w:rsid w:val="0099477D"/>
    <w:rsid w:val="0099594C"/>
    <w:rsid w:val="009A4C8D"/>
    <w:rsid w:val="009A798D"/>
    <w:rsid w:val="009B0738"/>
    <w:rsid w:val="009B0BD0"/>
    <w:rsid w:val="009B2536"/>
    <w:rsid w:val="009B2A4F"/>
    <w:rsid w:val="009B547D"/>
    <w:rsid w:val="009B5606"/>
    <w:rsid w:val="009B5E6B"/>
    <w:rsid w:val="009B6181"/>
    <w:rsid w:val="009C1B13"/>
    <w:rsid w:val="009C1D53"/>
    <w:rsid w:val="009C68F7"/>
    <w:rsid w:val="009D0EAD"/>
    <w:rsid w:val="009D0F27"/>
    <w:rsid w:val="009E221C"/>
    <w:rsid w:val="009E3C1C"/>
    <w:rsid w:val="009E56E4"/>
    <w:rsid w:val="009E71F2"/>
    <w:rsid w:val="009F061F"/>
    <w:rsid w:val="009F199C"/>
    <w:rsid w:val="009F37BB"/>
    <w:rsid w:val="00A0040D"/>
    <w:rsid w:val="00A02855"/>
    <w:rsid w:val="00A02C92"/>
    <w:rsid w:val="00A05282"/>
    <w:rsid w:val="00A10121"/>
    <w:rsid w:val="00A152AD"/>
    <w:rsid w:val="00A16651"/>
    <w:rsid w:val="00A17779"/>
    <w:rsid w:val="00A20B43"/>
    <w:rsid w:val="00A22F27"/>
    <w:rsid w:val="00A22FA5"/>
    <w:rsid w:val="00A236C7"/>
    <w:rsid w:val="00A23FD8"/>
    <w:rsid w:val="00A24E64"/>
    <w:rsid w:val="00A2523F"/>
    <w:rsid w:val="00A35E1E"/>
    <w:rsid w:val="00A42F9D"/>
    <w:rsid w:val="00A45AF0"/>
    <w:rsid w:val="00A4730B"/>
    <w:rsid w:val="00A51553"/>
    <w:rsid w:val="00A5545E"/>
    <w:rsid w:val="00A6247D"/>
    <w:rsid w:val="00A7020B"/>
    <w:rsid w:val="00A704BD"/>
    <w:rsid w:val="00A70D7D"/>
    <w:rsid w:val="00A725B6"/>
    <w:rsid w:val="00A76321"/>
    <w:rsid w:val="00A76A65"/>
    <w:rsid w:val="00A77471"/>
    <w:rsid w:val="00A801AE"/>
    <w:rsid w:val="00A803D0"/>
    <w:rsid w:val="00A86D48"/>
    <w:rsid w:val="00A91C60"/>
    <w:rsid w:val="00A91CFA"/>
    <w:rsid w:val="00A9240E"/>
    <w:rsid w:val="00A93519"/>
    <w:rsid w:val="00A93FF5"/>
    <w:rsid w:val="00A947EE"/>
    <w:rsid w:val="00A96558"/>
    <w:rsid w:val="00A9668E"/>
    <w:rsid w:val="00AA0134"/>
    <w:rsid w:val="00AA37A8"/>
    <w:rsid w:val="00AB6634"/>
    <w:rsid w:val="00AC14BC"/>
    <w:rsid w:val="00AC1CBF"/>
    <w:rsid w:val="00AC55CC"/>
    <w:rsid w:val="00AD3D89"/>
    <w:rsid w:val="00AD595C"/>
    <w:rsid w:val="00AE33E6"/>
    <w:rsid w:val="00AE51D7"/>
    <w:rsid w:val="00AE5652"/>
    <w:rsid w:val="00AE5AB6"/>
    <w:rsid w:val="00AF022B"/>
    <w:rsid w:val="00AF32E9"/>
    <w:rsid w:val="00B02778"/>
    <w:rsid w:val="00B05C34"/>
    <w:rsid w:val="00B069E1"/>
    <w:rsid w:val="00B10B1E"/>
    <w:rsid w:val="00B12BF8"/>
    <w:rsid w:val="00B13009"/>
    <w:rsid w:val="00B1314A"/>
    <w:rsid w:val="00B143E1"/>
    <w:rsid w:val="00B17CB8"/>
    <w:rsid w:val="00B2011D"/>
    <w:rsid w:val="00B227D1"/>
    <w:rsid w:val="00B22EB9"/>
    <w:rsid w:val="00B2361A"/>
    <w:rsid w:val="00B246B7"/>
    <w:rsid w:val="00B307E3"/>
    <w:rsid w:val="00B31624"/>
    <w:rsid w:val="00B32FD0"/>
    <w:rsid w:val="00B4634B"/>
    <w:rsid w:val="00B46FB5"/>
    <w:rsid w:val="00B538CE"/>
    <w:rsid w:val="00B539E3"/>
    <w:rsid w:val="00B53AE9"/>
    <w:rsid w:val="00B56699"/>
    <w:rsid w:val="00B61B25"/>
    <w:rsid w:val="00B6360C"/>
    <w:rsid w:val="00B707BE"/>
    <w:rsid w:val="00B73A66"/>
    <w:rsid w:val="00B76C6C"/>
    <w:rsid w:val="00B8122B"/>
    <w:rsid w:val="00B8310D"/>
    <w:rsid w:val="00B933E3"/>
    <w:rsid w:val="00B9505F"/>
    <w:rsid w:val="00B97EA0"/>
    <w:rsid w:val="00BA1D72"/>
    <w:rsid w:val="00BA698C"/>
    <w:rsid w:val="00BA6E2E"/>
    <w:rsid w:val="00BA7BD0"/>
    <w:rsid w:val="00BB2808"/>
    <w:rsid w:val="00BB7EEE"/>
    <w:rsid w:val="00BC01FF"/>
    <w:rsid w:val="00BC13F5"/>
    <w:rsid w:val="00BC19E5"/>
    <w:rsid w:val="00BC230C"/>
    <w:rsid w:val="00BC30EA"/>
    <w:rsid w:val="00BD1F36"/>
    <w:rsid w:val="00BE12AC"/>
    <w:rsid w:val="00BE1B81"/>
    <w:rsid w:val="00BE31F0"/>
    <w:rsid w:val="00BE3406"/>
    <w:rsid w:val="00BE36E4"/>
    <w:rsid w:val="00BE47B9"/>
    <w:rsid w:val="00BE5EA1"/>
    <w:rsid w:val="00BE7925"/>
    <w:rsid w:val="00BF00EF"/>
    <w:rsid w:val="00BF131D"/>
    <w:rsid w:val="00BF537B"/>
    <w:rsid w:val="00BF6469"/>
    <w:rsid w:val="00BF6D7D"/>
    <w:rsid w:val="00BF72CE"/>
    <w:rsid w:val="00BF7FA3"/>
    <w:rsid w:val="00C02E3C"/>
    <w:rsid w:val="00C0455F"/>
    <w:rsid w:val="00C0574C"/>
    <w:rsid w:val="00C06949"/>
    <w:rsid w:val="00C1352F"/>
    <w:rsid w:val="00C14E95"/>
    <w:rsid w:val="00C16D4F"/>
    <w:rsid w:val="00C17E4B"/>
    <w:rsid w:val="00C204F2"/>
    <w:rsid w:val="00C21489"/>
    <w:rsid w:val="00C21CFC"/>
    <w:rsid w:val="00C23F1B"/>
    <w:rsid w:val="00C25049"/>
    <w:rsid w:val="00C25324"/>
    <w:rsid w:val="00C32E3A"/>
    <w:rsid w:val="00C3446D"/>
    <w:rsid w:val="00C35680"/>
    <w:rsid w:val="00C408F5"/>
    <w:rsid w:val="00C44C66"/>
    <w:rsid w:val="00C462BB"/>
    <w:rsid w:val="00C464FE"/>
    <w:rsid w:val="00C46920"/>
    <w:rsid w:val="00C46C81"/>
    <w:rsid w:val="00C52529"/>
    <w:rsid w:val="00C568C3"/>
    <w:rsid w:val="00C5746D"/>
    <w:rsid w:val="00C61AE2"/>
    <w:rsid w:val="00C64E81"/>
    <w:rsid w:val="00C659C8"/>
    <w:rsid w:val="00C66FBA"/>
    <w:rsid w:val="00C70542"/>
    <w:rsid w:val="00C73CCB"/>
    <w:rsid w:val="00C73D24"/>
    <w:rsid w:val="00C74764"/>
    <w:rsid w:val="00C74B51"/>
    <w:rsid w:val="00C76121"/>
    <w:rsid w:val="00C82199"/>
    <w:rsid w:val="00C82305"/>
    <w:rsid w:val="00C82ECF"/>
    <w:rsid w:val="00C87B5D"/>
    <w:rsid w:val="00C90C90"/>
    <w:rsid w:val="00C927B8"/>
    <w:rsid w:val="00C92F6C"/>
    <w:rsid w:val="00C964A3"/>
    <w:rsid w:val="00CA0FFA"/>
    <w:rsid w:val="00CA1D29"/>
    <w:rsid w:val="00CA1EB9"/>
    <w:rsid w:val="00CB0496"/>
    <w:rsid w:val="00CB14B9"/>
    <w:rsid w:val="00CB3C42"/>
    <w:rsid w:val="00CB708D"/>
    <w:rsid w:val="00CC2ED0"/>
    <w:rsid w:val="00CC3BDB"/>
    <w:rsid w:val="00CC479C"/>
    <w:rsid w:val="00CC6FA2"/>
    <w:rsid w:val="00CD0294"/>
    <w:rsid w:val="00CD1B50"/>
    <w:rsid w:val="00CD2505"/>
    <w:rsid w:val="00CD4E50"/>
    <w:rsid w:val="00CD7FE4"/>
    <w:rsid w:val="00CE158F"/>
    <w:rsid w:val="00CE159B"/>
    <w:rsid w:val="00CE25A0"/>
    <w:rsid w:val="00CE4195"/>
    <w:rsid w:val="00CE58AE"/>
    <w:rsid w:val="00CE5986"/>
    <w:rsid w:val="00CF1049"/>
    <w:rsid w:val="00CF178B"/>
    <w:rsid w:val="00CF1A02"/>
    <w:rsid w:val="00CF26E7"/>
    <w:rsid w:val="00CF2CE6"/>
    <w:rsid w:val="00CF338D"/>
    <w:rsid w:val="00CF4FEC"/>
    <w:rsid w:val="00CF66F6"/>
    <w:rsid w:val="00CF7D23"/>
    <w:rsid w:val="00D025FB"/>
    <w:rsid w:val="00D10DA4"/>
    <w:rsid w:val="00D1188F"/>
    <w:rsid w:val="00D12044"/>
    <w:rsid w:val="00D1289A"/>
    <w:rsid w:val="00D12AB9"/>
    <w:rsid w:val="00D130A7"/>
    <w:rsid w:val="00D145F9"/>
    <w:rsid w:val="00D15B23"/>
    <w:rsid w:val="00D179A5"/>
    <w:rsid w:val="00D25275"/>
    <w:rsid w:val="00D33BCC"/>
    <w:rsid w:val="00D34397"/>
    <w:rsid w:val="00D344F3"/>
    <w:rsid w:val="00D34FB2"/>
    <w:rsid w:val="00D359CB"/>
    <w:rsid w:val="00D40670"/>
    <w:rsid w:val="00D41D5F"/>
    <w:rsid w:val="00D43A74"/>
    <w:rsid w:val="00D454B4"/>
    <w:rsid w:val="00D50DF5"/>
    <w:rsid w:val="00D53F89"/>
    <w:rsid w:val="00D545AA"/>
    <w:rsid w:val="00D54E6A"/>
    <w:rsid w:val="00D64556"/>
    <w:rsid w:val="00D6696E"/>
    <w:rsid w:val="00D6732F"/>
    <w:rsid w:val="00D7470D"/>
    <w:rsid w:val="00D75965"/>
    <w:rsid w:val="00D762BE"/>
    <w:rsid w:val="00D76E5F"/>
    <w:rsid w:val="00D839EA"/>
    <w:rsid w:val="00D85751"/>
    <w:rsid w:val="00D9148F"/>
    <w:rsid w:val="00D91A05"/>
    <w:rsid w:val="00D9317B"/>
    <w:rsid w:val="00D9546B"/>
    <w:rsid w:val="00D95866"/>
    <w:rsid w:val="00DA0AE2"/>
    <w:rsid w:val="00DA1385"/>
    <w:rsid w:val="00DA4314"/>
    <w:rsid w:val="00DB10DB"/>
    <w:rsid w:val="00DB2515"/>
    <w:rsid w:val="00DB5521"/>
    <w:rsid w:val="00DB6224"/>
    <w:rsid w:val="00DB6648"/>
    <w:rsid w:val="00DC5B64"/>
    <w:rsid w:val="00DC690B"/>
    <w:rsid w:val="00DD3223"/>
    <w:rsid w:val="00DD48A4"/>
    <w:rsid w:val="00DE17AA"/>
    <w:rsid w:val="00DE1849"/>
    <w:rsid w:val="00DE1922"/>
    <w:rsid w:val="00DE3E9D"/>
    <w:rsid w:val="00DE6244"/>
    <w:rsid w:val="00DF0662"/>
    <w:rsid w:val="00DF20C4"/>
    <w:rsid w:val="00DF6DAE"/>
    <w:rsid w:val="00E000F6"/>
    <w:rsid w:val="00E03696"/>
    <w:rsid w:val="00E03730"/>
    <w:rsid w:val="00E0489D"/>
    <w:rsid w:val="00E12CE2"/>
    <w:rsid w:val="00E162FE"/>
    <w:rsid w:val="00E16E78"/>
    <w:rsid w:val="00E22720"/>
    <w:rsid w:val="00E23CF3"/>
    <w:rsid w:val="00E243F0"/>
    <w:rsid w:val="00E24C18"/>
    <w:rsid w:val="00E306C3"/>
    <w:rsid w:val="00E313A8"/>
    <w:rsid w:val="00E31B4F"/>
    <w:rsid w:val="00E320EB"/>
    <w:rsid w:val="00E321F1"/>
    <w:rsid w:val="00E324A6"/>
    <w:rsid w:val="00E32E65"/>
    <w:rsid w:val="00E3345E"/>
    <w:rsid w:val="00E35E8F"/>
    <w:rsid w:val="00E40F95"/>
    <w:rsid w:val="00E42BB7"/>
    <w:rsid w:val="00E44C31"/>
    <w:rsid w:val="00E46D95"/>
    <w:rsid w:val="00E55F38"/>
    <w:rsid w:val="00E560CE"/>
    <w:rsid w:val="00E573E9"/>
    <w:rsid w:val="00E603CF"/>
    <w:rsid w:val="00E70B1B"/>
    <w:rsid w:val="00E71C36"/>
    <w:rsid w:val="00E73767"/>
    <w:rsid w:val="00E77C32"/>
    <w:rsid w:val="00E854C0"/>
    <w:rsid w:val="00E85A95"/>
    <w:rsid w:val="00E8643D"/>
    <w:rsid w:val="00E87357"/>
    <w:rsid w:val="00E87532"/>
    <w:rsid w:val="00E87DF7"/>
    <w:rsid w:val="00E93487"/>
    <w:rsid w:val="00E9767C"/>
    <w:rsid w:val="00EA06DF"/>
    <w:rsid w:val="00EA0A05"/>
    <w:rsid w:val="00EA0F6A"/>
    <w:rsid w:val="00EA3FEC"/>
    <w:rsid w:val="00EA62F8"/>
    <w:rsid w:val="00EA68F0"/>
    <w:rsid w:val="00EA6C9A"/>
    <w:rsid w:val="00EA7AE1"/>
    <w:rsid w:val="00EB396A"/>
    <w:rsid w:val="00EB3AC2"/>
    <w:rsid w:val="00EB5F2A"/>
    <w:rsid w:val="00EB7EB2"/>
    <w:rsid w:val="00EC3678"/>
    <w:rsid w:val="00EC4C96"/>
    <w:rsid w:val="00EC50FC"/>
    <w:rsid w:val="00EC5761"/>
    <w:rsid w:val="00EC7EE6"/>
    <w:rsid w:val="00ED0FF3"/>
    <w:rsid w:val="00ED1367"/>
    <w:rsid w:val="00ED230F"/>
    <w:rsid w:val="00EE1B3D"/>
    <w:rsid w:val="00EE3DCA"/>
    <w:rsid w:val="00EE5757"/>
    <w:rsid w:val="00EE6579"/>
    <w:rsid w:val="00EE71C7"/>
    <w:rsid w:val="00EF58CA"/>
    <w:rsid w:val="00F00C3E"/>
    <w:rsid w:val="00F0249F"/>
    <w:rsid w:val="00F028AA"/>
    <w:rsid w:val="00F0330F"/>
    <w:rsid w:val="00F05778"/>
    <w:rsid w:val="00F071F4"/>
    <w:rsid w:val="00F075DF"/>
    <w:rsid w:val="00F10793"/>
    <w:rsid w:val="00F10F5A"/>
    <w:rsid w:val="00F12827"/>
    <w:rsid w:val="00F15A15"/>
    <w:rsid w:val="00F15A40"/>
    <w:rsid w:val="00F20FE1"/>
    <w:rsid w:val="00F26C71"/>
    <w:rsid w:val="00F26D9E"/>
    <w:rsid w:val="00F3053A"/>
    <w:rsid w:val="00F407E5"/>
    <w:rsid w:val="00F426AF"/>
    <w:rsid w:val="00F4341D"/>
    <w:rsid w:val="00F4401D"/>
    <w:rsid w:val="00F44B57"/>
    <w:rsid w:val="00F45A48"/>
    <w:rsid w:val="00F45D82"/>
    <w:rsid w:val="00F47F86"/>
    <w:rsid w:val="00F52E52"/>
    <w:rsid w:val="00F56534"/>
    <w:rsid w:val="00F56D0E"/>
    <w:rsid w:val="00F57FA9"/>
    <w:rsid w:val="00F60F28"/>
    <w:rsid w:val="00F6556E"/>
    <w:rsid w:val="00F66760"/>
    <w:rsid w:val="00F7209B"/>
    <w:rsid w:val="00F745BA"/>
    <w:rsid w:val="00F7549B"/>
    <w:rsid w:val="00F76ECC"/>
    <w:rsid w:val="00F77A48"/>
    <w:rsid w:val="00F821CC"/>
    <w:rsid w:val="00F832AE"/>
    <w:rsid w:val="00F903FA"/>
    <w:rsid w:val="00F93090"/>
    <w:rsid w:val="00F94FC0"/>
    <w:rsid w:val="00FA0FA1"/>
    <w:rsid w:val="00FA1442"/>
    <w:rsid w:val="00FA353C"/>
    <w:rsid w:val="00FA4739"/>
    <w:rsid w:val="00FB0C6B"/>
    <w:rsid w:val="00FB2B6D"/>
    <w:rsid w:val="00FB3795"/>
    <w:rsid w:val="00FC385F"/>
    <w:rsid w:val="00FC65B8"/>
    <w:rsid w:val="00FC663A"/>
    <w:rsid w:val="00FD0DF3"/>
    <w:rsid w:val="00FD4D15"/>
    <w:rsid w:val="00FD5E02"/>
    <w:rsid w:val="00FD6C1F"/>
    <w:rsid w:val="00FE42AF"/>
    <w:rsid w:val="00FE4B83"/>
    <w:rsid w:val="00FE5F52"/>
    <w:rsid w:val="00FF001B"/>
    <w:rsid w:val="00FF1119"/>
    <w:rsid w:val="00FF1D44"/>
    <w:rsid w:val="00FF7B39"/>
    <w:rsid w:val="01DD4711"/>
    <w:rsid w:val="05962A91"/>
    <w:rsid w:val="0C952CE6"/>
    <w:rsid w:val="100B609B"/>
    <w:rsid w:val="14E632DA"/>
    <w:rsid w:val="17BF5E77"/>
    <w:rsid w:val="1FDD7389"/>
    <w:rsid w:val="2C8E328C"/>
    <w:rsid w:val="33411C13"/>
    <w:rsid w:val="3C7F204D"/>
    <w:rsid w:val="550C1420"/>
    <w:rsid w:val="55E55977"/>
    <w:rsid w:val="60D14BE6"/>
    <w:rsid w:val="625773C4"/>
    <w:rsid w:val="6C26084F"/>
    <w:rsid w:val="6FEF2BF3"/>
  </w:rsids>
  <m:mathPr>
    <m:mathFont m:val="Cambria Math"/>
    <m:brkBin m:val="before"/>
    <m:brkBinSub m:val="--"/>
    <m:smallFrac m:val="1"/>
    <m:dispDef/>
    <m:lMargin m:val="0"/>
    <m:rMargin m:val="0"/>
    <m:defJc m:val="centerGroup"/>
    <m:wrapIndent m:val="1440"/>
    <m:intLim m:val="subSup"/>
    <m:naryLim m:val="undOvr"/>
  </m:mathPr>
  <w:doNotAutoCompressPictures/>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qFormat="1" w:unhideWhenUsed="0" w:uiPriority="0" w:semiHidden="0" w:name="annotation text"/>
    <w:lsdException w:qFormat="1" w:uiPriority="99" w:semiHidden="0" w:name="header"/>
    <w:lsdException w:qFormat="1" w:uiPriority="99" w:semiHidden="0" w:name="footer"/>
    <w:lsdException w:uiPriority="0" w:name="index heading"/>
    <w:lsdException w:qFormat="1" w:unhideWhenUsed="0" w:uiPriority="35" w:semiHidden="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nhideWhenUsed="0" w:uiPriority="0" w:name="List 2"/>
    <w:lsdException w:uiPriority="0" w:name="List 3"/>
    <w:lsdException w:uiPriority="0" w:name="List 4"/>
    <w:lsdException w:uiPriority="0" w:name="List 5"/>
    <w:lsdException w:uiPriority="0" w:semiHidden="0" w:name="List Bullet 2"/>
    <w:lsdException w:uiPriority="0" w:name="List Bullet 3"/>
    <w:lsdException w:uiPriority="0" w:name="List Bullet 4"/>
    <w:lsdException w:uiPriority="0" w:semiHidden="0" w:name="List Bullet 5"/>
    <w:lsdException w:uiPriority="0" w:semiHidden="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semiHidden="0" w:name="Body Text 3"/>
    <w:lsdException w:uiPriority="0" w:semiHidden="0" w:name="Body Text Indent 2"/>
    <w:lsdException w:uiPriority="0" w:name="Body Text Indent 3"/>
    <w:lsdException w:uiPriority="0" w:name="Block Text"/>
    <w:lsdException w:qFormat="1" w:uiPriority="99" w:semiHidden="0" w:name="Hyperlink"/>
    <w:lsdException w:qFormat="1" w:uiPriority="0" w:name="FollowedHyperlink"/>
    <w:lsdException w:qFormat="1" w:unhideWhenUsed="0" w:uiPriority="22"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360" w:lineRule="auto"/>
    </w:pPr>
    <w:rPr>
      <w:rFonts w:ascii="Sennheiser Office" w:hAnsi="Sennheiser Office" w:eastAsia="宋体" w:cs="Times New Roman"/>
      <w:lang w:val="de-DE" w:eastAsia="de-DE" w:bidi="ar-SA"/>
    </w:rPr>
  </w:style>
  <w:style w:type="paragraph" w:styleId="2">
    <w:name w:val="heading 1"/>
    <w:basedOn w:val="1"/>
    <w:next w:val="1"/>
    <w:link w:val="22"/>
    <w:qFormat/>
    <w:uiPriority w:val="9"/>
    <w:pPr>
      <w:outlineLvl w:val="0"/>
    </w:pPr>
    <w:rPr>
      <w:b/>
      <w:caps/>
      <w:color w:val="0095D5"/>
      <w:lang w:eastAsia="zh-CN"/>
    </w:rPr>
  </w:style>
  <w:style w:type="paragraph" w:styleId="3">
    <w:name w:val="heading 2"/>
    <w:basedOn w:val="1"/>
    <w:next w:val="1"/>
    <w:link w:val="24"/>
    <w:qFormat/>
    <w:uiPriority w:val="9"/>
    <w:pPr>
      <w:outlineLvl w:val="1"/>
    </w:pPr>
    <w:rPr>
      <w:b/>
      <w:lang w:eastAsia="zh-CN"/>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4">
    <w:name w:val="caption"/>
    <w:basedOn w:val="1"/>
    <w:next w:val="1"/>
    <w:qFormat/>
    <w:uiPriority w:val="35"/>
    <w:pPr>
      <w:spacing w:line="210" w:lineRule="atLeast"/>
    </w:pPr>
    <w:rPr>
      <w:sz w:val="15"/>
    </w:rPr>
  </w:style>
  <w:style w:type="paragraph" w:styleId="5">
    <w:name w:val="annotation text"/>
    <w:basedOn w:val="1"/>
    <w:link w:val="28"/>
    <w:qFormat/>
    <w:uiPriority w:val="0"/>
    <w:rPr>
      <w:lang w:val="zh-CN"/>
    </w:rPr>
  </w:style>
  <w:style w:type="paragraph" w:styleId="6">
    <w:name w:val="Balloon Text"/>
    <w:basedOn w:val="1"/>
    <w:link w:val="30"/>
    <w:qFormat/>
    <w:uiPriority w:val="0"/>
    <w:pPr>
      <w:spacing w:line="240" w:lineRule="auto"/>
    </w:pPr>
    <w:rPr>
      <w:rFonts w:ascii="Arial" w:hAnsi="Arial"/>
      <w:szCs w:val="18"/>
      <w:lang w:val="zh-CN"/>
    </w:rPr>
  </w:style>
  <w:style w:type="paragraph" w:styleId="7">
    <w:name w:val="footer"/>
    <w:basedOn w:val="1"/>
    <w:link w:val="19"/>
    <w:unhideWhenUsed/>
    <w:qFormat/>
    <w:uiPriority w:val="99"/>
    <w:pPr>
      <w:spacing w:line="180" w:lineRule="atLeast"/>
    </w:pPr>
    <w:rPr>
      <w:sz w:val="12"/>
      <w:lang w:eastAsia="zh-CN"/>
    </w:rPr>
  </w:style>
  <w:style w:type="paragraph" w:styleId="8">
    <w:name w:val="header"/>
    <w:basedOn w:val="1"/>
    <w:link w:val="18"/>
    <w:unhideWhenUsed/>
    <w:qFormat/>
    <w:uiPriority w:val="99"/>
    <w:pPr>
      <w:spacing w:line="195" w:lineRule="atLeast"/>
      <w:ind w:right="-1737"/>
      <w:jc w:val="right"/>
    </w:pPr>
    <w:rPr>
      <w:caps/>
      <w:spacing w:val="12"/>
      <w:sz w:val="15"/>
      <w:lang w:eastAsia="zh-CN"/>
    </w:rPr>
  </w:style>
  <w:style w:type="paragraph" w:styleId="9">
    <w:name w:val="Title"/>
    <w:basedOn w:val="1"/>
    <w:next w:val="1"/>
    <w:link w:val="21"/>
    <w:qFormat/>
    <w:uiPriority w:val="10"/>
    <w:pPr>
      <w:spacing w:before="440" w:after="200"/>
      <w:contextualSpacing/>
    </w:pPr>
    <w:rPr>
      <w:sz w:val="24"/>
      <w:lang w:eastAsia="zh-CN"/>
    </w:rPr>
  </w:style>
  <w:style w:type="paragraph" w:styleId="10">
    <w:name w:val="annotation subject"/>
    <w:basedOn w:val="5"/>
    <w:next w:val="5"/>
    <w:link w:val="29"/>
    <w:qFormat/>
    <w:uiPriority w:val="0"/>
    <w:rPr>
      <w:b/>
      <w:bCs/>
    </w:rPr>
  </w:style>
  <w:style w:type="table" w:styleId="12">
    <w:name w:val="Table Grid"/>
    <w:basedOn w:val="11"/>
    <w:unhideWhenUsed/>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Strong"/>
    <w:basedOn w:val="13"/>
    <w:qFormat/>
    <w:uiPriority w:val="22"/>
    <w:rPr>
      <w:b/>
      <w:bCs/>
    </w:rPr>
  </w:style>
  <w:style w:type="character" w:styleId="15">
    <w:name w:val="FollowedHyperlink"/>
    <w:basedOn w:val="13"/>
    <w:semiHidden/>
    <w:unhideWhenUsed/>
    <w:qFormat/>
    <w:uiPriority w:val="0"/>
    <w:rPr>
      <w:color w:val="000000" w:themeColor="followedHyperlink"/>
      <w:u w:val="single"/>
      <w14:textFill>
        <w14:solidFill>
          <w14:schemeClr w14:val="folHlink"/>
        </w14:solidFill>
      </w14:textFill>
    </w:rPr>
  </w:style>
  <w:style w:type="character" w:styleId="16">
    <w:name w:val="Hyperlink"/>
    <w:unhideWhenUsed/>
    <w:qFormat/>
    <w:uiPriority w:val="99"/>
    <w:rPr>
      <w:color w:val="000000"/>
      <w:u w:val="single"/>
    </w:rPr>
  </w:style>
  <w:style w:type="character" w:styleId="17">
    <w:name w:val="annotation reference"/>
    <w:qFormat/>
    <w:uiPriority w:val="0"/>
    <w:rPr>
      <w:sz w:val="16"/>
      <w:szCs w:val="16"/>
    </w:rPr>
  </w:style>
  <w:style w:type="character" w:customStyle="1" w:styleId="18">
    <w:name w:val="页眉 字符"/>
    <w:link w:val="8"/>
    <w:qFormat/>
    <w:uiPriority w:val="99"/>
    <w:rPr>
      <w:caps/>
      <w:spacing w:val="12"/>
      <w:sz w:val="15"/>
      <w:lang w:val="en-GB"/>
    </w:rPr>
  </w:style>
  <w:style w:type="character" w:customStyle="1" w:styleId="19">
    <w:name w:val="页脚 字符"/>
    <w:link w:val="7"/>
    <w:qFormat/>
    <w:uiPriority w:val="99"/>
    <w:rPr>
      <w:sz w:val="12"/>
      <w:lang w:val="en-GB"/>
    </w:rPr>
  </w:style>
  <w:style w:type="paragraph" w:customStyle="1" w:styleId="20">
    <w:name w:val="Info"/>
    <w:basedOn w:val="1"/>
    <w:qFormat/>
    <w:uiPriority w:val="0"/>
    <w:pPr>
      <w:spacing w:line="180" w:lineRule="atLeast"/>
    </w:pPr>
    <w:rPr>
      <w:sz w:val="12"/>
    </w:rPr>
  </w:style>
  <w:style w:type="character" w:customStyle="1" w:styleId="21">
    <w:name w:val="标题 字符"/>
    <w:link w:val="9"/>
    <w:qFormat/>
    <w:uiPriority w:val="10"/>
    <w:rPr>
      <w:sz w:val="24"/>
      <w:lang w:val="en-GB"/>
    </w:rPr>
  </w:style>
  <w:style w:type="character" w:customStyle="1" w:styleId="22">
    <w:name w:val="标题 1 字符"/>
    <w:link w:val="2"/>
    <w:qFormat/>
    <w:uiPriority w:val="9"/>
    <w:rPr>
      <w:b/>
      <w:caps/>
      <w:color w:val="0095D5"/>
      <w:sz w:val="18"/>
      <w:lang w:val="en-GB"/>
    </w:rPr>
  </w:style>
  <w:style w:type="paragraph" w:customStyle="1" w:styleId="23">
    <w:name w:val="Marginal note"/>
    <w:basedOn w:val="1"/>
    <w:qFormat/>
    <w:uiPriority w:val="0"/>
    <w:pPr>
      <w:framePr w:w="1418" w:wrap="around" w:vAnchor="text" w:hAnchor="text" w:x="8194" w:y="41"/>
      <w:spacing w:line="195" w:lineRule="atLeast"/>
    </w:pPr>
    <w:rPr>
      <w:sz w:val="15"/>
    </w:rPr>
  </w:style>
  <w:style w:type="character" w:customStyle="1" w:styleId="24">
    <w:name w:val="标题 2 字符"/>
    <w:link w:val="3"/>
    <w:qFormat/>
    <w:uiPriority w:val="9"/>
    <w:rPr>
      <w:b/>
      <w:sz w:val="18"/>
      <w:lang w:val="en-GB"/>
    </w:rPr>
  </w:style>
  <w:style w:type="paragraph" w:customStyle="1" w:styleId="25">
    <w:name w:val="Contact"/>
    <w:basedOn w:val="1"/>
    <w:qFormat/>
    <w:uiPriority w:val="0"/>
    <w:pPr>
      <w:tabs>
        <w:tab w:val="left" w:pos="4111"/>
      </w:tabs>
      <w:spacing w:line="210" w:lineRule="atLeast"/>
    </w:pPr>
    <w:rPr>
      <w:sz w:val="15"/>
    </w:rPr>
  </w:style>
  <w:style w:type="paragraph" w:customStyle="1" w:styleId="26">
    <w:name w:val="Embargo"/>
    <w:basedOn w:val="1"/>
    <w:qFormat/>
    <w:uiPriority w:val="0"/>
    <w:pPr>
      <w:spacing w:after="240"/>
    </w:pPr>
    <w:rPr>
      <w:b/>
      <w:color w:val="FF0A14"/>
    </w:rPr>
  </w:style>
  <w:style w:type="paragraph" w:customStyle="1" w:styleId="27">
    <w:name w:val="About"/>
    <w:basedOn w:val="1"/>
    <w:qFormat/>
    <w:uiPriority w:val="0"/>
    <w:pPr>
      <w:spacing w:line="240" w:lineRule="auto"/>
    </w:pPr>
  </w:style>
  <w:style w:type="character" w:customStyle="1" w:styleId="28">
    <w:name w:val="批注文字 字符"/>
    <w:link w:val="5"/>
    <w:qFormat/>
    <w:uiPriority w:val="0"/>
    <w:rPr>
      <w:lang w:eastAsia="en-US"/>
    </w:rPr>
  </w:style>
  <w:style w:type="character" w:customStyle="1" w:styleId="29">
    <w:name w:val="批注主题 字符"/>
    <w:link w:val="10"/>
    <w:qFormat/>
    <w:uiPriority w:val="0"/>
    <w:rPr>
      <w:b/>
      <w:bCs/>
      <w:lang w:eastAsia="en-US"/>
    </w:rPr>
  </w:style>
  <w:style w:type="character" w:customStyle="1" w:styleId="30">
    <w:name w:val="批注框文本 字符"/>
    <w:link w:val="6"/>
    <w:qFormat/>
    <w:uiPriority w:val="0"/>
    <w:rPr>
      <w:rFonts w:ascii="Arial" w:hAnsi="Arial" w:cs="Segoe UI"/>
      <w:sz w:val="18"/>
      <w:szCs w:val="18"/>
      <w:lang w:eastAsia="en-US"/>
    </w:rPr>
  </w:style>
  <w:style w:type="paragraph" w:customStyle="1" w:styleId="31">
    <w:name w:val="Neumann Tabelle 9 pt"/>
    <w:basedOn w:val="1"/>
    <w:qFormat/>
    <w:uiPriority w:val="0"/>
    <w:pPr>
      <w:spacing w:line="240" w:lineRule="auto"/>
    </w:pPr>
    <w:rPr>
      <w:rFonts w:ascii="Avenir Next Condensed Regular" w:hAnsi="Avenir Next Condensed Regular" w:eastAsia="MS Mincho"/>
      <w:sz w:val="18"/>
      <w:szCs w:val="18"/>
      <w:lang w:val="en-US"/>
    </w:rPr>
  </w:style>
  <w:style w:type="character" w:customStyle="1" w:styleId="32">
    <w:name w:val="apple-converted-space"/>
    <w:basedOn w:val="13"/>
    <w:qFormat/>
    <w:uiPriority w:val="0"/>
  </w:style>
  <w:style w:type="paragraph" w:customStyle="1" w:styleId="33">
    <w:name w:val="p1"/>
    <w:basedOn w:val="1"/>
    <w:qFormat/>
    <w:uiPriority w:val="0"/>
    <w:pPr>
      <w:spacing w:before="100" w:beforeAutospacing="1" w:after="100" w:afterAutospacing="1" w:line="240" w:lineRule="auto"/>
    </w:pPr>
    <w:rPr>
      <w:rFonts w:ascii="Times New Roman" w:hAnsi="Times New Roman" w:eastAsia="Times New Roman"/>
      <w:sz w:val="24"/>
      <w:szCs w:val="24"/>
    </w:rPr>
  </w:style>
  <w:style w:type="paragraph" w:customStyle="1" w:styleId="34">
    <w:name w:val="p2"/>
    <w:basedOn w:val="1"/>
    <w:qFormat/>
    <w:uiPriority w:val="0"/>
    <w:pPr>
      <w:spacing w:before="100" w:beforeAutospacing="1" w:after="100" w:afterAutospacing="1" w:line="240" w:lineRule="auto"/>
    </w:pPr>
    <w:rPr>
      <w:rFonts w:ascii="Times New Roman" w:hAnsi="Times New Roman" w:eastAsia="Times New Roman"/>
      <w:sz w:val="24"/>
      <w:szCs w:val="24"/>
    </w:rPr>
  </w:style>
  <w:style w:type="character" w:customStyle="1" w:styleId="35">
    <w:name w:val="Nicht aufgelöste Erwähnung1"/>
    <w:basedOn w:val="13"/>
    <w:qFormat/>
    <w:uiPriority w:val="0"/>
    <w:rPr>
      <w:color w:val="605E5C"/>
      <w:shd w:val="clear" w:color="auto" w:fill="E1DFDD"/>
    </w:rPr>
  </w:style>
  <w:style w:type="paragraph" w:customStyle="1" w:styleId="36">
    <w:name w:val="Bildunterschrift Hau"/>
    <w:basedOn w:val="1"/>
    <w:qFormat/>
    <w:uiPriority w:val="0"/>
    <w:pPr>
      <w:spacing w:line="240" w:lineRule="auto"/>
    </w:pPr>
    <w:rPr>
      <w:rFonts w:ascii="Arial Narrow" w:hAnsi="Arial Narrow" w:eastAsia="MS Mincho"/>
      <w:b/>
      <w:szCs w:val="24"/>
    </w:rPr>
  </w:style>
  <w:style w:type="paragraph" w:styleId="37">
    <w:name w:val="List Paragraph"/>
    <w:basedOn w:val="1"/>
    <w:qFormat/>
    <w:uiPriority w:val="34"/>
    <w:pPr>
      <w:ind w:left="720"/>
      <w:contextualSpacing/>
    </w:pPr>
  </w:style>
  <w:style w:type="character" w:customStyle="1" w:styleId="38">
    <w:name w:val="未处理的提及1"/>
    <w:basedOn w:val="13"/>
    <w:semiHidden/>
    <w:unhideWhenUsed/>
    <w:qFormat/>
    <w:uiPriority w:val="99"/>
    <w:rPr>
      <w:color w:val="605E5C"/>
      <w:shd w:val="clear" w:color="auto" w:fill="E1DFDD"/>
    </w:rPr>
  </w:style>
  <w:style w:type="paragraph" w:customStyle="1" w:styleId="39">
    <w:name w:val="修订1"/>
    <w:hidden/>
    <w:semiHidden/>
    <w:qFormat/>
    <w:uiPriority w:val="0"/>
    <w:rPr>
      <w:rFonts w:ascii="Sennheiser Office" w:hAnsi="Sennheiser Office" w:eastAsia="宋体" w:cs="Times New Roman"/>
      <w:lang w:val="de-DE" w:eastAsia="de-DE" w:bidi="ar-SA"/>
    </w:rPr>
  </w:style>
  <w:style w:type="paragraph" w:customStyle="1" w:styleId="40">
    <w:name w:val="修订2"/>
    <w:hidden/>
    <w:semiHidden/>
    <w:qFormat/>
    <w:uiPriority w:val="99"/>
    <w:rPr>
      <w:rFonts w:ascii="Sennheiser Office" w:hAnsi="Sennheiser Office" w:eastAsia="宋体" w:cs="Times New Roman"/>
      <w:lang w:val="de-DE" w:eastAsia="de-DE" w:bidi="ar-SA"/>
    </w:rPr>
  </w:style>
  <w:style w:type="paragraph" w:customStyle="1" w:styleId="41">
    <w:name w:val="Default"/>
    <w:qFormat/>
    <w:uiPriority w:val="0"/>
    <w:pPr>
      <w:widowControl w:val="0"/>
      <w:autoSpaceDE w:val="0"/>
      <w:autoSpaceDN w:val="0"/>
      <w:adjustRightInd w:val="0"/>
    </w:pPr>
    <w:rPr>
      <w:rFonts w:ascii="Sennheiser Office" w:hAnsi="Sennheiser Office" w:eastAsia="宋体" w:cs="Sennheiser Office"/>
      <w:color w:val="000000"/>
      <w:sz w:val="24"/>
      <w:szCs w:val="24"/>
      <w:lang w:val="en-US" w:eastAsia="zh-CN" w:bidi="ar-SA"/>
    </w:rPr>
  </w:style>
  <w:style w:type="paragraph" w:customStyle="1" w:styleId="42">
    <w:name w:val="Revision"/>
    <w:hidden/>
    <w:semiHidden/>
    <w:qFormat/>
    <w:uiPriority w:val="99"/>
    <w:rPr>
      <w:rFonts w:ascii="Sennheiser Office" w:hAnsi="Sennheiser Office" w:eastAsia="宋体" w:cs="Times New Roman"/>
      <w:lang w:val="de-DE" w:eastAsia="de-DE"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png"/><Relationship Id="rId7" Type="http://schemas.openxmlformats.org/officeDocument/2006/relationships/theme" Target="theme/theme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customXml" Target="../customXml/item4.xml"/><Relationship Id="rId16" Type="http://schemas.openxmlformats.org/officeDocument/2006/relationships/customXml" Target="../customXml/item3.xml"/><Relationship Id="rId15" Type="http://schemas.openxmlformats.org/officeDocument/2006/relationships/customXml" Target="../customXml/item2.xml"/><Relationship Id="rId14" Type="http://schemas.openxmlformats.org/officeDocument/2006/relationships/customXml" Target="../customXml/item1.xml"/><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Design">
  <a:themeElements>
    <a:clrScheme name="Benutzerdefiniert 2">
      <a:dk1>
        <a:srgbClr val="000000"/>
      </a:dk1>
      <a:lt1>
        <a:srgbClr val="FFFFFF"/>
      </a:lt1>
      <a:dk2>
        <a:srgbClr val="E0E0E0"/>
      </a:dk2>
      <a:lt2>
        <a:srgbClr val="E0E0E0"/>
      </a:lt2>
      <a:accent1>
        <a:srgbClr val="E8833B"/>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43D058ECC382CD4CAC2899AFBA913D8E" ma:contentTypeVersion="17" ma:contentTypeDescription="Ein neues Dokument erstellen." ma:contentTypeScope="" ma:versionID="0a329aa3f9e8b0bd96c3c51be0d4bf8a">
  <xsd:schema xmlns:xsd="http://www.w3.org/2001/XMLSchema" xmlns:xs="http://www.w3.org/2001/XMLSchema" xmlns:p="http://schemas.microsoft.com/office/2006/metadata/properties" xmlns:ns2="426b93f8-b4fe-4526-9598-4978799ceb53" xmlns:ns3="79fbbbed-e612-443d-8955-88f0db5a2e27" targetNamespace="http://schemas.microsoft.com/office/2006/metadata/properties" ma:root="true" ma:fieldsID="9c57beb637ea55def10e3da6df298fdf" ns2:_="" ns3:_="">
    <xsd:import namespace="426b93f8-b4fe-4526-9598-4978799ceb53"/>
    <xsd:import namespace="79fbbbed-e612-443d-8955-88f0db5a2e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LengthInSecond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6b93f8-b4fe-4526-9598-4978799ceb5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Bildmarkierungen"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9fbbbed-e612-443d-8955-88f0db5a2e27" elementFormDefault="qualified">
    <xsd:import namespace="http://schemas.microsoft.com/office/2006/documentManagement/types"/>
    <xsd:import namespace="http://schemas.microsoft.com/office/infopath/2007/PartnerControls"/>
    <xsd:element name="SharedWithUsers" ma:index="16"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Freigegeben für - Details" ma:internalName="SharedWithDetails" ma:readOnly="true">
      <xsd:simpleType>
        <xsd:restriction base="dms:Note">
          <xsd:maxLength value="255"/>
        </xsd:restriction>
      </xsd:simpleType>
    </xsd:element>
    <xsd:element name="TaxCatchAll" ma:index="20" nillable="true" ma:displayName="Taxonomy Catch All Column" ma:hidden="true" ma:list="{830009b8-3b41-417a-9597-fd8ada736681}" ma:internalName="TaxCatchAll" ma:showField="CatchAllData" ma:web="79fbbbed-e612-443d-8955-88f0db5a2e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79fbbbed-e612-443d-8955-88f0db5a2e27" xsi:nil="true"/>
    <lcf76f155ced4ddcb4097134ff3c332f xmlns="426b93f8-b4fe-4526-9598-4978799ceb5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A4FA9072-E04C-F840-A26E-938FB888A113}">
  <ds:schemaRefs/>
</ds:datastoreItem>
</file>

<file path=customXml/itemProps2.xml><?xml version="1.0" encoding="utf-8"?>
<ds:datastoreItem xmlns:ds="http://schemas.openxmlformats.org/officeDocument/2006/customXml" ds:itemID="{05FE7544-3420-4786-A760-83784DCC256C}">
  <ds:schemaRefs/>
</ds:datastoreItem>
</file>

<file path=customXml/itemProps3.xml><?xml version="1.0" encoding="utf-8"?>
<ds:datastoreItem xmlns:ds="http://schemas.openxmlformats.org/officeDocument/2006/customXml" ds:itemID="{2F804D47-113F-46F8-878E-EA709AFE1E80}">
  <ds:schemaRefs/>
</ds:datastoreItem>
</file>

<file path=customXml/itemProps4.xml><?xml version="1.0" encoding="utf-8"?>
<ds:datastoreItem xmlns:ds="http://schemas.openxmlformats.org/officeDocument/2006/customXml" ds:itemID="{A5F44FB6-AB82-4A9F-BE0C-40358489433B}">
  <ds:schemaRefs/>
</ds:datastoreItem>
</file>

<file path=docProps/app.xml><?xml version="1.0" encoding="utf-8"?>
<Properties xmlns="http://schemas.openxmlformats.org/officeDocument/2006/extended-properties" xmlns:vt="http://schemas.openxmlformats.org/officeDocument/2006/docPropsVTypes">
  <Template>Normal.dotm</Template>
  <Company>Sennheiser electronic GmbH &amp; Co. KG</Company>
  <Pages>5</Pages>
  <Words>1586</Words>
  <Characters>1828</Characters>
  <Lines>5</Lines>
  <Paragraphs>4</Paragraphs>
  <TotalTime>154</TotalTime>
  <ScaleCrop>false</ScaleCrop>
  <LinksUpToDate>false</LinksUpToDate>
  <CharactersWithSpaces>1877</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2023-11-15T06:05:00Z</dcterms:created>
  <dc:creator>Sennheiser electronic GmbH &amp; Co. KG</dc:creator>
  <cp:lastModifiedBy>围观群众</cp:lastModifiedBy>
  <cp:lastPrinted>2023-03-10T11:27:00Z</cp:lastPrinted>
  <dcterms:modified xsi:type="dcterms:W3CDTF">2023-11-17T09:33:59Z</dcterms:modified>
  <dc:title>Press Release</dc:title>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0x01010043D058ECC382CD4CAC2899AFBA913D8E</vt:lpwstr>
  </property>
  <property fmtid="{D5CDD505-2E9C-101B-9397-08002B2CF9AE}" pid="3" name="MediaServiceImageTags">
    <vt:lpwstr/>
  </property>
  <property fmtid="{D5CDD505-2E9C-101B-9397-08002B2CF9AE}" pid="4" name="KSOProductBuildVer">
    <vt:lpwstr>2052-12.1.0.15712</vt:lpwstr>
  </property>
  <property fmtid="{D5CDD505-2E9C-101B-9397-08002B2CF9AE}" pid="5" name="ICV">
    <vt:lpwstr>53CB5F84179D480799039D97EFF69B6D_13</vt:lpwstr>
  </property>
</Properties>
</file>