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98C67" w14:textId="77777777" w:rsidR="00573BC1" w:rsidRPr="002A79FB" w:rsidRDefault="00573BC1" w:rsidP="002A79FB">
      <w:pPr>
        <w:spacing w:after="200" w:line="360" w:lineRule="auto"/>
        <w:jc w:val="center"/>
        <w:rPr>
          <w:rFonts w:ascii="Verdana" w:hAnsi="Verdana"/>
          <w:sz w:val="20"/>
          <w:szCs w:val="20"/>
          <w:lang w:val="nl-NL"/>
        </w:rPr>
      </w:pPr>
      <w:r w:rsidRPr="002A79FB">
        <w:rPr>
          <w:rFonts w:ascii="Verdana" w:hAnsi="Verdana"/>
          <w:noProof/>
          <w:sz w:val="20"/>
          <w:szCs w:val="20"/>
          <w:lang w:val="nl-NL" w:eastAsia="nl-NL"/>
        </w:rPr>
        <w:drawing>
          <wp:inline distT="0" distB="0" distL="0" distR="0" wp14:anchorId="407F0FB9" wp14:editId="658B1076">
            <wp:extent cx="3216487" cy="556869"/>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Tom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62087" cy="564764"/>
                    </a:xfrm>
                    <a:prstGeom prst="rect">
                      <a:avLst/>
                    </a:prstGeom>
                  </pic:spPr>
                </pic:pic>
              </a:graphicData>
            </a:graphic>
          </wp:inline>
        </w:drawing>
      </w:r>
    </w:p>
    <w:p w14:paraId="5E0198F3" w14:textId="1BCC93F3" w:rsidR="002A79FB" w:rsidRPr="002A79FB" w:rsidRDefault="002A79FB" w:rsidP="002A79FB">
      <w:pPr>
        <w:widowControl w:val="0"/>
        <w:autoSpaceDE w:val="0"/>
        <w:autoSpaceDN w:val="0"/>
        <w:adjustRightInd w:val="0"/>
        <w:spacing w:line="360" w:lineRule="auto"/>
        <w:jc w:val="center"/>
        <w:rPr>
          <w:rFonts w:ascii="Verdana" w:hAnsi="Verdana" w:cs="Verdana"/>
          <w:i/>
          <w:sz w:val="20"/>
          <w:szCs w:val="20"/>
          <w:lang w:val="nl-NL"/>
        </w:rPr>
      </w:pPr>
      <w:r w:rsidRPr="002A79FB">
        <w:rPr>
          <w:rFonts w:ascii="Verdana" w:hAnsi="Verdana" w:cs="Verdana"/>
          <w:b/>
          <w:bCs/>
          <w:sz w:val="28"/>
          <w:szCs w:val="28"/>
          <w:lang w:val="nl-NL"/>
        </w:rPr>
        <w:t>100e stad aan TomTom City toegevoegd</w:t>
      </w:r>
      <w:r w:rsidRPr="002A79FB">
        <w:rPr>
          <w:rFonts w:ascii="Verdana" w:hAnsi="Verdana" w:cs="Verdana"/>
          <w:b/>
          <w:bCs/>
          <w:sz w:val="28"/>
          <w:szCs w:val="28"/>
          <w:lang w:val="nl-NL"/>
        </w:rPr>
        <w:br/>
      </w:r>
      <w:r w:rsidRPr="002A79FB">
        <w:rPr>
          <w:rFonts w:ascii="Verdana" w:hAnsi="Verdana" w:cs="Verdana"/>
          <w:i/>
          <w:sz w:val="20"/>
          <w:szCs w:val="20"/>
          <w:lang w:val="nl-NL"/>
        </w:rPr>
        <w:t>Nu ook Antwerpen en Luik opgenomen in wereldwijd verkeersinformatiesysteem</w:t>
      </w:r>
    </w:p>
    <w:p w14:paraId="6DC55EA6" w14:textId="77777777" w:rsidR="002A79FB" w:rsidRPr="002A79FB" w:rsidRDefault="002A79FB" w:rsidP="002A79FB">
      <w:pPr>
        <w:widowControl w:val="0"/>
        <w:autoSpaceDE w:val="0"/>
        <w:autoSpaceDN w:val="0"/>
        <w:adjustRightInd w:val="0"/>
        <w:spacing w:line="360" w:lineRule="auto"/>
        <w:rPr>
          <w:rFonts w:ascii="Verdana" w:hAnsi="Verdana" w:cs="Verdana"/>
          <w:sz w:val="20"/>
          <w:szCs w:val="20"/>
          <w:lang w:val="nl-NL"/>
        </w:rPr>
      </w:pPr>
      <w:r w:rsidRPr="002A79FB">
        <w:rPr>
          <w:rFonts w:ascii="Verdana" w:hAnsi="Verdana" w:cs="Verdana"/>
          <w:sz w:val="20"/>
          <w:szCs w:val="20"/>
          <w:lang w:val="nl-NL"/>
        </w:rPr>
        <w:t>ITS World Congress, Melbourne, Australië, 11 oktober 2016 – </w:t>
      </w:r>
      <w:r w:rsidRPr="002A79FB">
        <w:rPr>
          <w:rFonts w:ascii="Verdana" w:hAnsi="Verdana" w:cs="Verdana"/>
          <w:b/>
          <w:bCs/>
          <w:sz w:val="20"/>
          <w:szCs w:val="20"/>
          <w:lang w:val="nl-NL"/>
        </w:rPr>
        <w:t>Een half jaar na de lancering van TomTom City zijn er al meer dan honderd steden in het stedelijke verkeersinformatiesysteem opgenomen. Het verkeersplatform toont per stad de uitgebreide verkeersinformatie waarover </w:t>
      </w:r>
      <w:hyperlink r:id="rId5" w:history="1">
        <w:r w:rsidRPr="002A79FB">
          <w:rPr>
            <w:rFonts w:ascii="Verdana" w:hAnsi="Verdana" w:cs="Verdana"/>
            <w:color w:val="386EFF"/>
            <w:sz w:val="20"/>
            <w:szCs w:val="20"/>
            <w:u w:val="single" w:color="386EFF"/>
            <w:lang w:val="nl-NL"/>
          </w:rPr>
          <w:t>TomTom</w:t>
        </w:r>
      </w:hyperlink>
      <w:r w:rsidRPr="002A79FB">
        <w:rPr>
          <w:rFonts w:ascii="Verdana" w:hAnsi="Verdana" w:cs="Verdana"/>
          <w:b/>
          <w:bCs/>
          <w:sz w:val="20"/>
          <w:szCs w:val="20"/>
          <w:lang w:val="nl-NL"/>
        </w:rPr>
        <w:t> beschikt. Hiermee kunnen stadsbestuur, gemeentelijke ambtenaren verkeer en vervoer, het lokale bedrijfsleven en inwoners gezamenlijk aan de slag om duurzame en efficiënte oplossingen voor verkeerssituaties te bedenken.</w:t>
      </w:r>
    </w:p>
    <w:p w14:paraId="1AEAAFBE" w14:textId="77777777" w:rsidR="002A79FB" w:rsidRPr="002A79FB" w:rsidRDefault="002A79FB" w:rsidP="002A79FB">
      <w:pPr>
        <w:widowControl w:val="0"/>
        <w:autoSpaceDE w:val="0"/>
        <w:autoSpaceDN w:val="0"/>
        <w:adjustRightInd w:val="0"/>
        <w:spacing w:line="360" w:lineRule="auto"/>
        <w:rPr>
          <w:rFonts w:ascii="Verdana" w:hAnsi="Verdana" w:cs="Verdana"/>
          <w:sz w:val="20"/>
          <w:szCs w:val="20"/>
          <w:lang w:val="nl-NL"/>
        </w:rPr>
      </w:pPr>
      <w:r w:rsidRPr="002A79FB">
        <w:rPr>
          <w:rFonts w:ascii="Verdana" w:hAnsi="Verdana" w:cs="Verdana"/>
          <w:sz w:val="20"/>
          <w:szCs w:val="20"/>
          <w:lang w:val="nl-NL"/>
        </w:rPr>
        <w:t>TomTom City, te vinden via http://city.tomtom.com, is nu beschikbaar in zes talen en beslaat, na de laatste aanvulling met 50 steden, nu zes continenten. In Nederland waren Rotterdam, Den Haag en Amsterdam reeds opgenomen. Daar zijn Utrecht en Eindhoven nu aan toegevoegd. In totaal is het systeem nu relevant voor 175 miljoen mensen wereldwijd.</w:t>
      </w:r>
    </w:p>
    <w:p w14:paraId="0C10834E" w14:textId="77777777" w:rsidR="002A79FB" w:rsidRPr="002A79FB" w:rsidRDefault="002A79FB" w:rsidP="002A79FB">
      <w:pPr>
        <w:widowControl w:val="0"/>
        <w:autoSpaceDE w:val="0"/>
        <w:autoSpaceDN w:val="0"/>
        <w:adjustRightInd w:val="0"/>
        <w:spacing w:line="360" w:lineRule="auto"/>
        <w:rPr>
          <w:rFonts w:ascii="Verdana" w:hAnsi="Verdana" w:cs="Verdana"/>
          <w:sz w:val="20"/>
          <w:szCs w:val="20"/>
          <w:lang w:val="nl-NL"/>
        </w:rPr>
      </w:pPr>
      <w:r w:rsidRPr="002A79FB">
        <w:rPr>
          <w:rFonts w:ascii="Verdana" w:hAnsi="Verdana" w:cs="Verdana"/>
          <w:sz w:val="20"/>
          <w:szCs w:val="20"/>
          <w:lang w:val="nl-NL"/>
        </w:rPr>
        <w:t>“TomTom City is nu al een erg populair platform. Na de uitbreiding met nog eens 50 steden, verwachten we dat het bezoek van de site nog veel verder zal toenemen”, aldus Ralf-Peter Schäfer, hoofd van de afdeling Traffic bij TomTom. “Samen met de lancering onlangs van ons  Traffic Centre in Amsterdam toont het de uitgebreide capaciteiten van TomTom op het gebied van verkeersinformatie voor iedereen. We zien dit als een volgende stap in onze missie om vertraging te verminderen voor alle bestuurders en smart cities te vormen op basis van de informatie die we krijgen van 450 miljoen GPS-apparaten wereldwijd.</w:t>
      </w:r>
    </w:p>
    <w:p w14:paraId="78F4A8E5" w14:textId="77777777" w:rsidR="002A79FB" w:rsidRPr="002A79FB" w:rsidRDefault="002A79FB" w:rsidP="002A79FB">
      <w:pPr>
        <w:widowControl w:val="0"/>
        <w:autoSpaceDE w:val="0"/>
        <w:autoSpaceDN w:val="0"/>
        <w:adjustRightInd w:val="0"/>
        <w:spacing w:line="360" w:lineRule="auto"/>
        <w:rPr>
          <w:rFonts w:ascii="Verdana" w:hAnsi="Verdana" w:cs="Verdana"/>
          <w:sz w:val="20"/>
          <w:szCs w:val="20"/>
          <w:lang w:val="nl-NL"/>
        </w:rPr>
      </w:pPr>
      <w:r w:rsidRPr="002A79FB">
        <w:rPr>
          <w:rFonts w:ascii="Verdana" w:hAnsi="Verdana" w:cs="Verdana"/>
          <w:sz w:val="20"/>
          <w:szCs w:val="20"/>
          <w:lang w:val="nl-NL"/>
        </w:rPr>
        <w:t>TomTom City is voor iedereen met een internetverbinding gratis toegankelijk. Het platform toont onder ander live verkeersinformatie, inclusief waar ongelukken gebeurd zijn.</w:t>
      </w:r>
    </w:p>
    <w:p w14:paraId="12548E32" w14:textId="77777777" w:rsidR="002A79FB" w:rsidRDefault="002A79FB" w:rsidP="002A79FB">
      <w:pPr>
        <w:widowControl w:val="0"/>
        <w:autoSpaceDE w:val="0"/>
        <w:autoSpaceDN w:val="0"/>
        <w:adjustRightInd w:val="0"/>
        <w:spacing w:line="360" w:lineRule="auto"/>
        <w:rPr>
          <w:rFonts w:ascii="Verdana" w:hAnsi="Verdana" w:cs="Verdana"/>
          <w:sz w:val="20"/>
          <w:szCs w:val="20"/>
          <w:lang w:val="nl-NL"/>
        </w:rPr>
      </w:pPr>
    </w:p>
    <w:p w14:paraId="13186CA1" w14:textId="77777777" w:rsidR="002A79FB" w:rsidRPr="002A79FB" w:rsidRDefault="002A79FB" w:rsidP="002A79FB">
      <w:pPr>
        <w:widowControl w:val="0"/>
        <w:autoSpaceDE w:val="0"/>
        <w:autoSpaceDN w:val="0"/>
        <w:adjustRightInd w:val="0"/>
        <w:spacing w:after="200" w:line="360" w:lineRule="auto"/>
        <w:rPr>
          <w:rFonts w:ascii="Verdana" w:hAnsi="Verdana" w:cs="Arial"/>
          <w:sz w:val="20"/>
          <w:szCs w:val="20"/>
          <w:lang w:val="nl-NL"/>
        </w:rPr>
      </w:pPr>
      <w:r w:rsidRPr="002A79FB">
        <w:rPr>
          <w:rFonts w:ascii="Verdana" w:hAnsi="Verdana" w:cs="Arial"/>
          <w:b/>
          <w:sz w:val="20"/>
          <w:szCs w:val="20"/>
          <w:lang w:val="nl-NL"/>
        </w:rPr>
        <w:t>Persbureau: Square Egg BVBA</w:t>
      </w:r>
      <w:r w:rsidRPr="002A79FB">
        <w:rPr>
          <w:rFonts w:ascii="Verdana" w:hAnsi="Verdana" w:cs="Arial"/>
          <w:b/>
          <w:sz w:val="20"/>
          <w:szCs w:val="20"/>
          <w:lang w:val="nl-NL"/>
        </w:rPr>
        <w:br/>
      </w:r>
      <w:r w:rsidRPr="002A79FB">
        <w:rPr>
          <w:rFonts w:ascii="Verdana" w:hAnsi="Verdana" w:cs="Arial"/>
          <w:sz w:val="20"/>
          <w:szCs w:val="20"/>
          <w:lang w:val="nl-NL"/>
        </w:rPr>
        <w:t xml:space="preserve">Sandra Van Hauwaert, GSM: +32 497 25 18 16, E-mail: </w:t>
      </w:r>
      <w:hyperlink r:id="rId6" w:history="1">
        <w:r w:rsidRPr="002A79FB">
          <w:rPr>
            <w:rStyle w:val="Hyperlink"/>
            <w:rFonts w:ascii="Verdana" w:hAnsi="Verdana" w:cs="Arial"/>
            <w:sz w:val="20"/>
            <w:szCs w:val="20"/>
            <w:lang w:val="nl-NL"/>
          </w:rPr>
          <w:t>sandra@square-egg.be</w:t>
        </w:r>
      </w:hyperlink>
    </w:p>
    <w:p w14:paraId="50DFE17D" w14:textId="77777777" w:rsidR="002A79FB" w:rsidRDefault="002A79FB" w:rsidP="002A79FB">
      <w:pPr>
        <w:widowControl w:val="0"/>
        <w:autoSpaceDE w:val="0"/>
        <w:autoSpaceDN w:val="0"/>
        <w:adjustRightInd w:val="0"/>
        <w:spacing w:line="360" w:lineRule="auto"/>
        <w:rPr>
          <w:rFonts w:ascii="Verdana" w:hAnsi="Verdana" w:cs="Verdana"/>
          <w:sz w:val="20"/>
          <w:szCs w:val="20"/>
          <w:lang w:val="nl-NL"/>
        </w:rPr>
      </w:pPr>
    </w:p>
    <w:p w14:paraId="0A2557A1" w14:textId="77777777" w:rsidR="007B7746" w:rsidRDefault="007B7746" w:rsidP="002A79FB">
      <w:pPr>
        <w:widowControl w:val="0"/>
        <w:autoSpaceDE w:val="0"/>
        <w:autoSpaceDN w:val="0"/>
        <w:adjustRightInd w:val="0"/>
        <w:spacing w:line="360" w:lineRule="auto"/>
        <w:rPr>
          <w:rFonts w:ascii="Verdana" w:hAnsi="Verdana" w:cs="Verdana"/>
          <w:sz w:val="20"/>
          <w:szCs w:val="20"/>
          <w:lang w:val="nl-NL"/>
        </w:rPr>
      </w:pPr>
      <w:bookmarkStart w:id="0" w:name="_GoBack"/>
      <w:bookmarkEnd w:id="0"/>
    </w:p>
    <w:p w14:paraId="37DA63A2" w14:textId="77777777" w:rsidR="002A79FB" w:rsidRDefault="002A79FB" w:rsidP="002A79FB">
      <w:pPr>
        <w:widowControl w:val="0"/>
        <w:autoSpaceDE w:val="0"/>
        <w:autoSpaceDN w:val="0"/>
        <w:adjustRightInd w:val="0"/>
        <w:spacing w:line="360" w:lineRule="auto"/>
        <w:rPr>
          <w:rFonts w:ascii="Verdana" w:hAnsi="Verdana" w:cs="Verdana"/>
          <w:sz w:val="20"/>
          <w:szCs w:val="20"/>
          <w:lang w:val="nl-NL"/>
        </w:rPr>
      </w:pPr>
    </w:p>
    <w:p w14:paraId="6FDFDB8B" w14:textId="77777777" w:rsidR="002A79FB" w:rsidRPr="002A79FB" w:rsidRDefault="002A79FB" w:rsidP="002A79FB">
      <w:pPr>
        <w:widowControl w:val="0"/>
        <w:autoSpaceDE w:val="0"/>
        <w:autoSpaceDN w:val="0"/>
        <w:adjustRightInd w:val="0"/>
        <w:spacing w:line="360" w:lineRule="auto"/>
        <w:rPr>
          <w:rFonts w:ascii="Verdana" w:hAnsi="Verdana" w:cs="Verdana"/>
          <w:sz w:val="20"/>
          <w:szCs w:val="20"/>
          <w:u w:val="single"/>
          <w:lang w:val="nl-NL"/>
        </w:rPr>
      </w:pPr>
      <w:r w:rsidRPr="002A79FB">
        <w:rPr>
          <w:rFonts w:ascii="Verdana" w:hAnsi="Verdana" w:cs="Verdana"/>
          <w:sz w:val="20"/>
          <w:szCs w:val="20"/>
          <w:u w:val="single"/>
          <w:lang w:val="nl-NL"/>
        </w:rPr>
        <w:lastRenderedPageBreak/>
        <w:t>Steden die aan TomTom City toegevoegd zijn:</w:t>
      </w:r>
    </w:p>
    <w:p w14:paraId="6C113583" w14:textId="459B85E4" w:rsidR="002A79FB" w:rsidRPr="002A79FB" w:rsidRDefault="002A79FB" w:rsidP="002A79FB">
      <w:pPr>
        <w:widowControl w:val="0"/>
        <w:autoSpaceDE w:val="0"/>
        <w:autoSpaceDN w:val="0"/>
        <w:adjustRightInd w:val="0"/>
        <w:spacing w:line="360" w:lineRule="auto"/>
        <w:rPr>
          <w:rFonts w:ascii="Verdana" w:hAnsi="Verdana" w:cs="Verdana"/>
          <w:sz w:val="20"/>
          <w:szCs w:val="20"/>
          <w:lang w:val="nl-NL"/>
        </w:rPr>
      </w:pPr>
      <w:r w:rsidRPr="002A79FB">
        <w:rPr>
          <w:rFonts w:ascii="Verdana" w:hAnsi="Verdana" w:cs="Verdana"/>
          <w:sz w:val="20"/>
          <w:szCs w:val="20"/>
          <w:lang w:val="nl-NL"/>
        </w:rPr>
        <w:t>Europa:</w:t>
      </w:r>
      <w:r>
        <w:rPr>
          <w:rFonts w:ascii="Verdana" w:hAnsi="Verdana" w:cs="Verdana"/>
          <w:sz w:val="20"/>
          <w:szCs w:val="20"/>
          <w:lang w:val="nl-NL"/>
        </w:rPr>
        <w:br/>
      </w:r>
      <w:r w:rsidRPr="002A79FB">
        <w:rPr>
          <w:rFonts w:ascii="Verdana" w:hAnsi="Verdana" w:cs="Verdana"/>
          <w:sz w:val="20"/>
          <w:szCs w:val="20"/>
          <w:lang w:val="nl-NL"/>
        </w:rPr>
        <w:t>Antwerpen (BE), Luik (BE), Le Havre (FR), Lille (FR), Lyon (FR), Marseille (FR), Toulouse (FR), Bremen (DE), Keulen (DE), Dortmund (DE), Duisburg (DE), Düsseldorf (DE), Essen (DE), Hannover/Niedersachsen (DE), Ingolstadt (DE), Karlsruhe (DE), Kassel (DE), Kiel (DE), Leipzig (DE), München (DE), Saarbrucken (DE), Stuttgart (DE), Wolfsburg (DE), Dublin (IE), Bari (IT), Verona (IT), Eindhoven (NL), Utrecht (NL), Barcelona (ES), Valencia (ES), Birmingham (UK), Bristol (UK), Edinburgh (UK)</w:t>
      </w:r>
    </w:p>
    <w:p w14:paraId="63672563" w14:textId="2B0DBC8D" w:rsidR="002A79FB" w:rsidRPr="002A79FB" w:rsidRDefault="002A79FB" w:rsidP="002A79FB">
      <w:pPr>
        <w:widowControl w:val="0"/>
        <w:autoSpaceDE w:val="0"/>
        <w:autoSpaceDN w:val="0"/>
        <w:adjustRightInd w:val="0"/>
        <w:spacing w:line="360" w:lineRule="auto"/>
        <w:rPr>
          <w:rFonts w:ascii="Verdana" w:hAnsi="Verdana" w:cs="Verdana"/>
          <w:sz w:val="20"/>
          <w:szCs w:val="20"/>
          <w:lang w:val="nl-NL"/>
        </w:rPr>
      </w:pPr>
      <w:r w:rsidRPr="002A79FB">
        <w:rPr>
          <w:rFonts w:ascii="Verdana" w:hAnsi="Verdana" w:cs="Verdana"/>
          <w:sz w:val="20"/>
          <w:szCs w:val="20"/>
          <w:lang w:val="nl-NL"/>
        </w:rPr>
        <w:t>APAC:</w:t>
      </w:r>
      <w:r>
        <w:rPr>
          <w:rFonts w:ascii="Verdana" w:hAnsi="Verdana" w:cs="Verdana"/>
          <w:sz w:val="20"/>
          <w:szCs w:val="20"/>
          <w:lang w:val="nl-NL"/>
        </w:rPr>
        <w:br/>
      </w:r>
      <w:r w:rsidRPr="002A79FB">
        <w:rPr>
          <w:rFonts w:ascii="Verdana" w:hAnsi="Verdana" w:cs="Verdana"/>
          <w:sz w:val="20"/>
          <w:szCs w:val="20"/>
          <w:lang w:val="nl-NL"/>
        </w:rPr>
        <w:t>Adelaide (AU), Brisbane (AU), Canberra (AU), Perth (AU), Kuala Lumpur (MY), Christchurch (NZ), Jakarta (ID)</w:t>
      </w:r>
    </w:p>
    <w:p w14:paraId="34E9785C" w14:textId="3475228F" w:rsidR="002A79FB" w:rsidRPr="002A79FB" w:rsidRDefault="002A79FB" w:rsidP="002A79FB">
      <w:pPr>
        <w:widowControl w:val="0"/>
        <w:autoSpaceDE w:val="0"/>
        <w:autoSpaceDN w:val="0"/>
        <w:adjustRightInd w:val="0"/>
        <w:spacing w:line="360" w:lineRule="auto"/>
        <w:rPr>
          <w:rFonts w:ascii="Verdana" w:hAnsi="Verdana" w:cs="Verdana"/>
          <w:sz w:val="20"/>
          <w:szCs w:val="20"/>
          <w:lang w:val="nl-NL"/>
        </w:rPr>
      </w:pPr>
      <w:r w:rsidRPr="002A79FB">
        <w:rPr>
          <w:rFonts w:ascii="Verdana" w:hAnsi="Verdana" w:cs="Verdana"/>
          <w:sz w:val="20"/>
          <w:szCs w:val="20"/>
          <w:lang w:val="nl-NL"/>
        </w:rPr>
        <w:t>Americas:</w:t>
      </w:r>
      <w:r>
        <w:rPr>
          <w:rFonts w:ascii="Verdana" w:hAnsi="Verdana" w:cs="Verdana"/>
          <w:sz w:val="20"/>
          <w:szCs w:val="20"/>
          <w:lang w:val="nl-NL"/>
        </w:rPr>
        <w:br/>
      </w:r>
      <w:r w:rsidRPr="002A79FB">
        <w:rPr>
          <w:rFonts w:ascii="Verdana" w:hAnsi="Verdana" w:cs="Verdana"/>
          <w:sz w:val="20"/>
          <w:szCs w:val="20"/>
          <w:lang w:val="nl-NL"/>
        </w:rPr>
        <w:t>Porto Alegre (BR), Santiago (CL), Mexico City (MX), Columbus (US), Cleveland (US), Denver (US), Detroit (US), Los Angeles (US), Sacramento (US), San Diego (US) </w:t>
      </w:r>
    </w:p>
    <w:p w14:paraId="55007780" w14:textId="77777777" w:rsidR="002A79FB" w:rsidRPr="002A79FB" w:rsidRDefault="002A79FB" w:rsidP="002A79FB">
      <w:pPr>
        <w:widowControl w:val="0"/>
        <w:autoSpaceDE w:val="0"/>
        <w:autoSpaceDN w:val="0"/>
        <w:adjustRightInd w:val="0"/>
        <w:spacing w:line="360" w:lineRule="auto"/>
        <w:rPr>
          <w:rFonts w:ascii="Verdana" w:hAnsi="Verdana" w:cs="Verdana"/>
          <w:sz w:val="20"/>
          <w:szCs w:val="20"/>
          <w:lang w:val="nl-NL"/>
        </w:rPr>
      </w:pPr>
      <w:r w:rsidRPr="002A79FB">
        <w:rPr>
          <w:rFonts w:ascii="Verdana" w:hAnsi="Verdana" w:cs="Verdana"/>
          <w:sz w:val="20"/>
          <w:szCs w:val="20"/>
          <w:lang w:val="nl-NL"/>
        </w:rPr>
        <w:t>*Apparaten zoals Portable Navigation Devices, connected smartphone apps, in-dash navigatie en fleet management systemen.</w:t>
      </w:r>
    </w:p>
    <w:p w14:paraId="0DF5413F" w14:textId="77777777" w:rsidR="002A79FB" w:rsidRPr="002A79FB" w:rsidRDefault="002A79FB" w:rsidP="002A79FB">
      <w:pPr>
        <w:widowControl w:val="0"/>
        <w:autoSpaceDE w:val="0"/>
        <w:autoSpaceDN w:val="0"/>
        <w:adjustRightInd w:val="0"/>
        <w:spacing w:line="360" w:lineRule="auto"/>
        <w:rPr>
          <w:rFonts w:ascii="Verdana" w:hAnsi="Verdana" w:cs="Verdana"/>
          <w:sz w:val="20"/>
          <w:szCs w:val="20"/>
          <w:lang w:val="nl-NL"/>
        </w:rPr>
      </w:pPr>
    </w:p>
    <w:p w14:paraId="14D4B5E7" w14:textId="77777777" w:rsidR="002A79FB" w:rsidRPr="002A79FB" w:rsidRDefault="002A79FB" w:rsidP="002A79FB">
      <w:pPr>
        <w:widowControl w:val="0"/>
        <w:autoSpaceDE w:val="0"/>
        <w:autoSpaceDN w:val="0"/>
        <w:adjustRightInd w:val="0"/>
        <w:spacing w:line="360" w:lineRule="auto"/>
        <w:rPr>
          <w:rFonts w:ascii="Verdana" w:hAnsi="Verdana" w:cs="Verdana"/>
          <w:sz w:val="20"/>
          <w:szCs w:val="20"/>
          <w:lang w:val="nl-NL"/>
        </w:rPr>
      </w:pPr>
      <w:r w:rsidRPr="002A79FB">
        <w:rPr>
          <w:rFonts w:ascii="Verdana" w:hAnsi="Verdana" w:cs="Verdana"/>
          <w:b/>
          <w:bCs/>
          <w:sz w:val="20"/>
          <w:szCs w:val="20"/>
          <w:lang w:val="nl-NL"/>
        </w:rPr>
        <w:t>Over TomTom</w:t>
      </w:r>
    </w:p>
    <w:p w14:paraId="3F53123F" w14:textId="77777777" w:rsidR="002A79FB" w:rsidRPr="002A79FB" w:rsidRDefault="002A79FB" w:rsidP="002A79FB">
      <w:pPr>
        <w:widowControl w:val="0"/>
        <w:autoSpaceDE w:val="0"/>
        <w:autoSpaceDN w:val="0"/>
        <w:adjustRightInd w:val="0"/>
        <w:spacing w:line="360" w:lineRule="auto"/>
        <w:rPr>
          <w:rFonts w:ascii="Verdana" w:hAnsi="Verdana" w:cs="Verdana"/>
          <w:sz w:val="20"/>
          <w:szCs w:val="20"/>
          <w:lang w:val="nl-NL"/>
        </w:rPr>
      </w:pPr>
      <w:r w:rsidRPr="002A79FB">
        <w:rPr>
          <w:rFonts w:ascii="Verdana" w:hAnsi="Verdana" w:cs="Verdana"/>
          <w:sz w:val="20"/>
          <w:szCs w:val="20"/>
          <w:lang w:val="nl-NL"/>
        </w:rPr>
        <w:t>Bij TomTom (TOM2) hebben we het tot onze missie verheven om technologie zo makkelijk te maken, dat iedereen meer kan bereiken. </w:t>
      </w:r>
    </w:p>
    <w:p w14:paraId="3870BB65" w14:textId="77777777" w:rsidR="002A79FB" w:rsidRPr="002A79FB" w:rsidRDefault="002A79FB" w:rsidP="002A79FB">
      <w:pPr>
        <w:widowControl w:val="0"/>
        <w:autoSpaceDE w:val="0"/>
        <w:autoSpaceDN w:val="0"/>
        <w:adjustRightInd w:val="0"/>
        <w:spacing w:line="360" w:lineRule="auto"/>
        <w:rPr>
          <w:rFonts w:ascii="Verdana" w:hAnsi="Verdana" w:cs="Verdana"/>
          <w:sz w:val="20"/>
          <w:szCs w:val="20"/>
          <w:lang w:val="nl-NL"/>
        </w:rPr>
      </w:pPr>
      <w:r w:rsidRPr="002A79FB">
        <w:rPr>
          <w:rFonts w:ascii="Verdana" w:hAnsi="Verdana" w:cs="Verdana"/>
          <w:sz w:val="20"/>
          <w:szCs w:val="20"/>
          <w:lang w:val="nl-NL"/>
        </w:rPr>
        <w:t>We hebben het navigatiesysteem versimpeld en zo miljoenen mensen geholpen hun bestemming te vinden. We zijn tot op de dag van vandaag bezig met het vergemakkelijken van het complexe, zodat technologie voor iedereen toegankelijk wordt. Ons bedrijf bestaat uit vier klantgerichte business units: Consumer, Telematics, Automotive en Licensing. </w:t>
      </w:r>
    </w:p>
    <w:p w14:paraId="296E274A" w14:textId="77777777" w:rsidR="002A79FB" w:rsidRPr="002A79FB" w:rsidRDefault="002A79FB" w:rsidP="002A79FB">
      <w:pPr>
        <w:widowControl w:val="0"/>
        <w:autoSpaceDE w:val="0"/>
        <w:autoSpaceDN w:val="0"/>
        <w:adjustRightInd w:val="0"/>
        <w:spacing w:line="360" w:lineRule="auto"/>
        <w:rPr>
          <w:rFonts w:ascii="Verdana" w:hAnsi="Verdana" w:cs="Verdana"/>
          <w:sz w:val="20"/>
          <w:szCs w:val="20"/>
          <w:lang w:val="nl-NL"/>
        </w:rPr>
      </w:pPr>
      <w:r w:rsidRPr="002A79FB">
        <w:rPr>
          <w:rFonts w:ascii="Verdana" w:hAnsi="Verdana" w:cs="Verdana"/>
          <w:sz w:val="20"/>
          <w:szCs w:val="20"/>
          <w:lang w:val="nl-NL"/>
        </w:rPr>
        <w:t>We maken makkelijk te gebruiken navigatiesystemen, sporthorloges en action camera’s voor consumenten. Met de fleetmanagement-oplossingen van Telematics helpen we ondernemingen met een wagenpark hun resultaten te optimaliseren. We hebben een toonaangevend realtime wegenkaartenplatform voor innovatieve locatiegebonden diensten en met de auto-industrie realiseren de zelfsturende auto. </w:t>
      </w:r>
    </w:p>
    <w:p w14:paraId="717DB400" w14:textId="77777777" w:rsidR="002A79FB" w:rsidRPr="002A79FB" w:rsidRDefault="002A79FB" w:rsidP="002A79FB">
      <w:pPr>
        <w:widowControl w:val="0"/>
        <w:autoSpaceDE w:val="0"/>
        <w:autoSpaceDN w:val="0"/>
        <w:adjustRightInd w:val="0"/>
        <w:spacing w:line="360" w:lineRule="auto"/>
        <w:rPr>
          <w:rFonts w:ascii="Verdana" w:hAnsi="Verdana" w:cs="Verdana"/>
          <w:sz w:val="20"/>
          <w:szCs w:val="20"/>
          <w:lang w:val="nl-NL"/>
        </w:rPr>
      </w:pPr>
      <w:r w:rsidRPr="002A79FB">
        <w:rPr>
          <w:rFonts w:ascii="Verdana" w:hAnsi="Verdana" w:cs="Verdana"/>
          <w:sz w:val="20"/>
          <w:szCs w:val="20"/>
          <w:lang w:val="nl-NL"/>
        </w:rPr>
        <w:t>Ons hoofdkantoor is sinds onze oprichting in 1991 gevestigd in Amsterdam. We hebben 4.600 medewerkers en we verkopen onze producten wereldwijd.</w:t>
      </w:r>
    </w:p>
    <w:sectPr w:rsidR="002A79FB" w:rsidRPr="002A7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rpoS">
    <w:altName w:val="Times New Roman"/>
    <w:charset w:val="00"/>
    <w:family w:val="auto"/>
    <w:pitch w:val="variable"/>
    <w:sig w:usb0="800000AF" w:usb1="1000204A" w:usb2="00000000" w:usb3="00000000" w:csb0="0000009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84"/>
    <w:rsid w:val="00016B99"/>
    <w:rsid w:val="0004326A"/>
    <w:rsid w:val="00063E4C"/>
    <w:rsid w:val="000F4BD0"/>
    <w:rsid w:val="000F5103"/>
    <w:rsid w:val="00106D59"/>
    <w:rsid w:val="00153A7B"/>
    <w:rsid w:val="001B240B"/>
    <w:rsid w:val="001D52F8"/>
    <w:rsid w:val="001E363F"/>
    <w:rsid w:val="0021704E"/>
    <w:rsid w:val="00224546"/>
    <w:rsid w:val="00292E69"/>
    <w:rsid w:val="002A2F64"/>
    <w:rsid w:val="002A79FB"/>
    <w:rsid w:val="002D0573"/>
    <w:rsid w:val="00301E68"/>
    <w:rsid w:val="003C2BA0"/>
    <w:rsid w:val="003F6DF4"/>
    <w:rsid w:val="004521A4"/>
    <w:rsid w:val="004529EA"/>
    <w:rsid w:val="004572F6"/>
    <w:rsid w:val="004E733E"/>
    <w:rsid w:val="00522B8A"/>
    <w:rsid w:val="00524877"/>
    <w:rsid w:val="005478E3"/>
    <w:rsid w:val="00560F52"/>
    <w:rsid w:val="00573BC1"/>
    <w:rsid w:val="00597A45"/>
    <w:rsid w:val="005B7980"/>
    <w:rsid w:val="005E1335"/>
    <w:rsid w:val="00612A70"/>
    <w:rsid w:val="0062743F"/>
    <w:rsid w:val="00651B54"/>
    <w:rsid w:val="00691253"/>
    <w:rsid w:val="006B6577"/>
    <w:rsid w:val="006C2681"/>
    <w:rsid w:val="006F6D99"/>
    <w:rsid w:val="007147A2"/>
    <w:rsid w:val="00774D83"/>
    <w:rsid w:val="007A6100"/>
    <w:rsid w:val="007B508B"/>
    <w:rsid w:val="007B7746"/>
    <w:rsid w:val="007E35FC"/>
    <w:rsid w:val="00851931"/>
    <w:rsid w:val="0087592E"/>
    <w:rsid w:val="0089764C"/>
    <w:rsid w:val="008D1284"/>
    <w:rsid w:val="008D427C"/>
    <w:rsid w:val="008E7CDC"/>
    <w:rsid w:val="00912348"/>
    <w:rsid w:val="00927C8A"/>
    <w:rsid w:val="00957372"/>
    <w:rsid w:val="009D0E9F"/>
    <w:rsid w:val="00A56317"/>
    <w:rsid w:val="00A6700E"/>
    <w:rsid w:val="00AC42CD"/>
    <w:rsid w:val="00AD0A07"/>
    <w:rsid w:val="00AD31D3"/>
    <w:rsid w:val="00AE1314"/>
    <w:rsid w:val="00AF6302"/>
    <w:rsid w:val="00B10BCB"/>
    <w:rsid w:val="00B42D00"/>
    <w:rsid w:val="00B81465"/>
    <w:rsid w:val="00B86507"/>
    <w:rsid w:val="00BA4E79"/>
    <w:rsid w:val="00BA79FB"/>
    <w:rsid w:val="00C05C9C"/>
    <w:rsid w:val="00C153CA"/>
    <w:rsid w:val="00C5699B"/>
    <w:rsid w:val="00C57628"/>
    <w:rsid w:val="00C71598"/>
    <w:rsid w:val="00C749C3"/>
    <w:rsid w:val="00C77225"/>
    <w:rsid w:val="00C84C9D"/>
    <w:rsid w:val="00CA1690"/>
    <w:rsid w:val="00CF0227"/>
    <w:rsid w:val="00D321AB"/>
    <w:rsid w:val="00D73E05"/>
    <w:rsid w:val="00D90FBF"/>
    <w:rsid w:val="00DC455A"/>
    <w:rsid w:val="00DD0551"/>
    <w:rsid w:val="00DE1D85"/>
    <w:rsid w:val="00E15A87"/>
    <w:rsid w:val="00E176F0"/>
    <w:rsid w:val="00E8795B"/>
    <w:rsid w:val="00EC5234"/>
    <w:rsid w:val="00EE2665"/>
    <w:rsid w:val="00F07A57"/>
    <w:rsid w:val="00F12DE5"/>
    <w:rsid w:val="00F243F0"/>
    <w:rsid w:val="00F46A1D"/>
    <w:rsid w:val="00FE245C"/>
    <w:rsid w:val="00FF00BA"/>
    <w:rsid w:val="00FF03BF"/>
    <w:rsid w:val="00FF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802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E176F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Kop2">
    <w:name w:val="heading 2"/>
    <w:basedOn w:val="Kop1"/>
    <w:next w:val="Standaard"/>
    <w:link w:val="Kop2Teken"/>
    <w:qFormat/>
    <w:rsid w:val="00E176F0"/>
    <w:pPr>
      <w:spacing w:before="240" w:after="120" w:line="360" w:lineRule="auto"/>
      <w:outlineLvl w:val="1"/>
    </w:pPr>
    <w:rPr>
      <w:rFonts w:ascii="Franklin Gothic Medium" w:eastAsia="MS Mincho" w:hAnsi="Franklin Gothic Medium" w:cs="Times New Roman"/>
      <w:b w:val="0"/>
      <w:bCs w:val="0"/>
      <w:color w:val="003366"/>
      <w:kern w:val="28"/>
      <w:lang w:val="en-GB"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1284"/>
    <w:rPr>
      <w:color w:val="0563C1" w:themeColor="hyperlink"/>
      <w:u w:val="single"/>
    </w:rPr>
  </w:style>
  <w:style w:type="paragraph" w:styleId="Ballontekst">
    <w:name w:val="Balloon Text"/>
    <w:basedOn w:val="Standaard"/>
    <w:link w:val="BallontekstTeken"/>
    <w:uiPriority w:val="99"/>
    <w:semiHidden/>
    <w:unhideWhenUsed/>
    <w:rsid w:val="006C2681"/>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C2681"/>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6C2681"/>
    <w:rPr>
      <w:color w:val="954F72" w:themeColor="followedHyperlink"/>
      <w:u w:val="single"/>
    </w:rPr>
  </w:style>
  <w:style w:type="paragraph" w:customStyle="1" w:styleId="40DisclaimerBoilerplate">
    <w:name w:val="4.0 Disclaimer / Boilerplate"/>
    <w:basedOn w:val="Standaard"/>
    <w:qFormat/>
    <w:rsid w:val="00A56317"/>
    <w:pPr>
      <w:spacing w:after="200" w:line="200" w:lineRule="exact"/>
    </w:pPr>
    <w:rPr>
      <w:rFonts w:ascii="CorpoS" w:eastAsia="Times New Roman" w:hAnsi="CorpoS" w:cs="Times New Roman"/>
      <w:sz w:val="16"/>
      <w:szCs w:val="20"/>
      <w:lang w:val="en-GB" w:eastAsia="en-GB" w:bidi="en-GB"/>
    </w:rPr>
  </w:style>
  <w:style w:type="paragraph" w:styleId="Lijstalinea">
    <w:name w:val="List Paragraph"/>
    <w:basedOn w:val="Standaard"/>
    <w:uiPriority w:val="34"/>
    <w:qFormat/>
    <w:rsid w:val="007A6100"/>
    <w:pPr>
      <w:ind w:left="720"/>
      <w:contextualSpacing/>
    </w:pPr>
  </w:style>
  <w:style w:type="character" w:customStyle="1" w:styleId="Kop2Teken">
    <w:name w:val="Kop 2 Teken"/>
    <w:basedOn w:val="Standaardalinea-lettertype"/>
    <w:link w:val="Kop2"/>
    <w:rsid w:val="00E176F0"/>
    <w:rPr>
      <w:rFonts w:ascii="Franklin Gothic Medium" w:eastAsia="MS Mincho" w:hAnsi="Franklin Gothic Medium" w:cs="Times New Roman"/>
      <w:color w:val="003366"/>
      <w:kern w:val="28"/>
      <w:sz w:val="32"/>
      <w:szCs w:val="32"/>
      <w:lang w:val="en-GB" w:eastAsia="ja-JP"/>
    </w:rPr>
  </w:style>
  <w:style w:type="character" w:customStyle="1" w:styleId="Kop1Teken">
    <w:name w:val="Kop 1 Teken"/>
    <w:basedOn w:val="Standaardalinea-lettertype"/>
    <w:link w:val="Kop1"/>
    <w:uiPriority w:val="9"/>
    <w:rsid w:val="00E176F0"/>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0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tomtom.com/en_gb/" TargetMode="External"/><Relationship Id="rId6" Type="http://schemas.openxmlformats.org/officeDocument/2006/relationships/hyperlink" Target="mailto:Sandra@square-egg.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3301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TomTom Group</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Mandeville</dc:creator>
  <cp:keywords/>
  <dc:description/>
  <cp:lastModifiedBy>Sandra Van Hauwaert</cp:lastModifiedBy>
  <cp:revision>3</cp:revision>
  <dcterms:created xsi:type="dcterms:W3CDTF">2016-10-11T09:36:00Z</dcterms:created>
  <dcterms:modified xsi:type="dcterms:W3CDTF">2016-10-11T09:36:00Z</dcterms:modified>
</cp:coreProperties>
</file>