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entury Gothic" w:cs="Century Gothic" w:eastAsia="Century Gothic" w:hAnsi="Century Gothic"/>
          <w:b w:val="1"/>
          <w:color w:val="222222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</w:rPr>
        <w:drawing>
          <wp:inline distB="0" distT="0" distL="0" distR="0">
            <wp:extent cx="3064510" cy="1403985"/>
            <wp:effectExtent b="0" l="0" r="0" t="0"/>
            <wp:docPr descr="T_LogoC" id="1" name="image1.png"/>
            <a:graphic>
              <a:graphicData uri="http://schemas.openxmlformats.org/drawingml/2006/picture">
                <pic:pic>
                  <pic:nvPicPr>
                    <pic:cNvPr descr="T_LogoC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1403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hd w:fill="ffffff" w:val="clear"/>
        <w:jc w:val="both"/>
        <w:rPr>
          <w:rFonts w:ascii="Century Gothic" w:cs="Century Gothic" w:eastAsia="Century Gothic" w:hAnsi="Century Gothic"/>
          <w:b w:val="1"/>
          <w:color w:val="222222"/>
          <w:sz w:val="28"/>
          <w:szCs w:val="28"/>
        </w:rPr>
      </w:pPr>
      <w:bookmarkStart w:colFirst="0" w:colLast="0" w:name="_6ji26jaq4i0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hd w:fill="ffffff" w:val="clear"/>
        <w:jc w:val="center"/>
        <w:rPr>
          <w:rFonts w:ascii="Century Gothic" w:cs="Century Gothic" w:eastAsia="Century Gothic" w:hAnsi="Century Gothic"/>
          <w:b w:val="1"/>
          <w:color w:val="222222"/>
          <w:sz w:val="28"/>
          <w:szCs w:val="28"/>
        </w:rPr>
      </w:pPr>
      <w:bookmarkStart w:colFirst="0" w:colLast="0" w:name="_gjplai3zotc" w:id="2"/>
      <w:bookmarkEnd w:id="2"/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sz w:val="28"/>
          <w:szCs w:val="28"/>
          <w:rtl w:val="0"/>
        </w:rPr>
        <w:t xml:space="preserve">Una escultura vanguardista en tu muñeca: Tissot Heritage Memphis Edición limitada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jc w:val="center"/>
        <w:rPr>
          <w:rFonts w:ascii="Century Gothic" w:cs="Century Gothic" w:eastAsia="Century Gothic" w:hAnsi="Century Gothic"/>
          <w:b w:val="1"/>
          <w:color w:val="222222"/>
          <w:sz w:val="22"/>
          <w:szCs w:val="22"/>
        </w:rPr>
      </w:pPr>
      <w:bookmarkStart w:colFirst="0" w:colLast="0" w:name="_9i9m4kpngnf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rFonts w:ascii="Century Gothic" w:cs="Century Gothic" w:eastAsia="Century Gothic" w:hAnsi="Century Gothic"/>
          <w:color w:val="222222"/>
          <w:sz w:val="22"/>
          <w:szCs w:val="22"/>
        </w:rPr>
      </w:pPr>
      <w:bookmarkStart w:colFirst="0" w:colLast="0" w:name="_3dy6vkm" w:id="4"/>
      <w:bookmarkEnd w:id="4"/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sz w:val="22"/>
          <w:szCs w:val="22"/>
          <w:rtl w:val="0"/>
        </w:rPr>
        <w:t xml:space="preserve">Ciudad de México, a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sz w:val="22"/>
          <w:szCs w:val="22"/>
          <w:highlight w:val="yellow"/>
          <w:rtl w:val="0"/>
        </w:rPr>
        <w:t xml:space="preserve">XX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sz w:val="22"/>
          <w:szCs w:val="22"/>
          <w:rtl w:val="0"/>
        </w:rPr>
        <w:t xml:space="preserve"> de agosto de 2021.-</w:t>
      </w:r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 El término innovación no siempre está relacionado a avances tecnológicos que generan fiabilidad y confort; para Tissot, la innovación también tiene un lugar muy importante en la creatividad, en la visión estética que caracteriza a cada época o tiempo. Por ello, este 2021 vuelve a la década de los 80, específicamente a un modelo que revolucionó la industria en su momento: el Tissot Heritage Memphis. </w:t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Century Gothic" w:cs="Century Gothic" w:eastAsia="Century Gothic" w:hAnsi="Century Gothic"/>
          <w:color w:val="222222"/>
          <w:sz w:val="22"/>
          <w:szCs w:val="22"/>
        </w:rPr>
      </w:pPr>
      <w:bookmarkStart w:colFirst="0" w:colLast="0" w:name="_mgwuoasm4k2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rFonts w:ascii="Century Gothic" w:cs="Century Gothic" w:eastAsia="Century Gothic" w:hAnsi="Century Gothic"/>
          <w:color w:val="222222"/>
          <w:sz w:val="22"/>
          <w:szCs w:val="22"/>
        </w:rPr>
      </w:pPr>
      <w:bookmarkStart w:colFirst="0" w:colLast="0" w:name="_bvzhznnzq3ti" w:id="6"/>
      <w:bookmarkEnd w:id="6"/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Ettore Sottsass, líder del grupo Memphis, un movimiento milanés de diseño y arquitectura que basaba sus creaciones en códigos anticonformistas, atrevidos, vanguardistas y coloridos, fue el responsable, en 1988, de crear este peculiar reloj. Para rendirle un homenaje a este movimiento vanguardista en su 40 aniversario, Tissot revive este modelo con atributos contemporáneos a nivel técnico y con las características estéticas atemporales que solo una mente como Sottsass pudo idear. 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rFonts w:ascii="Century Gothic" w:cs="Century Gothic" w:eastAsia="Century Gothic" w:hAnsi="Century Gothic"/>
          <w:color w:val="222222"/>
          <w:sz w:val="22"/>
          <w:szCs w:val="22"/>
        </w:rPr>
      </w:pPr>
      <w:bookmarkStart w:colFirst="0" w:colLast="0" w:name="_8q3a1mq3tkyd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rFonts w:ascii="Century Gothic" w:cs="Century Gothic" w:eastAsia="Century Gothic" w:hAnsi="Century Gothic"/>
          <w:color w:val="222222"/>
          <w:sz w:val="22"/>
          <w:szCs w:val="22"/>
        </w:rPr>
      </w:pPr>
      <w:bookmarkStart w:colFirst="0" w:colLast="0" w:name="_anzvou57ftxi" w:id="8"/>
      <w:bookmarkEnd w:id="8"/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La nueva colección Tissot Heritage Memphis presenta un estilo creado por Sottsass que va de lo místico a lo racional, una combinación entre lo geométrico y cierta simbología antigüa que genera una conexión con lo que cada uno, desde su visión y creencias, llama “universo”. </w:t>
      </w:r>
    </w:p>
    <w:p w:rsidR="00000000" w:rsidDel="00000000" w:rsidP="00000000" w:rsidRDefault="00000000" w:rsidRPr="00000000" w14:paraId="0000000A">
      <w:pPr>
        <w:pageBreakBefore w:val="0"/>
        <w:shd w:fill="ffffff" w:val="clear"/>
        <w:jc w:val="both"/>
        <w:rPr>
          <w:rFonts w:ascii="Century Gothic" w:cs="Century Gothic" w:eastAsia="Century Gothic" w:hAnsi="Century Gothic"/>
          <w:color w:val="222222"/>
          <w:sz w:val="22"/>
          <w:szCs w:val="22"/>
        </w:rPr>
      </w:pPr>
      <w:bookmarkStart w:colFirst="0" w:colLast="0" w:name="_9os3iknba32k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hd w:fill="ffffff" w:val="clear"/>
        <w:jc w:val="both"/>
        <w:rPr>
          <w:rFonts w:ascii="Century Gothic" w:cs="Century Gothic" w:eastAsia="Century Gothic" w:hAnsi="Century Gothic"/>
          <w:color w:val="222222"/>
          <w:sz w:val="22"/>
          <w:szCs w:val="22"/>
        </w:rPr>
      </w:pPr>
      <w:bookmarkStart w:colFirst="0" w:colLast="0" w:name="_1dzskwncyv22" w:id="10"/>
      <w:bookmarkEnd w:id="10"/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No hay discreción en este modelo Tissot; hay, más bien, provocación, un gesto revolucionario que crea un estilo único. Se trata de un reloj emblemático para la compañía pero también para la moda en general: las exuberantes proporciones en cada uno de sus elementos lo convierten en el accesorio perfecto para prendas que van un poco más allá en términos estéticos. </w:t>
      </w:r>
    </w:p>
    <w:p w:rsidR="00000000" w:rsidDel="00000000" w:rsidP="00000000" w:rsidRDefault="00000000" w:rsidRPr="00000000" w14:paraId="0000000C">
      <w:pPr>
        <w:pageBreakBefore w:val="0"/>
        <w:shd w:fill="ffffff" w:val="clear"/>
        <w:jc w:val="both"/>
        <w:rPr>
          <w:rFonts w:ascii="Century Gothic" w:cs="Century Gothic" w:eastAsia="Century Gothic" w:hAnsi="Century Gothic"/>
          <w:color w:val="222222"/>
          <w:sz w:val="22"/>
          <w:szCs w:val="22"/>
        </w:rPr>
      </w:pPr>
      <w:bookmarkStart w:colFirst="0" w:colLast="0" w:name="_q7zljr9zei66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hd w:fill="ffffff" w:val="clear"/>
        <w:jc w:val="both"/>
        <w:rPr>
          <w:rFonts w:ascii="Century Gothic" w:cs="Century Gothic" w:eastAsia="Century Gothic" w:hAnsi="Century Gothic"/>
          <w:color w:val="222222"/>
          <w:sz w:val="22"/>
          <w:szCs w:val="22"/>
        </w:rPr>
      </w:pPr>
      <w:bookmarkStart w:colFirst="0" w:colLast="0" w:name="_qgsuimnp1nr" w:id="12"/>
      <w:bookmarkEnd w:id="12"/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Ese estilo abultado y colorido de la década de los ochenta se conjuga a la perfección con la estética contemporánea, que acepta todas las tonalidades, desde las más discretas hasta las más deslumbrantes. El Tissot Heritage Memphis puede funcionar a la perfección con una propuesta formal por ese gesto minimalista y a la vez grandilocuente; o quizás ser el accesorio ideal para resaltar un conjunto más vanguardista. Se trata, en resumen, de un reloj que puede adaptarse a lo mejor de cada mundo, una escultura que puedes portar en tu muñeca. </w:t>
      </w:r>
    </w:p>
    <w:p w:rsidR="00000000" w:rsidDel="00000000" w:rsidP="00000000" w:rsidRDefault="00000000" w:rsidRPr="00000000" w14:paraId="0000000E">
      <w:pPr>
        <w:pageBreakBefore w:val="0"/>
        <w:shd w:fill="ffffff" w:val="clear"/>
        <w:jc w:val="both"/>
        <w:rPr>
          <w:rFonts w:ascii="Century Gothic" w:cs="Century Gothic" w:eastAsia="Century Gothic" w:hAnsi="Century Gothic"/>
          <w:color w:val="222222"/>
          <w:sz w:val="22"/>
          <w:szCs w:val="22"/>
        </w:rPr>
      </w:pPr>
      <w:bookmarkStart w:colFirst="0" w:colLast="0" w:name="_u771doq151ee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hd w:fill="ffffff" w:val="clear"/>
        <w:jc w:val="both"/>
        <w:rPr>
          <w:rFonts w:ascii="Century Gothic" w:cs="Century Gothic" w:eastAsia="Century Gothic" w:hAnsi="Century Gothic"/>
          <w:color w:val="222222"/>
          <w:sz w:val="22"/>
          <w:szCs w:val="22"/>
        </w:rPr>
      </w:pPr>
      <w:bookmarkStart w:colFirst="0" w:colLast="0" w:name="_mm5utb90hiyb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rFonts w:ascii="Century Gothic" w:cs="Century Gothic" w:eastAsia="Century Gothic" w:hAnsi="Century Gothic"/>
          <w:b w:val="1"/>
          <w:color w:val="222222"/>
          <w:sz w:val="22"/>
          <w:szCs w:val="22"/>
        </w:rPr>
      </w:pPr>
      <w:bookmarkStart w:colFirst="0" w:colLast="0" w:name="_2xcytpi" w:id="15"/>
      <w:bookmarkEnd w:id="15"/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La colección Memphis se compone de dos modelos femeninos de 34 mm de diámetro, uno de acero con </w:t>
      </w:r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carátula</w:t>
      </w:r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 blanca y otro de acero con bisel PVD dorado amarillo y apéndices negros. Se editarán 1700 ejemplares de cada uno. Los modelos de caballero estarán disponibles en una edición limitada de 3000 unidades para la versión de PVD negro, y de 2500 para la versión bicolor y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sz w:val="22"/>
          <w:szCs w:val="22"/>
          <w:rtl w:val="0"/>
        </w:rPr>
        <w:t xml:space="preserve">estarán a la venta de</w:t>
      </w:r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sz w:val="22"/>
          <w:szCs w:val="22"/>
          <w:rtl w:val="0"/>
        </w:rPr>
        <w:t xml:space="preserve">manera EXCLUSIVA EN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2"/>
            <w:szCs w:val="22"/>
            <w:u w:val="single"/>
            <w:rtl w:val="0"/>
          </w:rPr>
          <w:t xml:space="preserve">Joyerías Bizarro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sz w:val="22"/>
          <w:szCs w:val="22"/>
          <w:rtl w:val="0"/>
        </w:rPr>
        <w:t xml:space="preserve"> tanto en tiendas físicas como en su tienda en línea.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hd w:fill="ffffff" w:val="clear"/>
        <w:jc w:val="both"/>
        <w:rPr>
          <w:rFonts w:ascii="Century Gothic" w:cs="Century Gothic" w:eastAsia="Century Gothic" w:hAnsi="Century Gothic"/>
          <w:color w:val="222222"/>
          <w:sz w:val="22"/>
          <w:szCs w:val="22"/>
        </w:rPr>
      </w:pPr>
      <w:bookmarkStart w:colFirst="0" w:colLast="0" w:name="_sxm1itqio7nf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hd w:fill="ffffff" w:val="clear"/>
        <w:jc w:val="both"/>
        <w:rPr>
          <w:rFonts w:ascii="Century Gothic" w:cs="Century Gothic" w:eastAsia="Century Gothic" w:hAnsi="Century Gothic"/>
          <w:color w:val="222222"/>
          <w:sz w:val="22"/>
          <w:szCs w:val="22"/>
        </w:rPr>
      </w:pPr>
      <w:bookmarkStart w:colFirst="0" w:colLast="0" w:name="_zfxunyl1qltr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hd w:fill="ffffff" w:val="clear"/>
        <w:jc w:val="both"/>
        <w:rPr>
          <w:rFonts w:ascii="Century Gothic" w:cs="Century Gothic" w:eastAsia="Century Gothic" w:hAnsi="Century Gothic"/>
          <w:b w:val="1"/>
          <w:color w:val="222222"/>
          <w:sz w:val="22"/>
          <w:szCs w:val="22"/>
        </w:rPr>
      </w:pPr>
      <w:bookmarkStart w:colFirst="0" w:colLast="0" w:name="_meyx7r4ovcib" w:id="18"/>
      <w:bookmarkEnd w:id="18"/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sz w:val="22"/>
          <w:szCs w:val="22"/>
          <w:rtl w:val="0"/>
        </w:rPr>
        <w:t xml:space="preserve">Características técnicas</w:t>
      </w:r>
    </w:p>
    <w:p w:rsidR="00000000" w:rsidDel="00000000" w:rsidP="00000000" w:rsidRDefault="00000000" w:rsidRPr="00000000" w14:paraId="00000014">
      <w:pPr>
        <w:pageBreakBefore w:val="0"/>
        <w:shd w:fill="ffffff" w:val="clear"/>
        <w:jc w:val="both"/>
        <w:rPr>
          <w:rFonts w:ascii="Century Gothic" w:cs="Century Gothic" w:eastAsia="Century Gothic" w:hAnsi="Century Gothic"/>
          <w:color w:val="222222"/>
          <w:sz w:val="22"/>
          <w:szCs w:val="22"/>
        </w:rPr>
      </w:pPr>
      <w:bookmarkStart w:colFirst="0" w:colLast="0" w:name="_5ga3dh6fg5js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hd w:fill="ffffff" w:val="clear"/>
        <w:ind w:left="720" w:hanging="360"/>
        <w:jc w:val="both"/>
        <w:rPr>
          <w:rFonts w:ascii="Century Gothic" w:cs="Century Gothic" w:eastAsia="Century Gothic" w:hAnsi="Century Gothic"/>
          <w:color w:val="222222"/>
          <w:sz w:val="22"/>
          <w:szCs w:val="22"/>
          <w:u w:val="none"/>
        </w:rPr>
      </w:pPr>
      <w:bookmarkStart w:colFirst="0" w:colLast="0" w:name="_eickcvkvj2t" w:id="20"/>
      <w:bookmarkEnd w:id="20"/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Caja de acero 316L con revestimiento de PVD dorado o negro.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hd w:fill="ffffff" w:val="clear"/>
        <w:ind w:left="720" w:hanging="360"/>
        <w:jc w:val="both"/>
        <w:rPr>
          <w:rFonts w:ascii="Century Gothic" w:cs="Century Gothic" w:eastAsia="Century Gothic" w:hAnsi="Century Gothic"/>
          <w:color w:val="222222"/>
          <w:sz w:val="22"/>
          <w:szCs w:val="22"/>
          <w:u w:val="none"/>
        </w:rPr>
      </w:pPr>
      <w:bookmarkStart w:colFirst="0" w:colLast="0" w:name="_qahocpukirfd" w:id="21"/>
      <w:bookmarkEnd w:id="21"/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Movimiento de cuarzo PreciDrive Swiss Made.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hd w:fill="ffffff" w:val="clear"/>
        <w:ind w:left="720" w:hanging="360"/>
        <w:jc w:val="both"/>
        <w:rPr>
          <w:rFonts w:ascii="Century Gothic" w:cs="Century Gothic" w:eastAsia="Century Gothic" w:hAnsi="Century Gothic"/>
          <w:color w:val="222222"/>
          <w:sz w:val="22"/>
          <w:szCs w:val="22"/>
          <w:u w:val="none"/>
        </w:rPr>
      </w:pPr>
      <w:bookmarkStart w:colFirst="0" w:colLast="0" w:name="_he9xaowadfld" w:id="22"/>
      <w:bookmarkEnd w:id="22"/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Cristal de zafiro.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hd w:fill="ffffff" w:val="clear"/>
        <w:ind w:left="720" w:hanging="360"/>
        <w:jc w:val="both"/>
        <w:rPr>
          <w:rFonts w:ascii="Century Gothic" w:cs="Century Gothic" w:eastAsia="Century Gothic" w:hAnsi="Century Gothic"/>
          <w:color w:val="222222"/>
          <w:sz w:val="22"/>
          <w:szCs w:val="22"/>
          <w:u w:val="none"/>
        </w:rPr>
      </w:pPr>
      <w:bookmarkStart w:colFirst="0" w:colLast="0" w:name="_ijuf9s9i3ln" w:id="23"/>
      <w:bookmarkEnd w:id="23"/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Hermeticidad de 50 m (5 bares).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hd w:fill="ffffff" w:val="clear"/>
        <w:ind w:left="720" w:hanging="360"/>
        <w:jc w:val="both"/>
        <w:rPr>
          <w:rFonts w:ascii="Century Gothic" w:cs="Century Gothic" w:eastAsia="Century Gothic" w:hAnsi="Century Gothic"/>
          <w:color w:val="222222"/>
          <w:sz w:val="22"/>
          <w:szCs w:val="22"/>
          <w:u w:val="none"/>
        </w:rPr>
      </w:pPr>
      <w:bookmarkStart w:colFirst="0" w:colLast="0" w:name="_x534ay97y10r" w:id="24"/>
      <w:bookmarkEnd w:id="24"/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Fondo grabado.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hd w:fill="ffffff" w:val="clear"/>
        <w:ind w:left="720" w:hanging="360"/>
        <w:jc w:val="both"/>
        <w:rPr>
          <w:rFonts w:ascii="Century Gothic" w:cs="Century Gothic" w:eastAsia="Century Gothic" w:hAnsi="Century Gothic"/>
          <w:color w:val="222222"/>
          <w:sz w:val="22"/>
          <w:szCs w:val="22"/>
          <w:u w:val="none"/>
        </w:rPr>
      </w:pPr>
      <w:bookmarkStart w:colFirst="0" w:colLast="0" w:name="_4433y4pvxa" w:id="25"/>
      <w:bookmarkEnd w:id="25"/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Horas, minutos y segundos.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hd w:fill="ffffff" w:val="clear"/>
        <w:ind w:left="720" w:hanging="360"/>
        <w:jc w:val="both"/>
        <w:rPr>
          <w:rFonts w:ascii="Century Gothic" w:cs="Century Gothic" w:eastAsia="Century Gothic" w:hAnsi="Century Gothic"/>
          <w:color w:val="222222"/>
          <w:sz w:val="22"/>
          <w:szCs w:val="22"/>
          <w:u w:val="none"/>
        </w:rPr>
      </w:pPr>
      <w:bookmarkStart w:colFirst="0" w:colLast="0" w:name="_im2jnlxmr2yp" w:id="26"/>
      <w:bookmarkEnd w:id="26"/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Correas intercambiables.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shd w:fill="ffffff" w:val="clear"/>
        <w:ind w:left="720" w:hanging="360"/>
        <w:jc w:val="both"/>
        <w:rPr>
          <w:rFonts w:ascii="Century Gothic" w:cs="Century Gothic" w:eastAsia="Century Gothic" w:hAnsi="Century Gothic"/>
          <w:color w:val="222222"/>
          <w:sz w:val="22"/>
          <w:szCs w:val="22"/>
          <w:u w:val="none"/>
        </w:rPr>
      </w:pPr>
      <w:bookmarkStart w:colFirst="0" w:colLast="0" w:name="_geeiqb2tuv60" w:id="27"/>
      <w:bookmarkEnd w:id="27"/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Diámetro de 34 mm en la versión femenina y de 41 mm en la versión masculina.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shd w:fill="ffffff" w:val="clear"/>
        <w:ind w:left="720" w:hanging="360"/>
        <w:jc w:val="both"/>
        <w:rPr>
          <w:rFonts w:ascii="Century Gothic" w:cs="Century Gothic" w:eastAsia="Century Gothic" w:hAnsi="Century Gothic"/>
          <w:color w:val="222222"/>
          <w:sz w:val="22"/>
          <w:szCs w:val="22"/>
          <w:u w:val="none"/>
        </w:rPr>
      </w:pPr>
      <w:bookmarkStart w:colFirst="0" w:colLast="0" w:name="_hj4fhxhoali0" w:id="28"/>
      <w:bookmarkEnd w:id="28"/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Edición limitada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hd w:fill="ffffff" w:val="clear"/>
        <w:jc w:val="center"/>
        <w:rPr>
          <w:rFonts w:ascii="Century Gothic" w:cs="Century Gothic" w:eastAsia="Century Gothic" w:hAnsi="Century Gothic"/>
          <w:b w:val="1"/>
          <w:color w:val="2222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rtl w:val="0"/>
        </w:rPr>
        <w:t xml:space="preserve">###</w:t>
      </w:r>
    </w:p>
    <w:p w:rsidR="00000000" w:rsidDel="00000000" w:rsidP="00000000" w:rsidRDefault="00000000" w:rsidRPr="00000000" w14:paraId="0000001F">
      <w:pPr>
        <w:pageBreakBefore w:val="0"/>
        <w:shd w:fill="ffffff" w:val="clear"/>
        <w:jc w:val="center"/>
        <w:rPr>
          <w:rFonts w:ascii="Century Gothic" w:cs="Century Gothic" w:eastAsia="Century Gothic" w:hAnsi="Century Gothic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1"/>
        <w:jc w:val="both"/>
        <w:rPr>
          <w:rFonts w:ascii="Century Gothic" w:cs="Century Gothic" w:eastAsia="Century Gothic" w:hAnsi="Century Gothic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highlight w:val="white"/>
          <w:rtl w:val="0"/>
        </w:rPr>
        <w:t xml:space="preserve">ACERCA DE TISSOT:  </w:t>
      </w:r>
    </w:p>
    <w:p w:rsidR="00000000" w:rsidDel="00000000" w:rsidP="00000000" w:rsidRDefault="00000000" w:rsidRPr="00000000" w14:paraId="00000021">
      <w:pPr>
        <w:pageBreakBefore w:val="0"/>
        <w:widowControl w:val="1"/>
        <w:jc w:val="both"/>
        <w:rPr>
          <w:rFonts w:ascii="Century Gothic" w:cs="Century Gothic" w:eastAsia="Century Gothic" w:hAnsi="Century Gothic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highlight w:val="white"/>
          <w:rtl w:val="0"/>
        </w:rPr>
        <w:t xml:space="preserve">El signo + de la bandera de Suiza que figura en el logotipo de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highlight w:val="white"/>
          <w:rtl w:val="0"/>
        </w:rPr>
        <w:t xml:space="preserve">Tissot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highlight w:val="white"/>
          <w:rtl w:val="0"/>
        </w:rPr>
        <w:t xml:space="preserve"> simboliza la calidad y fiabilidad suizas que la marca ha demostrado desde 1853. La venta de relojes en todo el mundo, con unas cifras de exportación que superan los 4 millones de unidades anuales, convierte a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highlight w:val="white"/>
          <w:rtl w:val="0"/>
        </w:rPr>
        <w:t xml:space="preserve">Tissot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highlight w:val="white"/>
          <w:rtl w:val="0"/>
        </w:rPr>
        <w:t xml:space="preserve"> en líder del sector de la relojería tradicional suiza.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highlight w:val="white"/>
          <w:rtl w:val="0"/>
        </w:rPr>
        <w:t xml:space="preserve">Tissot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highlight w:val="white"/>
          <w:rtl w:val="0"/>
        </w:rPr>
        <w:t xml:space="preserve"> permanece fiel a su lema: «Innovators by Tradition». La alta calidad de cada uno de los componentes de la marca goza de reconocimiento internacional.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highlight w:val="white"/>
          <w:rtl w:val="0"/>
        </w:rPr>
        <w:t xml:space="preserve">Tissot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highlight w:val="white"/>
          <w:rtl w:val="0"/>
        </w:rPr>
        <w:t xml:space="preserve"> ha sido nombrado cronometrador y socio oficial de múltiples citas deportivas internacionales en disciplinas como el baloncesto (NBA y FIBA), el ciclismo (Tour de Francia y Campeonatos del Mundo de Ciclismo UCI), los deportes de motor (MotoGP™ y Campeonatos del Mundo de Superbike FIM) y otros deportes como el hockey sobre hielo, la esgrima o el rugby. Entre sus productos estrella se cuentan el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highlight w:val="white"/>
          <w:rtl w:val="0"/>
        </w:rPr>
        <w:t xml:space="preserve">Tissot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highlight w:val="white"/>
          <w:rtl w:val="0"/>
        </w:rPr>
        <w:t xml:space="preserve"> T-Touch (el primer reloj táctil, presentado en 1999); el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highlight w:val="white"/>
          <w:rtl w:val="0"/>
        </w:rPr>
        <w:t xml:space="preserve">Tissot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highlight w:val="white"/>
          <w:rtl w:val="0"/>
        </w:rPr>
        <w:t xml:space="preserve"> Le Locle, un reloj automático, clásico y atemporal con 80 horas de reserva de marcha; y el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highlight w:val="white"/>
          <w:rtl w:val="0"/>
        </w:rPr>
        <w:t xml:space="preserve">Tissot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highlight w:val="white"/>
          <w:rtl w:val="0"/>
        </w:rPr>
        <w:t xml:space="preserve"> T-Race, el modelo de diseño deportivo por excelencia.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1"/>
        <w:jc w:val="both"/>
        <w:rPr>
          <w:rFonts w:ascii="Century Gothic" w:cs="Century Gothic" w:eastAsia="Century Gothic" w:hAnsi="Century Gothic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1"/>
        <w:spacing w:line="276" w:lineRule="auto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CONTACTO: </w:t>
      </w:r>
    </w:p>
    <w:p w:rsidR="00000000" w:rsidDel="00000000" w:rsidP="00000000" w:rsidRDefault="00000000" w:rsidRPr="00000000" w14:paraId="00000024">
      <w:pPr>
        <w:pageBreakBefore w:val="0"/>
        <w:widowControl w:val="1"/>
        <w:spacing w:line="276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Daniela Dibildox / Sr. PR Expert</w:t>
      </w:r>
    </w:p>
    <w:p w:rsidR="00000000" w:rsidDel="00000000" w:rsidP="00000000" w:rsidRDefault="00000000" w:rsidRPr="00000000" w14:paraId="00000025">
      <w:pPr>
        <w:pageBreakBefore w:val="0"/>
        <w:widowControl w:val="1"/>
        <w:spacing w:line="276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Tel: +52 5545233710  </w:t>
      </w:r>
    </w:p>
    <w:p w:rsidR="00000000" w:rsidDel="00000000" w:rsidP="00000000" w:rsidRDefault="00000000" w:rsidRPr="00000000" w14:paraId="00000026">
      <w:pPr>
        <w:pageBreakBefore w:val="0"/>
        <w:widowControl w:val="1"/>
        <w:spacing w:line="276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daniela.dibildox@another.co</w:t>
      </w:r>
    </w:p>
    <w:p w:rsidR="00000000" w:rsidDel="00000000" w:rsidP="00000000" w:rsidRDefault="00000000" w:rsidRPr="00000000" w14:paraId="00000027">
      <w:pPr>
        <w:pageBreakBefore w:val="0"/>
        <w:widowControl w:val="1"/>
        <w:spacing w:line="276" w:lineRule="auto"/>
        <w:jc w:val="both"/>
        <w:rPr>
          <w:rFonts w:ascii="Century Gothic" w:cs="Century Gothic" w:eastAsia="Century Gothic" w:hAnsi="Century Gothic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joyeriasbizzarro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