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38E6E" w14:textId="77777777" w:rsidR="003D0E02" w:rsidRDefault="003D0E02" w:rsidP="00DF6ACF">
      <w:pPr>
        <w:shd w:val="clear" w:color="auto" w:fill="FFFFFF"/>
        <w:spacing w:after="0" w:line="360" w:lineRule="auto"/>
        <w:jc w:val="center"/>
        <w:rPr>
          <w:b/>
          <w:sz w:val="28"/>
        </w:rPr>
      </w:pPr>
    </w:p>
    <w:p w14:paraId="43DBFA7C" w14:textId="3BB8BF7A" w:rsidR="00523E6E" w:rsidRDefault="00884325" w:rsidP="00DF6ACF">
      <w:pPr>
        <w:shd w:val="clear" w:color="auto" w:fill="FFFFFF"/>
        <w:spacing w:after="0" w:line="360" w:lineRule="auto"/>
        <w:jc w:val="center"/>
        <w:rPr>
          <w:b/>
          <w:sz w:val="28"/>
        </w:rPr>
      </w:pPr>
      <w:r>
        <w:rPr>
          <w:b/>
          <w:sz w:val="28"/>
        </w:rPr>
        <w:t>Goal #7</w:t>
      </w:r>
      <w:r w:rsidR="00523E6E" w:rsidRPr="00DF6ACF">
        <w:rPr>
          <w:b/>
          <w:sz w:val="28"/>
        </w:rPr>
        <w:t xml:space="preserve">: </w:t>
      </w:r>
      <w:r w:rsidRPr="00884325">
        <w:rPr>
          <w:b/>
          <w:sz w:val="28"/>
        </w:rPr>
        <w:t>Assicurare a tutti l'accesso a sistemi di energia economici, affidabili, sostenibili e moderni</w:t>
      </w:r>
    </w:p>
    <w:p w14:paraId="69254FCB" w14:textId="196E2560" w:rsidR="00994CF0" w:rsidRDefault="00994CF0" w:rsidP="00994CF0">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La sfida: </w:t>
      </w:r>
      <w:r w:rsidR="00BB7EAB">
        <w:rPr>
          <w:rFonts w:asciiTheme="minorHAnsi" w:hAnsiTheme="minorHAnsi" w:cstheme="minorHAnsi"/>
          <w:b/>
          <w:color w:val="FF0000"/>
        </w:rPr>
        <w:t>Garantire l’acces</w:t>
      </w:r>
      <w:bookmarkStart w:id="0" w:name="_GoBack"/>
      <w:bookmarkEnd w:id="0"/>
      <w:r w:rsidR="00BB7EAB">
        <w:rPr>
          <w:rFonts w:asciiTheme="minorHAnsi" w:hAnsiTheme="minorHAnsi" w:cstheme="minorHAnsi"/>
          <w:b/>
          <w:color w:val="FF0000"/>
        </w:rPr>
        <w:t>so universale ai servizi energetici aumentando l</w:t>
      </w:r>
      <w:r w:rsidR="005D7C92">
        <w:rPr>
          <w:rFonts w:asciiTheme="minorHAnsi" w:hAnsiTheme="minorHAnsi" w:cstheme="minorHAnsi"/>
          <w:b/>
          <w:color w:val="FF0000"/>
        </w:rPr>
        <w:t>a</w:t>
      </w:r>
      <w:r w:rsidR="00BB7EAB">
        <w:rPr>
          <w:rFonts w:asciiTheme="minorHAnsi" w:hAnsiTheme="minorHAnsi" w:cstheme="minorHAnsi"/>
          <w:b/>
          <w:color w:val="FF0000"/>
        </w:rPr>
        <w:t xml:space="preserve"> quot</w:t>
      </w:r>
      <w:r w:rsidR="005D7C92">
        <w:rPr>
          <w:rFonts w:asciiTheme="minorHAnsi" w:hAnsiTheme="minorHAnsi" w:cstheme="minorHAnsi"/>
          <w:b/>
          <w:color w:val="FF0000"/>
        </w:rPr>
        <w:t>a</w:t>
      </w:r>
      <w:r w:rsidR="00BB7EAB">
        <w:rPr>
          <w:rFonts w:asciiTheme="minorHAnsi" w:hAnsiTheme="minorHAnsi" w:cstheme="minorHAnsi"/>
          <w:b/>
          <w:color w:val="FF0000"/>
        </w:rPr>
        <w:t xml:space="preserve"> di energie rinnovabili e </w:t>
      </w:r>
      <w:r w:rsidR="0019627E">
        <w:rPr>
          <w:rFonts w:asciiTheme="minorHAnsi" w:hAnsiTheme="minorHAnsi" w:cstheme="minorHAnsi"/>
          <w:b/>
          <w:color w:val="FF0000"/>
        </w:rPr>
        <w:t xml:space="preserve">rafforzando </w:t>
      </w:r>
      <w:r w:rsidR="00BB7EAB">
        <w:rPr>
          <w:rFonts w:asciiTheme="minorHAnsi" w:hAnsiTheme="minorHAnsi" w:cstheme="minorHAnsi"/>
          <w:b/>
          <w:color w:val="FF0000"/>
        </w:rPr>
        <w:t>la cooperazione internazionale</w:t>
      </w:r>
    </w:p>
    <w:p w14:paraId="57731C66" w14:textId="6187C53F" w:rsidR="00DF6ACF" w:rsidRPr="007973B9" w:rsidRDefault="00D51BB4" w:rsidP="00D51BB4">
      <w:pPr>
        <w:pStyle w:val="NormaleWeb"/>
        <w:shd w:val="clear" w:color="auto" w:fill="FFFFFF"/>
        <w:spacing w:before="0" w:beforeAutospacing="0" w:after="0" w:afterAutospacing="0"/>
        <w:jc w:val="both"/>
        <w:rPr>
          <w:rFonts w:asciiTheme="minorHAnsi" w:hAnsiTheme="minorHAnsi"/>
          <w:sz w:val="22"/>
          <w:szCs w:val="22"/>
        </w:rPr>
      </w:pPr>
      <w:r w:rsidRPr="007973B9">
        <w:rPr>
          <w:rFonts w:asciiTheme="minorHAnsi" w:hAnsiTheme="minorHAnsi"/>
          <w:sz w:val="22"/>
          <w:szCs w:val="22"/>
        </w:rPr>
        <w:t>È fondamentale che tutta la popolazione ottenga l’energia per migliorare, su scala globale, l’accesso ai sistemi di riscaldamento, l’illuminazione nelle scuole e negli ospedali, la comunicazione, l’accesso a Internet e gli strumenti di lavoro</w:t>
      </w:r>
      <w:r w:rsidR="00BA2F71" w:rsidRPr="007973B9">
        <w:rPr>
          <w:rFonts w:asciiTheme="minorHAnsi" w:hAnsiTheme="minorHAnsi"/>
          <w:sz w:val="22"/>
          <w:szCs w:val="22"/>
        </w:rPr>
        <w:t>. Si tratta di</w:t>
      </w:r>
      <w:r w:rsidRPr="007973B9">
        <w:rPr>
          <w:rFonts w:asciiTheme="minorHAnsi" w:hAnsiTheme="minorHAnsi"/>
          <w:sz w:val="22"/>
          <w:szCs w:val="22"/>
        </w:rPr>
        <w:t xml:space="preserve"> questioni che si ripercuotono direttamente sullo sviluppo. Il Programma delle Nazioni Unite per lo Sviluppo (UNDP) afferma che per avere una vita dignitosa, il consumo minimo di elettricità giornaliera a persona è di 0.5 kWh. A oggi, una persona su cinque non ha accesso all’elettricità. Inoltre, attualmente, l’economia globale dipende in grande misura dai combustibili fossili, che contribuiscono all’aumento delle emissioni di gas serra, le cui conseguenze hanno gravi impatti in termini umanitari, sociali e ambientali. L’SDG 7 intende garantire l’accesso universale ad una energia sostenibile, affidabile e moderna, per migliorare le condizioni di vita di milioni di persone. Attraverso questo obiettivo si vuole aumentare l’utilizzo di energie rinnovabili al posto dei combustibili fossili e promuovere l’efficienza energetica, creando un’economia completamente sostenibile, a beneficio della società e dell’ambiente.</w:t>
      </w:r>
    </w:p>
    <w:p w14:paraId="76156658" w14:textId="77777777" w:rsidR="007973B9" w:rsidRDefault="007973B9" w:rsidP="00DF6ACF">
      <w:pPr>
        <w:pStyle w:val="NormaleWeb"/>
        <w:shd w:val="clear" w:color="auto" w:fill="FFFFFF"/>
        <w:spacing w:before="120" w:beforeAutospacing="0" w:after="120" w:afterAutospacing="0"/>
        <w:rPr>
          <w:rFonts w:asciiTheme="minorHAnsi" w:hAnsiTheme="minorHAnsi" w:cstheme="minorHAnsi"/>
          <w:b/>
          <w:color w:val="FF0000"/>
        </w:rPr>
      </w:pPr>
    </w:p>
    <w:p w14:paraId="2E043063" w14:textId="30A6F67A" w:rsidR="007973B9" w:rsidRDefault="00994CF0" w:rsidP="007973B9">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Italia:</w:t>
      </w:r>
      <w:r w:rsidR="007E16DA" w:rsidRPr="00DF6ACF">
        <w:rPr>
          <w:rFonts w:asciiTheme="minorHAnsi" w:hAnsiTheme="minorHAnsi" w:cstheme="minorHAnsi"/>
          <w:b/>
          <w:color w:val="FF0000"/>
        </w:rPr>
        <w:t xml:space="preserve"> </w:t>
      </w:r>
      <w:r w:rsidR="002D28AC">
        <w:rPr>
          <w:rFonts w:asciiTheme="minorHAnsi" w:hAnsiTheme="minorHAnsi" w:cstheme="minorHAnsi"/>
          <w:b/>
          <w:color w:val="FF0000"/>
        </w:rPr>
        <w:t>Su</w:t>
      </w:r>
      <w:r w:rsidR="009141C4">
        <w:rPr>
          <w:rFonts w:asciiTheme="minorHAnsi" w:hAnsiTheme="minorHAnsi" w:cstheme="minorHAnsi"/>
          <w:b/>
          <w:color w:val="FF0000"/>
        </w:rPr>
        <w:t xml:space="preserve"> </w:t>
      </w:r>
      <w:r w:rsidR="002D28AC">
        <w:rPr>
          <w:rFonts w:asciiTheme="minorHAnsi" w:hAnsiTheme="minorHAnsi" w:cstheme="minorHAnsi"/>
          <w:b/>
          <w:color w:val="FF0000"/>
        </w:rPr>
        <w:t>energie rinnovabili siamo oltre la media UE</w:t>
      </w:r>
      <w:r w:rsidR="009141C4">
        <w:rPr>
          <w:rFonts w:asciiTheme="minorHAnsi" w:hAnsiTheme="minorHAnsi" w:cstheme="minorHAnsi"/>
          <w:b/>
          <w:color w:val="FF0000"/>
        </w:rPr>
        <w:t xml:space="preserve">. Già </w:t>
      </w:r>
      <w:r w:rsidR="002D28AC">
        <w:rPr>
          <w:rFonts w:asciiTheme="minorHAnsi" w:hAnsiTheme="minorHAnsi" w:cstheme="minorHAnsi"/>
          <w:b/>
          <w:color w:val="FF0000"/>
        </w:rPr>
        <w:t>raggiunto l’obiettivo 2020</w:t>
      </w:r>
    </w:p>
    <w:p w14:paraId="71C10786" w14:textId="32ECE173" w:rsidR="002D28AC" w:rsidRPr="007973B9" w:rsidRDefault="002D28AC" w:rsidP="007973B9">
      <w:pPr>
        <w:pStyle w:val="NormaleWeb"/>
        <w:shd w:val="clear" w:color="auto" w:fill="FFFFFF"/>
        <w:spacing w:before="120" w:beforeAutospacing="0" w:after="120" w:afterAutospacing="0"/>
        <w:jc w:val="both"/>
        <w:rPr>
          <w:rFonts w:asciiTheme="minorHAnsi" w:hAnsiTheme="minorHAnsi" w:cstheme="minorHAnsi"/>
          <w:b/>
          <w:color w:val="FF0000"/>
        </w:rPr>
      </w:pPr>
      <w:r w:rsidRPr="007973B9">
        <w:rPr>
          <w:rFonts w:asciiTheme="minorHAnsi" w:hAnsiTheme="minorHAnsi"/>
          <w:sz w:val="22"/>
          <w:szCs w:val="22"/>
        </w:rPr>
        <w:t xml:space="preserve">L'Italia viaggia a ritmo spedito nella produzione di energia da fonti rinnovabili. I dati Eurostat certificano il raggiungimento, con largo anticipo, dell'obiettivo fissato per il 2020. Alla fine del 2015 la percentuale coperta dalle energie rinnovabili sul totale dei consumi corrisponde al 17,5%, mezzo punto percentuale in più rispetto al target fissato. L'avanzata è stata costante nel corso degli anni. Nel 2004 la percentuale sul totale raggiungeva il 6,3% e già nel 2012 era balzata al 15,4%. </w:t>
      </w:r>
      <w:r w:rsidR="005D7C92">
        <w:rPr>
          <w:rFonts w:asciiTheme="minorHAnsi" w:hAnsiTheme="minorHAnsi"/>
          <w:sz w:val="22"/>
          <w:szCs w:val="22"/>
        </w:rPr>
        <w:t>Questo processo si è però rallentato negli anni più recenti; si stima infatti che senza una sostanziale espansione delle fonti rinnovabili, né</w:t>
      </w:r>
      <w:r w:rsidR="00D617C9">
        <w:rPr>
          <w:rFonts w:asciiTheme="minorHAnsi" w:hAnsiTheme="minorHAnsi"/>
          <w:sz w:val="22"/>
          <w:szCs w:val="22"/>
        </w:rPr>
        <w:t xml:space="preserve"> </w:t>
      </w:r>
      <w:r w:rsidR="005D7C92">
        <w:rPr>
          <w:rFonts w:asciiTheme="minorHAnsi" w:hAnsiTheme="minorHAnsi"/>
          <w:sz w:val="22"/>
          <w:szCs w:val="22"/>
        </w:rPr>
        <w:t>l’obiettivo della Strategia energetica nazionale al 2020, né</w:t>
      </w:r>
      <w:r w:rsidR="00717A0F">
        <w:rPr>
          <w:rFonts w:asciiTheme="minorHAnsi" w:hAnsiTheme="minorHAnsi"/>
          <w:sz w:val="22"/>
          <w:szCs w:val="22"/>
        </w:rPr>
        <w:t xml:space="preserve"> quello medio europeo al 2030 verrebbero centrati. </w:t>
      </w:r>
      <w:r w:rsidRPr="007973B9">
        <w:rPr>
          <w:rFonts w:asciiTheme="minorHAnsi" w:hAnsiTheme="minorHAnsi"/>
          <w:sz w:val="22"/>
          <w:szCs w:val="22"/>
        </w:rPr>
        <w:t>Sempre nel 2015, in Europa l'energia prodotta da fonti rinnovabili ha toccato il 16,7% del consumo finale, in aumento di 6 decimali rispetto all'anno precedente. L'obiettivo dell'Unione europea per il 2020 è il 20% sul totale e, dato il trend in continuo aumento e i risultati già raggiunti, Bruxelles ha fissato al 30% la percentuale da raggiungere nel 2030.</w:t>
      </w:r>
    </w:p>
    <w:p w14:paraId="154A9D6A" w14:textId="77777777" w:rsidR="008C1D33" w:rsidRPr="007973B9" w:rsidRDefault="004F0403" w:rsidP="004F0403">
      <w:pPr>
        <w:pStyle w:val="NormaleWeb"/>
        <w:shd w:val="clear" w:color="auto" w:fill="FFFFFF"/>
        <w:spacing w:before="0" w:beforeAutospacing="0" w:after="0" w:afterAutospacing="0"/>
        <w:jc w:val="both"/>
        <w:rPr>
          <w:rFonts w:asciiTheme="minorHAnsi" w:hAnsiTheme="minorHAnsi"/>
          <w:sz w:val="22"/>
          <w:szCs w:val="22"/>
        </w:rPr>
      </w:pPr>
      <w:r w:rsidRPr="007973B9">
        <w:rPr>
          <w:rFonts w:asciiTheme="minorHAnsi" w:hAnsiTheme="minorHAnsi"/>
          <w:sz w:val="22"/>
          <w:szCs w:val="22"/>
        </w:rPr>
        <w:t xml:space="preserve">Negli ultimi decenni in Italia si è verificata una progressiva sostituzione dei prodotti petroliferi con il gas naturale, principalmente nei settori della produzione elettrica e del riscaldamento. Si è passati, così, da un mix produttivo dominato dal petrolio, che nei primi anni ‘70 soddisfaceva circa il 75% del consumo interno lordo contro meno del 10% del gas naturale, a uno in cui i due combustibili arrivano quasi ad equivalersi (nel 2015 i petroliferi sono al 35% e il gas al 32%). </w:t>
      </w:r>
      <w:r w:rsidR="00F4648C" w:rsidRPr="007973B9">
        <w:rPr>
          <w:rFonts w:asciiTheme="minorHAnsi" w:hAnsiTheme="minorHAnsi"/>
          <w:sz w:val="22"/>
          <w:szCs w:val="22"/>
        </w:rPr>
        <w:t>N</w:t>
      </w:r>
      <w:r w:rsidRPr="007973B9">
        <w:rPr>
          <w:rFonts w:asciiTheme="minorHAnsi" w:hAnsiTheme="minorHAnsi"/>
          <w:sz w:val="22"/>
          <w:szCs w:val="22"/>
        </w:rPr>
        <w:t xml:space="preserve">egli ultimi dieci anni si è aggiunta </w:t>
      </w:r>
      <w:r w:rsidR="00F4648C" w:rsidRPr="007973B9">
        <w:rPr>
          <w:rFonts w:asciiTheme="minorHAnsi" w:hAnsiTheme="minorHAnsi"/>
          <w:sz w:val="22"/>
          <w:szCs w:val="22"/>
        </w:rPr>
        <w:t xml:space="preserve">anche </w:t>
      </w:r>
      <w:r w:rsidRPr="007973B9">
        <w:rPr>
          <w:rFonts w:asciiTheme="minorHAnsi" w:hAnsiTheme="minorHAnsi"/>
          <w:sz w:val="22"/>
          <w:szCs w:val="22"/>
        </w:rPr>
        <w:t>la crescita delle fonti rinnovabili, il cui co</w:t>
      </w:r>
      <w:r w:rsidR="00F4648C" w:rsidRPr="007973B9">
        <w:rPr>
          <w:rFonts w:asciiTheme="minorHAnsi" w:hAnsiTheme="minorHAnsi"/>
          <w:sz w:val="22"/>
          <w:szCs w:val="22"/>
        </w:rPr>
        <w:t xml:space="preserve">ntributo è passato dal 6-8% di inizio </w:t>
      </w:r>
      <w:r w:rsidRPr="007973B9">
        <w:rPr>
          <w:rFonts w:asciiTheme="minorHAnsi" w:hAnsiTheme="minorHAnsi"/>
          <w:sz w:val="22"/>
          <w:szCs w:val="22"/>
        </w:rPr>
        <w:t xml:space="preserve">Duemila al 19-20% </w:t>
      </w:r>
      <w:r w:rsidR="00F4648C" w:rsidRPr="007973B9">
        <w:rPr>
          <w:rFonts w:asciiTheme="minorHAnsi" w:hAnsiTheme="minorHAnsi"/>
          <w:sz w:val="22"/>
          <w:szCs w:val="22"/>
        </w:rPr>
        <w:t>odierno</w:t>
      </w:r>
      <w:r w:rsidRPr="007973B9">
        <w:rPr>
          <w:rFonts w:asciiTheme="minorHAnsi" w:hAnsiTheme="minorHAnsi"/>
          <w:sz w:val="22"/>
          <w:szCs w:val="22"/>
        </w:rPr>
        <w:t>. Le rinnovabili hanno, da un lato, accelerato l’espulsione dei prodotti petroliferi dal settore elettrico, dall’altro fermato la corsa del gas naturale</w:t>
      </w:r>
      <w:r w:rsidR="00F4648C" w:rsidRPr="007973B9">
        <w:rPr>
          <w:rFonts w:asciiTheme="minorHAnsi" w:hAnsiTheme="minorHAnsi"/>
          <w:sz w:val="22"/>
          <w:szCs w:val="22"/>
        </w:rPr>
        <w:t>. D</w:t>
      </w:r>
      <w:r w:rsidRPr="007973B9">
        <w:rPr>
          <w:rFonts w:asciiTheme="minorHAnsi" w:hAnsiTheme="minorHAnsi"/>
          <w:sz w:val="22"/>
          <w:szCs w:val="22"/>
        </w:rPr>
        <w:t>opo il picco raggiunto nel 2005,</w:t>
      </w:r>
      <w:r w:rsidR="00F4648C" w:rsidRPr="007973B9">
        <w:rPr>
          <w:rFonts w:asciiTheme="minorHAnsi" w:hAnsiTheme="minorHAnsi"/>
          <w:sz w:val="22"/>
          <w:szCs w:val="22"/>
        </w:rPr>
        <w:t xml:space="preserve"> infatti,</w:t>
      </w:r>
      <w:r w:rsidRPr="007973B9">
        <w:rPr>
          <w:rFonts w:asciiTheme="minorHAnsi" w:hAnsiTheme="minorHAnsi"/>
          <w:sz w:val="22"/>
          <w:szCs w:val="22"/>
        </w:rPr>
        <w:t xml:space="preserve"> quando il consumo nazionale di gas fu pari a 70 M</w:t>
      </w:r>
      <w:r w:rsidR="00F877CE" w:rsidRPr="007973B9">
        <w:rPr>
          <w:rFonts w:asciiTheme="minorHAnsi" w:hAnsiTheme="minorHAnsi"/>
          <w:sz w:val="22"/>
          <w:szCs w:val="22"/>
        </w:rPr>
        <w:t xml:space="preserve">ega </w:t>
      </w:r>
      <w:proofErr w:type="spellStart"/>
      <w:r w:rsidR="00F877CE" w:rsidRPr="007973B9">
        <w:rPr>
          <w:rFonts w:asciiTheme="minorHAnsi" w:hAnsiTheme="minorHAnsi"/>
          <w:sz w:val="22"/>
          <w:szCs w:val="22"/>
        </w:rPr>
        <w:t>t</w:t>
      </w:r>
      <w:r w:rsidRPr="007973B9">
        <w:rPr>
          <w:rFonts w:asciiTheme="minorHAnsi" w:hAnsiTheme="minorHAnsi"/>
          <w:sz w:val="22"/>
          <w:szCs w:val="22"/>
        </w:rPr>
        <w:t>ep</w:t>
      </w:r>
      <w:proofErr w:type="spellEnd"/>
      <w:r w:rsidRPr="007973B9">
        <w:rPr>
          <w:rFonts w:asciiTheme="minorHAnsi" w:hAnsiTheme="minorHAnsi"/>
          <w:sz w:val="22"/>
          <w:szCs w:val="22"/>
        </w:rPr>
        <w:t xml:space="preserve"> </w:t>
      </w:r>
      <w:r w:rsidR="00F877CE" w:rsidRPr="007973B9">
        <w:rPr>
          <w:rFonts w:asciiTheme="minorHAnsi" w:hAnsiTheme="minorHAnsi"/>
          <w:sz w:val="22"/>
          <w:szCs w:val="22"/>
        </w:rPr>
        <w:t>(Tonnellata Equivalente Petrolio, ovvero la quantità di energia sprigionata dalla combustione di una tonnellata di petrolio grezzo</w:t>
      </w:r>
      <w:r w:rsidR="003A2C39" w:rsidRPr="007973B9">
        <w:rPr>
          <w:rFonts w:asciiTheme="minorHAnsi" w:hAnsiTheme="minorHAnsi"/>
          <w:sz w:val="22"/>
          <w:szCs w:val="22"/>
        </w:rPr>
        <w:t xml:space="preserve"> </w:t>
      </w:r>
      <w:r w:rsidR="00F877CE" w:rsidRPr="007973B9">
        <w:rPr>
          <w:rFonts w:asciiTheme="minorHAnsi" w:hAnsiTheme="minorHAnsi"/>
          <w:sz w:val="22"/>
          <w:szCs w:val="22"/>
        </w:rPr>
        <w:t>1Mega TEP =1 milione di TEP)</w:t>
      </w:r>
      <w:r w:rsidR="00F877CE" w:rsidRPr="007973B9">
        <w:rPr>
          <w:rFonts w:ascii="Arial" w:hAnsi="Arial" w:cs="Arial"/>
          <w:color w:val="000000"/>
          <w:sz w:val="16"/>
          <w:szCs w:val="17"/>
          <w:shd w:val="clear" w:color="auto" w:fill="FFFFFF"/>
        </w:rPr>
        <w:t xml:space="preserve"> </w:t>
      </w:r>
      <w:r w:rsidR="00F877CE" w:rsidRPr="007973B9">
        <w:rPr>
          <w:rFonts w:asciiTheme="minorHAnsi" w:hAnsiTheme="minorHAnsi"/>
          <w:sz w:val="22"/>
          <w:szCs w:val="22"/>
        </w:rPr>
        <w:t>pari al 35,5% del consumo interno</w:t>
      </w:r>
      <w:r w:rsidRPr="007973B9">
        <w:rPr>
          <w:rFonts w:asciiTheme="minorHAnsi" w:hAnsiTheme="minorHAnsi"/>
          <w:sz w:val="22"/>
          <w:szCs w:val="22"/>
        </w:rPr>
        <w:t xml:space="preserve">, si è scesi ai 55 </w:t>
      </w:r>
      <w:proofErr w:type="spellStart"/>
      <w:r w:rsidRPr="007973B9">
        <w:rPr>
          <w:rFonts w:asciiTheme="minorHAnsi" w:hAnsiTheme="minorHAnsi"/>
          <w:sz w:val="22"/>
          <w:szCs w:val="22"/>
        </w:rPr>
        <w:t>Mtep</w:t>
      </w:r>
      <w:proofErr w:type="spellEnd"/>
      <w:r w:rsidRPr="007973B9">
        <w:rPr>
          <w:rFonts w:asciiTheme="minorHAnsi" w:hAnsiTheme="minorHAnsi"/>
          <w:sz w:val="22"/>
          <w:szCs w:val="22"/>
        </w:rPr>
        <w:t xml:space="preserve"> stimati nel 2015 (32%).</w:t>
      </w:r>
    </w:p>
    <w:p w14:paraId="6A859730" w14:textId="77777777" w:rsidR="00DF6ACF" w:rsidRDefault="00DF6ACF" w:rsidP="007E16DA">
      <w:pPr>
        <w:pStyle w:val="NormaleWeb"/>
        <w:shd w:val="clear" w:color="auto" w:fill="FFFFFF"/>
        <w:spacing w:before="120" w:beforeAutospacing="0" w:after="120" w:afterAutospacing="0"/>
        <w:rPr>
          <w:rFonts w:asciiTheme="minorHAnsi" w:hAnsiTheme="minorHAnsi" w:cstheme="minorHAnsi"/>
          <w:b/>
          <w:color w:val="FF0000"/>
        </w:rPr>
      </w:pPr>
    </w:p>
    <w:p w14:paraId="220608AC" w14:textId="77777777" w:rsidR="009141C4" w:rsidRDefault="009141C4" w:rsidP="00F877CE">
      <w:pPr>
        <w:pStyle w:val="NormaleWeb"/>
        <w:shd w:val="clear" w:color="auto" w:fill="FFFFFF"/>
        <w:spacing w:before="120" w:beforeAutospacing="0" w:after="120" w:afterAutospacing="0"/>
        <w:rPr>
          <w:rFonts w:asciiTheme="minorHAnsi" w:hAnsiTheme="minorHAnsi" w:cstheme="minorHAnsi"/>
          <w:b/>
          <w:color w:val="FF0000"/>
        </w:rPr>
      </w:pPr>
    </w:p>
    <w:p w14:paraId="5C87681A" w14:textId="77777777" w:rsidR="003A2C39" w:rsidRDefault="003A2C39" w:rsidP="00F877CE">
      <w:pPr>
        <w:pStyle w:val="NormaleWeb"/>
        <w:shd w:val="clear" w:color="auto" w:fill="FFFFFF"/>
        <w:spacing w:before="120" w:beforeAutospacing="0" w:after="120" w:afterAutospacing="0"/>
        <w:rPr>
          <w:rFonts w:asciiTheme="minorHAnsi" w:hAnsiTheme="minorHAnsi" w:cstheme="minorHAnsi"/>
          <w:b/>
          <w:color w:val="FF0000"/>
        </w:rPr>
      </w:pPr>
    </w:p>
    <w:p w14:paraId="51B1A16F" w14:textId="77777777" w:rsidR="007973B9" w:rsidRDefault="007973B9" w:rsidP="00F877CE">
      <w:pPr>
        <w:pStyle w:val="NormaleWeb"/>
        <w:shd w:val="clear" w:color="auto" w:fill="FFFFFF"/>
        <w:spacing w:before="120" w:beforeAutospacing="0" w:after="120" w:afterAutospacing="0"/>
        <w:rPr>
          <w:rFonts w:asciiTheme="minorHAnsi" w:hAnsiTheme="minorHAnsi" w:cstheme="minorHAnsi"/>
          <w:b/>
          <w:color w:val="FF0000"/>
        </w:rPr>
      </w:pPr>
    </w:p>
    <w:p w14:paraId="268B000F" w14:textId="77777777" w:rsidR="007973B9" w:rsidRDefault="007973B9" w:rsidP="00F877CE">
      <w:pPr>
        <w:pStyle w:val="NormaleWeb"/>
        <w:shd w:val="clear" w:color="auto" w:fill="FFFFFF"/>
        <w:spacing w:before="120" w:beforeAutospacing="0" w:after="120" w:afterAutospacing="0"/>
        <w:rPr>
          <w:rFonts w:asciiTheme="minorHAnsi" w:hAnsiTheme="minorHAnsi" w:cstheme="minorHAnsi"/>
          <w:b/>
          <w:color w:val="FF0000"/>
        </w:rPr>
      </w:pPr>
    </w:p>
    <w:p w14:paraId="3D8E0608" w14:textId="77777777" w:rsidR="007973B9" w:rsidRDefault="007973B9" w:rsidP="00F877CE">
      <w:pPr>
        <w:pStyle w:val="NormaleWeb"/>
        <w:shd w:val="clear" w:color="auto" w:fill="FFFFFF"/>
        <w:spacing w:before="120" w:beforeAutospacing="0" w:after="120" w:afterAutospacing="0"/>
        <w:rPr>
          <w:rFonts w:asciiTheme="minorHAnsi" w:hAnsiTheme="minorHAnsi" w:cstheme="minorHAnsi"/>
          <w:b/>
          <w:color w:val="FF0000"/>
        </w:rPr>
      </w:pPr>
    </w:p>
    <w:p w14:paraId="752E7A5A" w14:textId="77777777" w:rsidR="004E5766" w:rsidRPr="00D51BB4" w:rsidRDefault="004E5766" w:rsidP="004E5766">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I target:  </w:t>
      </w:r>
    </w:p>
    <w:p w14:paraId="0C8A3ECB" w14:textId="77777777" w:rsidR="007973B9" w:rsidRDefault="007973B9" w:rsidP="00F877CE">
      <w:pPr>
        <w:pStyle w:val="NormaleWeb"/>
        <w:shd w:val="clear" w:color="auto" w:fill="FFFFFF"/>
        <w:spacing w:before="120" w:beforeAutospacing="0" w:after="120" w:afterAutospacing="0"/>
        <w:rPr>
          <w:rFonts w:asciiTheme="minorHAnsi" w:hAnsiTheme="minorHAnsi" w:cstheme="minorHAnsi"/>
          <w:b/>
          <w:color w:val="FF0000"/>
        </w:rPr>
      </w:pPr>
    </w:p>
    <w:p w14:paraId="0E1705F0" w14:textId="77777777" w:rsidR="007E16DA" w:rsidRPr="007E16DA" w:rsidRDefault="003A2C39" w:rsidP="004A78F5">
      <w:pPr>
        <w:shd w:val="clear" w:color="auto" w:fill="FFFFFF"/>
        <w:spacing w:after="0" w:line="360" w:lineRule="auto"/>
        <w:rPr>
          <w:rFonts w:eastAsia="Times New Roman" w:cs="Times New Roman"/>
          <w:sz w:val="20"/>
          <w:lang w:eastAsia="it-IT"/>
        </w:rPr>
      </w:pPr>
      <w:r>
        <w:rPr>
          <w:rFonts w:eastAsia="Times New Roman" w:cs="Times New Roman"/>
          <w:noProof/>
          <w:sz w:val="20"/>
          <w:lang w:eastAsia="it-IT"/>
        </w:rPr>
        <w:drawing>
          <wp:anchor distT="0" distB="0" distL="114300" distR="114300" simplePos="0" relativeHeight="251658240" behindDoc="0" locked="0" layoutInCell="1" allowOverlap="1" wp14:anchorId="001E8B90" wp14:editId="2EDCB8C7">
            <wp:simplePos x="0" y="0"/>
            <wp:positionH relativeFrom="margin">
              <wp:posOffset>-243840</wp:posOffset>
            </wp:positionH>
            <wp:positionV relativeFrom="margin">
              <wp:posOffset>791845</wp:posOffset>
            </wp:positionV>
            <wp:extent cx="6613525" cy="418973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3525" cy="4189730"/>
                    </a:xfrm>
                    <a:prstGeom prst="rect">
                      <a:avLst/>
                    </a:prstGeom>
                  </pic:spPr>
                </pic:pic>
              </a:graphicData>
            </a:graphic>
          </wp:anchor>
        </w:drawing>
      </w:r>
    </w:p>
    <w:p w14:paraId="244B8448" w14:textId="77777777" w:rsidR="005D7C92" w:rsidRPr="004A78F5" w:rsidRDefault="005D7C92" w:rsidP="00714DB2">
      <w:pPr>
        <w:pStyle w:val="NormaleWeb"/>
        <w:shd w:val="clear" w:color="auto" w:fill="FFFFFF"/>
        <w:spacing w:before="0" w:beforeAutospacing="0" w:after="0" w:afterAutospacing="0" w:line="360" w:lineRule="auto"/>
      </w:pPr>
    </w:p>
    <w:sectPr w:rsidR="005D7C92" w:rsidRPr="004A78F5" w:rsidSect="00CF3B4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421F0" w14:textId="77777777" w:rsidR="006928ED" w:rsidRDefault="006928ED" w:rsidP="008C1D33">
      <w:pPr>
        <w:spacing w:after="0" w:line="240" w:lineRule="auto"/>
      </w:pPr>
      <w:r>
        <w:separator/>
      </w:r>
    </w:p>
  </w:endnote>
  <w:endnote w:type="continuationSeparator" w:id="0">
    <w:p w14:paraId="3DECF259" w14:textId="77777777" w:rsidR="006928ED" w:rsidRDefault="006928ED" w:rsidP="008C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2A4B" w14:textId="77777777" w:rsidR="006928ED" w:rsidRDefault="006928ED" w:rsidP="008C1D33">
      <w:pPr>
        <w:spacing w:after="0" w:line="240" w:lineRule="auto"/>
      </w:pPr>
      <w:r>
        <w:separator/>
      </w:r>
    </w:p>
  </w:footnote>
  <w:footnote w:type="continuationSeparator" w:id="0">
    <w:p w14:paraId="79FF38AB" w14:textId="77777777" w:rsidR="006928ED" w:rsidRDefault="006928ED" w:rsidP="008C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8983" w14:textId="77777777" w:rsidR="005D7C92" w:rsidRDefault="005D7C92">
    <w:pPr>
      <w:pStyle w:val="Intestazione"/>
    </w:pPr>
    <w:r>
      <w:rPr>
        <w:noProof/>
        <w:lang w:eastAsia="it-IT"/>
      </w:rPr>
      <w:drawing>
        <wp:anchor distT="0" distB="0" distL="114300" distR="114300" simplePos="0" relativeHeight="251658240" behindDoc="0" locked="0" layoutInCell="1" allowOverlap="1" wp14:anchorId="01AEB1A1" wp14:editId="25E1198C">
          <wp:simplePos x="0" y="0"/>
          <wp:positionH relativeFrom="margin">
            <wp:posOffset>-53340</wp:posOffset>
          </wp:positionH>
          <wp:positionV relativeFrom="margin">
            <wp:posOffset>-909320</wp:posOffset>
          </wp:positionV>
          <wp:extent cx="904875" cy="904875"/>
          <wp:effectExtent l="0" t="0" r="952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A6374"/>
    <w:multiLevelType w:val="hybridMultilevel"/>
    <w:tmpl w:val="45B6D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9A"/>
    <w:rsid w:val="000245B0"/>
    <w:rsid w:val="00035EED"/>
    <w:rsid w:val="000365B7"/>
    <w:rsid w:val="000A11A7"/>
    <w:rsid w:val="000A26C5"/>
    <w:rsid w:val="000B5427"/>
    <w:rsid w:val="0019627E"/>
    <w:rsid w:val="002615F3"/>
    <w:rsid w:val="002D28AC"/>
    <w:rsid w:val="002E7763"/>
    <w:rsid w:val="00323785"/>
    <w:rsid w:val="00323B02"/>
    <w:rsid w:val="00380237"/>
    <w:rsid w:val="003A2C39"/>
    <w:rsid w:val="003D0E02"/>
    <w:rsid w:val="003E3F33"/>
    <w:rsid w:val="003F6113"/>
    <w:rsid w:val="0048223A"/>
    <w:rsid w:val="004A78F5"/>
    <w:rsid w:val="004E5766"/>
    <w:rsid w:val="004F0403"/>
    <w:rsid w:val="00523E6E"/>
    <w:rsid w:val="00552908"/>
    <w:rsid w:val="00566B2B"/>
    <w:rsid w:val="00591E5C"/>
    <w:rsid w:val="005A02A9"/>
    <w:rsid w:val="005D7C92"/>
    <w:rsid w:val="005F300B"/>
    <w:rsid w:val="0062789C"/>
    <w:rsid w:val="0068552E"/>
    <w:rsid w:val="006928ED"/>
    <w:rsid w:val="006E0982"/>
    <w:rsid w:val="006F092F"/>
    <w:rsid w:val="00714DB2"/>
    <w:rsid w:val="00717A0F"/>
    <w:rsid w:val="00726A1F"/>
    <w:rsid w:val="007366DA"/>
    <w:rsid w:val="00761DC7"/>
    <w:rsid w:val="00771549"/>
    <w:rsid w:val="007973B9"/>
    <w:rsid w:val="007E16DA"/>
    <w:rsid w:val="00884325"/>
    <w:rsid w:val="008C1D33"/>
    <w:rsid w:val="009035AD"/>
    <w:rsid w:val="00911593"/>
    <w:rsid w:val="009141C4"/>
    <w:rsid w:val="009571D2"/>
    <w:rsid w:val="00994CF0"/>
    <w:rsid w:val="009E3D93"/>
    <w:rsid w:val="00B22DFF"/>
    <w:rsid w:val="00B27217"/>
    <w:rsid w:val="00B9710F"/>
    <w:rsid w:val="00BA2F71"/>
    <w:rsid w:val="00BB7EAB"/>
    <w:rsid w:val="00BD11B0"/>
    <w:rsid w:val="00CC1F9A"/>
    <w:rsid w:val="00CF3B4A"/>
    <w:rsid w:val="00D51BB4"/>
    <w:rsid w:val="00D617C9"/>
    <w:rsid w:val="00DA4DBE"/>
    <w:rsid w:val="00DF6ACF"/>
    <w:rsid w:val="00E74803"/>
    <w:rsid w:val="00F4648C"/>
    <w:rsid w:val="00F63706"/>
    <w:rsid w:val="00F877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BEDA3"/>
  <w15:docId w15:val="{33F894BD-F2B8-45E3-A0CB-83EB92D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7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8F5"/>
    <w:rPr>
      <w:color w:val="0000FF"/>
      <w:u w:val="single"/>
    </w:rPr>
  </w:style>
  <w:style w:type="character" w:customStyle="1" w:styleId="apple-converted-space">
    <w:name w:val="apple-converted-space"/>
    <w:basedOn w:val="Carpredefinitoparagrafo"/>
    <w:rsid w:val="00994CF0"/>
  </w:style>
  <w:style w:type="paragraph" w:styleId="Testofumetto">
    <w:name w:val="Balloon Text"/>
    <w:basedOn w:val="Normale"/>
    <w:link w:val="TestofumettoCarattere"/>
    <w:uiPriority w:val="99"/>
    <w:semiHidden/>
    <w:unhideWhenUsed/>
    <w:rsid w:val="000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C5"/>
    <w:rPr>
      <w:rFonts w:ascii="Tahoma" w:hAnsi="Tahoma" w:cs="Tahoma"/>
      <w:sz w:val="16"/>
      <w:szCs w:val="16"/>
    </w:rPr>
  </w:style>
  <w:style w:type="paragraph" w:styleId="Intestazione">
    <w:name w:val="header"/>
    <w:basedOn w:val="Normale"/>
    <w:link w:val="IntestazioneCarattere"/>
    <w:uiPriority w:val="99"/>
    <w:unhideWhenUsed/>
    <w:rsid w:val="008C1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D33"/>
  </w:style>
  <w:style w:type="paragraph" w:styleId="Pidipagina">
    <w:name w:val="footer"/>
    <w:basedOn w:val="Normale"/>
    <w:link w:val="PidipaginaCarattere"/>
    <w:uiPriority w:val="99"/>
    <w:unhideWhenUsed/>
    <w:rsid w:val="008C1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600">
      <w:bodyDiv w:val="1"/>
      <w:marLeft w:val="0"/>
      <w:marRight w:val="0"/>
      <w:marTop w:val="0"/>
      <w:marBottom w:val="0"/>
      <w:divBdr>
        <w:top w:val="none" w:sz="0" w:space="0" w:color="auto"/>
        <w:left w:val="none" w:sz="0" w:space="0" w:color="auto"/>
        <w:bottom w:val="none" w:sz="0" w:space="0" w:color="auto"/>
        <w:right w:val="none" w:sz="0" w:space="0" w:color="auto"/>
      </w:divBdr>
      <w:divsChild>
        <w:div w:id="1626502114">
          <w:marLeft w:val="0"/>
          <w:marRight w:val="0"/>
          <w:marTop w:val="0"/>
          <w:marBottom w:val="0"/>
          <w:divBdr>
            <w:top w:val="none" w:sz="0" w:space="0" w:color="auto"/>
            <w:left w:val="none" w:sz="0" w:space="0" w:color="auto"/>
            <w:bottom w:val="none" w:sz="0" w:space="0" w:color="auto"/>
            <w:right w:val="none" w:sz="0" w:space="0" w:color="auto"/>
          </w:divBdr>
        </w:div>
        <w:div w:id="1055471176">
          <w:marLeft w:val="0"/>
          <w:marRight w:val="0"/>
          <w:marTop w:val="0"/>
          <w:marBottom w:val="0"/>
          <w:divBdr>
            <w:top w:val="none" w:sz="0" w:space="0" w:color="auto"/>
            <w:left w:val="none" w:sz="0" w:space="0" w:color="auto"/>
            <w:bottom w:val="none" w:sz="0" w:space="0" w:color="auto"/>
            <w:right w:val="none" w:sz="0" w:space="0" w:color="auto"/>
          </w:divBdr>
        </w:div>
        <w:div w:id="2001078072">
          <w:marLeft w:val="0"/>
          <w:marRight w:val="0"/>
          <w:marTop w:val="75"/>
          <w:marBottom w:val="75"/>
          <w:divBdr>
            <w:top w:val="none" w:sz="0" w:space="0" w:color="auto"/>
            <w:left w:val="none" w:sz="0" w:space="0" w:color="auto"/>
            <w:bottom w:val="none" w:sz="0" w:space="0" w:color="auto"/>
            <w:right w:val="none" w:sz="0" w:space="0" w:color="auto"/>
          </w:divBdr>
        </w:div>
      </w:divsChild>
    </w:div>
    <w:div w:id="228157488">
      <w:bodyDiv w:val="1"/>
      <w:marLeft w:val="0"/>
      <w:marRight w:val="0"/>
      <w:marTop w:val="0"/>
      <w:marBottom w:val="0"/>
      <w:divBdr>
        <w:top w:val="none" w:sz="0" w:space="0" w:color="auto"/>
        <w:left w:val="none" w:sz="0" w:space="0" w:color="auto"/>
        <w:bottom w:val="none" w:sz="0" w:space="0" w:color="auto"/>
        <w:right w:val="none" w:sz="0" w:space="0" w:color="auto"/>
      </w:divBdr>
      <w:divsChild>
        <w:div w:id="1684697069">
          <w:marLeft w:val="0"/>
          <w:marRight w:val="0"/>
          <w:marTop w:val="0"/>
          <w:marBottom w:val="0"/>
          <w:divBdr>
            <w:top w:val="none" w:sz="0" w:space="0" w:color="auto"/>
            <w:left w:val="none" w:sz="0" w:space="0" w:color="auto"/>
            <w:bottom w:val="none" w:sz="0" w:space="0" w:color="auto"/>
            <w:right w:val="none" w:sz="0" w:space="0" w:color="auto"/>
          </w:divBdr>
        </w:div>
        <w:div w:id="2136827952">
          <w:marLeft w:val="0"/>
          <w:marRight w:val="0"/>
          <w:marTop w:val="0"/>
          <w:marBottom w:val="0"/>
          <w:divBdr>
            <w:top w:val="none" w:sz="0" w:space="0" w:color="auto"/>
            <w:left w:val="none" w:sz="0" w:space="0" w:color="auto"/>
            <w:bottom w:val="none" w:sz="0" w:space="0" w:color="auto"/>
            <w:right w:val="none" w:sz="0" w:space="0" w:color="auto"/>
          </w:divBdr>
        </w:div>
      </w:divsChild>
    </w:div>
    <w:div w:id="617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Romano</dc:creator>
  <cp:lastModifiedBy>Mariagrazia Martorana</cp:lastModifiedBy>
  <cp:revision>7</cp:revision>
  <dcterms:created xsi:type="dcterms:W3CDTF">2017-05-09T19:52:00Z</dcterms:created>
  <dcterms:modified xsi:type="dcterms:W3CDTF">2017-05-11T15:57:00Z</dcterms:modified>
</cp:coreProperties>
</file>