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AD2E5C" wp14:paraId="2CB85868" wp14:textId="235F4D0C">
      <w:pPr>
        <w:pStyle w:val="Normal"/>
        <w:jc w:val="center"/>
        <w:rPr>
          <w:rFonts w:ascii="Aptos" w:hAnsi="Aptos" w:eastAsia="Aptos" w:cs="Aptos" w:asciiTheme="minorAscii" w:hAnsiTheme="minorAscii" w:eastAsiaTheme="minorAscii" w:cstheme="minorAscii"/>
          <w:b w:val="1"/>
          <w:bCs w:val="1"/>
          <w:noProof w:val="0"/>
          <w:sz w:val="28"/>
          <w:szCs w:val="28"/>
          <w:lang w:val="es-ES"/>
        </w:rPr>
      </w:pPr>
      <w:r w:rsidRPr="5AAD2E5C" w:rsidR="6C63544B">
        <w:rPr>
          <w:rFonts w:ascii="Aptos" w:hAnsi="Aptos" w:eastAsia="Aptos" w:cs="Aptos" w:asciiTheme="minorAscii" w:hAnsiTheme="minorAscii" w:eastAsiaTheme="minorAscii" w:cstheme="minorAscii"/>
          <w:b w:val="1"/>
          <w:bCs w:val="1"/>
          <w:noProof w:val="0"/>
          <w:sz w:val="28"/>
          <w:szCs w:val="28"/>
          <w:lang w:val="es-ES"/>
        </w:rPr>
        <w:t>Mundial</w:t>
      </w:r>
      <w:r w:rsidRPr="5AAD2E5C" w:rsidR="6C63544B">
        <w:rPr>
          <w:rFonts w:ascii="Aptos" w:hAnsi="Aptos" w:eastAsia="Aptos" w:cs="Aptos" w:asciiTheme="minorAscii" w:hAnsiTheme="minorAscii" w:eastAsiaTheme="minorAscii" w:cstheme="minorAscii"/>
          <w:b w:val="1"/>
          <w:bCs w:val="1"/>
          <w:noProof w:val="0"/>
          <w:sz w:val="28"/>
          <w:szCs w:val="28"/>
          <w:lang w:val="es-ES"/>
        </w:rPr>
        <w:t xml:space="preserve"> 2026 y movilidad empresarial: anticipar riesgos logísticos</w:t>
      </w:r>
    </w:p>
    <w:p w:rsidR="4F8C159B" w:rsidP="7C1C4F4D" w:rsidRDefault="4F8C159B" w14:paraId="35557C6C" w14:textId="28CA6B14">
      <w:pPr>
        <w:pStyle w:val="Normal"/>
        <w:jc w:val="both"/>
      </w:pPr>
      <w:r w:rsidRPr="445B904D" w:rsidR="1BF93C9F">
        <w:rPr>
          <w:rFonts w:ascii="Aptos" w:hAnsi="Aptos" w:eastAsia="Aptos" w:cs="Aptos" w:asciiTheme="minorAscii" w:hAnsiTheme="minorAscii" w:eastAsiaTheme="minorAscii" w:cstheme="minorAscii"/>
          <w:b w:val="1"/>
          <w:bCs w:val="1"/>
          <w:noProof w:val="0"/>
          <w:lang w:val="es-ES"/>
        </w:rPr>
        <w:t>Ciudad de México</w:t>
      </w:r>
      <w:r w:rsidRPr="445B904D" w:rsidR="1BF93C9F">
        <w:rPr>
          <w:rFonts w:ascii="Aptos" w:hAnsi="Aptos" w:eastAsia="Aptos" w:cs="Aptos" w:asciiTheme="minorAscii" w:hAnsiTheme="minorAscii" w:eastAsiaTheme="minorAscii" w:cstheme="minorAscii"/>
          <w:b w:val="1"/>
          <w:bCs w:val="1"/>
          <w:noProof w:val="0"/>
          <w:lang w:val="es-ES"/>
        </w:rPr>
        <w:t xml:space="preserve">, </w:t>
      </w:r>
      <w:r w:rsidRPr="445B904D" w:rsidR="5F47B541">
        <w:rPr>
          <w:rFonts w:ascii="Aptos" w:hAnsi="Aptos" w:eastAsia="Aptos" w:cs="Aptos" w:asciiTheme="minorAscii" w:hAnsiTheme="minorAscii" w:eastAsiaTheme="minorAscii" w:cstheme="minorAscii"/>
          <w:b w:val="1"/>
          <w:bCs w:val="1"/>
          <w:noProof w:val="0"/>
          <w:lang w:val="es-ES"/>
        </w:rPr>
        <w:t xml:space="preserve">26 </w:t>
      </w:r>
      <w:r w:rsidRPr="445B904D" w:rsidR="1BF93C9F">
        <w:rPr>
          <w:rFonts w:ascii="Aptos" w:hAnsi="Aptos" w:eastAsia="Aptos" w:cs="Aptos" w:asciiTheme="minorAscii" w:hAnsiTheme="minorAscii" w:eastAsiaTheme="minorAscii" w:cstheme="minorAscii"/>
          <w:b w:val="1"/>
          <w:bCs w:val="1"/>
          <w:noProof w:val="0"/>
          <w:lang w:val="es-ES"/>
        </w:rPr>
        <w:t xml:space="preserve">de mayo de </w:t>
      </w:r>
      <w:r w:rsidRPr="445B904D" w:rsidR="741802B5">
        <w:rPr>
          <w:rFonts w:ascii="Aptos" w:hAnsi="Aptos" w:eastAsia="Aptos" w:cs="Aptos" w:asciiTheme="minorAscii" w:hAnsiTheme="minorAscii" w:eastAsiaTheme="minorAscii" w:cstheme="minorAscii"/>
          <w:b w:val="1"/>
          <w:bCs w:val="1"/>
          <w:noProof w:val="0"/>
          <w:lang w:val="es-ES"/>
        </w:rPr>
        <w:t>2026.</w:t>
      </w:r>
      <w:r w:rsidRPr="445B904D" w:rsidR="1BF93C9F">
        <w:rPr>
          <w:rFonts w:ascii="Aptos" w:hAnsi="Aptos" w:eastAsia="Aptos" w:cs="Aptos" w:asciiTheme="minorAscii" w:hAnsiTheme="minorAscii" w:eastAsiaTheme="minorAscii" w:cstheme="minorAscii"/>
          <w:b w:val="1"/>
          <w:bCs w:val="1"/>
          <w:noProof w:val="0"/>
          <w:lang w:val="es-ES"/>
        </w:rPr>
        <w:t>–</w:t>
      </w:r>
      <w:r w:rsidRPr="445B904D" w:rsidR="1BF93C9F">
        <w:rPr>
          <w:rFonts w:ascii="Aptos" w:hAnsi="Aptos" w:eastAsia="Aptos" w:cs="Aptos" w:asciiTheme="minorAscii" w:hAnsiTheme="minorAscii" w:eastAsiaTheme="minorAscii" w:cstheme="minorAscii"/>
          <w:b w:val="1"/>
          <w:bCs w:val="1"/>
          <w:noProof w:val="0"/>
          <w:lang w:val="es-ES"/>
        </w:rPr>
        <w:t xml:space="preserve"> </w:t>
      </w:r>
      <w:r w:rsidRPr="445B904D" w:rsidR="0B08495D">
        <w:rPr>
          <w:rFonts w:ascii="Aptos" w:hAnsi="Aptos" w:eastAsia="Aptos" w:cs="Aptos"/>
          <w:noProof w:val="0"/>
          <w:sz w:val="24"/>
          <w:szCs w:val="24"/>
          <w:lang w:val="es-ES"/>
        </w:rPr>
        <w:t xml:space="preserve">Ante el Mundial 2026, las empresas con flotillas deberán prepararse para operar en un entorno de mayor tránsito, presión logística y exposición a riesgos. Para </w:t>
      </w:r>
      <w:r w:rsidRPr="445B904D" w:rsidR="0B08495D">
        <w:rPr>
          <w:rFonts w:ascii="Aptos" w:hAnsi="Aptos" w:eastAsia="Aptos" w:cs="Aptos"/>
          <w:b w:val="1"/>
          <w:bCs w:val="1"/>
          <w:noProof w:val="0"/>
          <w:sz w:val="24"/>
          <w:szCs w:val="24"/>
          <w:lang w:val="es-ES"/>
        </w:rPr>
        <w:t xml:space="preserve">Total </w:t>
      </w:r>
      <w:r w:rsidRPr="445B904D" w:rsidR="0B08495D">
        <w:rPr>
          <w:rFonts w:ascii="Aptos" w:hAnsi="Aptos" w:eastAsia="Aptos" w:cs="Aptos"/>
          <w:b w:val="1"/>
          <w:bCs w:val="1"/>
          <w:noProof w:val="0"/>
          <w:sz w:val="24"/>
          <w:szCs w:val="24"/>
          <w:lang w:val="es-ES"/>
        </w:rPr>
        <w:t>Protect</w:t>
      </w:r>
      <w:r w:rsidRPr="445B904D" w:rsidR="0B08495D">
        <w:rPr>
          <w:rFonts w:ascii="Aptos" w:hAnsi="Aptos" w:eastAsia="Aptos" w:cs="Aptos"/>
          <w:b w:val="1"/>
          <w:bCs w:val="1"/>
          <w:noProof w:val="0"/>
          <w:sz w:val="24"/>
          <w:szCs w:val="24"/>
          <w:lang w:val="es-ES"/>
        </w:rPr>
        <w:t>,</w:t>
      </w:r>
      <w:r w:rsidRPr="445B904D" w:rsidR="0B08495D">
        <w:rPr>
          <w:rFonts w:ascii="Aptos" w:hAnsi="Aptos" w:eastAsia="Aptos" w:cs="Aptos"/>
          <w:noProof w:val="0"/>
          <w:sz w:val="24"/>
          <w:szCs w:val="24"/>
          <w:lang w:val="es-ES"/>
        </w:rPr>
        <w:t xml:space="preserve"> empresa de seguridad privada especializada en soluciones de monitoreo, telemetría y prevención de riesgos para flotillas, la respuesta está en fortalecer la visibilidad operativa: saber dónde está cada unidad, cómo se comporta en ruta, cuánto tiempo permanece detenida y qué variaciones pueden anticipar una afectación.</w:t>
      </w:r>
    </w:p>
    <w:p w:rsidR="7741A3DB" w:rsidP="7C1C4F4D" w:rsidRDefault="7741A3DB" w14:paraId="21572323" w14:textId="509ED811">
      <w:pPr>
        <w:spacing w:before="240" w:beforeAutospacing="off" w:after="240" w:afterAutospacing="off"/>
        <w:jc w:val="both"/>
      </w:pPr>
      <w:r w:rsidRPr="7C1C4F4D" w:rsidR="7741A3DB">
        <w:rPr>
          <w:rFonts w:ascii="Aptos" w:hAnsi="Aptos" w:eastAsia="Aptos" w:cs="Aptos"/>
          <w:noProof w:val="0"/>
          <w:sz w:val="24"/>
          <w:szCs w:val="24"/>
          <w:lang w:val="es-ES"/>
        </w:rPr>
        <w:t xml:space="preserve">Para </w:t>
      </w:r>
      <w:r w:rsidRPr="7C1C4F4D" w:rsidR="7741A3DB">
        <w:rPr>
          <w:rFonts w:ascii="Aptos" w:hAnsi="Aptos" w:eastAsia="Aptos" w:cs="Aptos"/>
          <w:b w:val="1"/>
          <w:bCs w:val="1"/>
          <w:noProof w:val="0"/>
          <w:sz w:val="24"/>
          <w:szCs w:val="24"/>
          <w:lang w:val="es-ES"/>
        </w:rPr>
        <w:t>María de los Ángeles Useche Serrano, directora comercial de Total Protect</w:t>
      </w:r>
      <w:r w:rsidRPr="7C1C4F4D" w:rsidR="7741A3DB">
        <w:rPr>
          <w:rFonts w:ascii="Aptos" w:hAnsi="Aptos" w:eastAsia="Aptos" w:cs="Aptos"/>
          <w:noProof w:val="0"/>
          <w:sz w:val="24"/>
          <w:szCs w:val="24"/>
          <w:lang w:val="es-ES"/>
        </w:rPr>
        <w:t xml:space="preserve">, el valor de la tecnología está en convertir datos en decisiones. </w:t>
      </w:r>
      <w:r w:rsidRPr="7C1C4F4D" w:rsidR="7741A3DB">
        <w:rPr>
          <w:rFonts w:ascii="Aptos" w:hAnsi="Aptos" w:eastAsia="Aptos" w:cs="Aptos"/>
          <w:i w:val="1"/>
          <w:iCs w:val="1"/>
          <w:noProof w:val="0"/>
          <w:sz w:val="24"/>
          <w:szCs w:val="24"/>
          <w:lang w:val="es-ES"/>
        </w:rPr>
        <w:t>“El principal desafío no siempre es identificar un robo evidente, sino detectar inconsistencias en la operación: cambios en consumo, desvíos de ruta, paradas no programadas o tiempos fuera de patrón. Esa información permite anticipar riesgos y tomar decisiones antes de que la operación se vea comprometida”</w:t>
      </w:r>
      <w:r w:rsidRPr="7C1C4F4D" w:rsidR="7741A3DB">
        <w:rPr>
          <w:rFonts w:ascii="Aptos" w:hAnsi="Aptos" w:eastAsia="Aptos" w:cs="Aptos"/>
          <w:noProof w:val="0"/>
          <w:sz w:val="24"/>
          <w:szCs w:val="24"/>
          <w:lang w:val="es-ES"/>
        </w:rPr>
        <w:t>, señala.</w:t>
      </w:r>
    </w:p>
    <w:p w:rsidR="7741A3DB" w:rsidP="7C1C4F4D" w:rsidRDefault="7741A3DB" w14:paraId="6CC8DE53" w14:textId="19AADC0C">
      <w:pPr>
        <w:spacing w:before="240" w:beforeAutospacing="off" w:after="240" w:afterAutospacing="off"/>
        <w:jc w:val="both"/>
      </w:pPr>
      <w:r w:rsidRPr="7C1C4F4D" w:rsidR="7741A3DB">
        <w:rPr>
          <w:rFonts w:ascii="Aptos" w:hAnsi="Aptos" w:eastAsia="Aptos" w:cs="Aptos"/>
          <w:noProof w:val="0"/>
          <w:sz w:val="24"/>
          <w:szCs w:val="24"/>
          <w:lang w:val="es-ES"/>
        </w:rPr>
        <w:t>En un escenario de alta demanda, herramientas como monitoreo 24/7, geolocalización, telemetría, videovigilancia y protocolos de reacción permiten a las empresas reducir tiempos de respuesta, dar seguimiento a cada trayecto, acompañar al operador y documentar eventos en tiempo real. Su aplicación no se limita a seguridad: también ayuda a proteger la continuidad operativa, optimizar rutas, reducir tiempos muertos y mantener control sobre entregas críticas.</w:t>
      </w:r>
    </w:p>
    <w:p w:rsidR="7741A3DB" w:rsidP="7C1C4F4D" w:rsidRDefault="7741A3DB" w14:paraId="32F7369D" w14:textId="17343714">
      <w:pPr>
        <w:spacing w:before="240" w:beforeAutospacing="off" w:after="240" w:afterAutospacing="off"/>
        <w:jc w:val="both"/>
      </w:pPr>
      <w:r w:rsidRPr="7C1C4F4D" w:rsidR="7741A3DB">
        <w:rPr>
          <w:rFonts w:ascii="Aptos" w:hAnsi="Aptos" w:eastAsia="Aptos" w:cs="Aptos"/>
          <w:noProof w:val="0"/>
          <w:sz w:val="24"/>
          <w:szCs w:val="24"/>
          <w:lang w:val="es-ES"/>
        </w:rPr>
        <w:t>Desde esta perspectiva, una ruta más lenta no representa únicamente un retraso. Implica mayor tiempo de exposición de la unidad, más presión sobre el consumo de combustible, riesgo de incumplimiento en ventanas de entrega y menor margen de reacción ante incidentes. Por ello, Total Protect plantea que la preparación empresarial debe iniciar antes del torneo, con rutas alternas, revisión de zonas de riesgo, monitoreo de paradas, control de consumo y coordinación entre operadores, centros de monitoreo y equipos logísticos.</w:t>
      </w:r>
    </w:p>
    <w:p w:rsidR="7741A3DB" w:rsidP="7C1C4F4D" w:rsidRDefault="7741A3DB" w14:paraId="2F22ED1C" w14:textId="16FA4F86">
      <w:pPr>
        <w:spacing w:before="240" w:beforeAutospacing="off" w:after="240" w:afterAutospacing="off"/>
        <w:jc w:val="both"/>
      </w:pPr>
      <w:r w:rsidRPr="7C1C4F4D" w:rsidR="7741A3DB">
        <w:rPr>
          <w:rFonts w:ascii="Aptos" w:hAnsi="Aptos" w:eastAsia="Aptos" w:cs="Aptos"/>
          <w:i w:val="1"/>
          <w:iCs w:val="1"/>
          <w:noProof w:val="0"/>
          <w:sz w:val="24"/>
          <w:szCs w:val="24"/>
          <w:lang w:val="es-ES"/>
        </w:rPr>
        <w:t>“El Mundial será un entorno de alta exigencia, pero las empresas pueden prepararse si trabajan con visibilidad, protocolos y datos. La prevención depende de identificar señales antes de que el riesgo escale”</w:t>
      </w:r>
      <w:r w:rsidRPr="7C1C4F4D" w:rsidR="7741A3DB">
        <w:rPr>
          <w:rFonts w:ascii="Aptos" w:hAnsi="Aptos" w:eastAsia="Aptos" w:cs="Aptos"/>
          <w:noProof w:val="0"/>
          <w:sz w:val="24"/>
          <w:szCs w:val="24"/>
          <w:lang w:val="es-ES"/>
        </w:rPr>
        <w:t>, afirma Useche Serrano.</w:t>
      </w:r>
    </w:p>
    <w:p w:rsidR="7741A3DB" w:rsidP="7C1C4F4D" w:rsidRDefault="7741A3DB" w14:paraId="2937C778" w14:textId="6B9149C7">
      <w:pPr>
        <w:spacing w:before="240" w:beforeAutospacing="off" w:after="240" w:afterAutospacing="off"/>
        <w:jc w:val="both"/>
      </w:pPr>
      <w:r w:rsidRPr="7C1C4F4D" w:rsidR="7741A3DB">
        <w:rPr>
          <w:rFonts w:ascii="Aptos" w:hAnsi="Aptos" w:eastAsia="Aptos" w:cs="Aptos"/>
          <w:noProof w:val="0"/>
          <w:sz w:val="24"/>
          <w:szCs w:val="24"/>
          <w:lang w:val="es-ES"/>
        </w:rPr>
        <w:t>La dimensión del evento explica la urgencia. La Copa Mundial de la FIFA 2026 será la primera con 48 selecciones y tres países anfitriones: México, Estados Unidos y Canadá. En México, los partidos se disputarán en Ciudad de México, Guadalajara y Monterrey, tres zonas con alta actividad económica, movilidad intensa y operación constante de transporte de carga, última milla y distribución urbana.</w:t>
      </w:r>
    </w:p>
    <w:p w:rsidR="7741A3DB" w:rsidP="7C1C4F4D" w:rsidRDefault="7741A3DB" w14:paraId="7D04D036" w14:textId="04E1F8C0">
      <w:pPr>
        <w:spacing w:before="240" w:beforeAutospacing="off" w:after="240" w:afterAutospacing="off"/>
        <w:jc w:val="both"/>
      </w:pPr>
      <w:r w:rsidRPr="7C1C4F4D" w:rsidR="7741A3DB">
        <w:rPr>
          <w:rFonts w:ascii="Aptos" w:hAnsi="Aptos" w:eastAsia="Aptos" w:cs="Aptos"/>
          <w:noProof w:val="0"/>
          <w:sz w:val="24"/>
          <w:szCs w:val="24"/>
          <w:lang w:val="es-ES"/>
        </w:rPr>
        <w:t>De acuerdo con la Secretaría de Turismo, México espera la llegada de 5.5 millones de visitantes adicionales y una derrama superior a 60 mil millones de pesos durante el torneo. Este flujo incrementará la demanda en sectores como hotelería, alimentos y bebidas, comercio, entretenimiento, movilidad y servicios, todos dependientes de cadenas de suministro estables para operar sin interrupciones.</w:t>
      </w:r>
    </w:p>
    <w:p w:rsidR="7741A3DB" w:rsidP="7C1C4F4D" w:rsidRDefault="7741A3DB" w14:paraId="1B141F93" w14:textId="4E14898B">
      <w:pPr>
        <w:spacing w:before="240" w:beforeAutospacing="off" w:after="240" w:afterAutospacing="off"/>
        <w:jc w:val="both"/>
      </w:pPr>
      <w:r w:rsidRPr="7C1C4F4D" w:rsidR="7741A3DB">
        <w:rPr>
          <w:rFonts w:ascii="Aptos" w:hAnsi="Aptos" w:eastAsia="Aptos" w:cs="Aptos"/>
          <w:noProof w:val="0"/>
          <w:sz w:val="24"/>
          <w:szCs w:val="24"/>
          <w:lang w:val="es-ES"/>
        </w:rPr>
        <w:t>La presión también se reflejará en vialidades. Estimaciones atribuidas a Ricardo Dávila Mondragón, director general de Televía, advierten que las horas pico en Ciudad de México, Guadalajara y Monterrey podrían aumentar hasta 30% durante el Mundial, debido a la convivencia entre visitantes, aficionados, proveedores y usuarios cotidianos. Para las empresas, esto puede traducirse en trayectos más largos, entregas más complejas y mayor exposición de unidades en ruta.</w:t>
      </w:r>
    </w:p>
    <w:p w:rsidR="7741A3DB" w:rsidP="7C1C4F4D" w:rsidRDefault="7741A3DB" w14:paraId="6DCBA7F6" w14:textId="30912891">
      <w:pPr>
        <w:spacing w:before="240" w:beforeAutospacing="off" w:after="240" w:afterAutospacing="off"/>
        <w:jc w:val="both"/>
      </w:pPr>
      <w:r w:rsidRPr="7C1C4F4D" w:rsidR="7741A3DB">
        <w:rPr>
          <w:rFonts w:ascii="Aptos" w:hAnsi="Aptos" w:eastAsia="Aptos" w:cs="Aptos"/>
          <w:noProof w:val="0"/>
          <w:sz w:val="24"/>
          <w:szCs w:val="24"/>
          <w:lang w:val="es-ES"/>
        </w:rPr>
        <w:t>El peso del autotransporte confirma la magnitud del reto. De acuerdo con la Secretaría de Infraestructura, Comunicaciones y Transportes, el autotransporte de carga aporta 3.8% al Producto Interno Bruto y moviliza más de 565 millones de toneladas de productos y mercancías. Durante el Mundial, su papel será determinante para abastecer hoteles, restaurantes, comercios, centros de entretenimiento, puntos de reunión y servicios urbanos.</w:t>
      </w:r>
    </w:p>
    <w:p w:rsidR="7741A3DB" w:rsidP="7C1C4F4D" w:rsidRDefault="7741A3DB" w14:paraId="198BE250" w14:textId="785774C1">
      <w:pPr>
        <w:spacing w:before="240" w:beforeAutospacing="off" w:after="240" w:afterAutospacing="off"/>
        <w:jc w:val="both"/>
      </w:pPr>
      <w:r w:rsidRPr="7C1C4F4D" w:rsidR="7741A3DB">
        <w:rPr>
          <w:rFonts w:ascii="Aptos" w:hAnsi="Aptos" w:eastAsia="Aptos" w:cs="Aptos"/>
          <w:noProof w:val="0"/>
          <w:sz w:val="24"/>
          <w:szCs w:val="24"/>
          <w:lang w:val="es-ES"/>
        </w:rPr>
        <w:t>A esta presión logística se suma el contexto de seguridad. Datos de la Cámara Nacional del Autotransporte de Carga señalan que en México ocurre un robo a vehículo de carga aproximadamente cada 50 minutos, mientras que Veracruz, Puebla y Estado de México concentran cerca de 50% de los robos a nivel nacional. Corredores como el Arco Norte también mantienen alertas recientes: entre febrero y abril de 2026 se reportaron 16 robos a camiones, con Tula, Hidalgo, como uno de los puntos de mayor incidencia.</w:t>
      </w:r>
    </w:p>
    <w:p w:rsidR="7741A3DB" w:rsidP="7C1C4F4D" w:rsidRDefault="7741A3DB" w14:paraId="5DAF970A" w14:textId="5C4D0EB0">
      <w:pPr>
        <w:spacing w:before="240" w:beforeAutospacing="off" w:after="240" w:afterAutospacing="off"/>
        <w:jc w:val="both"/>
      </w:pPr>
      <w:r w:rsidRPr="7C1C4F4D" w:rsidR="7741A3DB">
        <w:rPr>
          <w:rFonts w:ascii="Aptos" w:hAnsi="Aptos" w:eastAsia="Aptos" w:cs="Aptos"/>
          <w:noProof w:val="0"/>
          <w:sz w:val="24"/>
          <w:szCs w:val="24"/>
          <w:lang w:val="es-ES"/>
        </w:rPr>
        <w:t>El déficit de operadores añade otra capa de presión. CANACAR ha señalado que el sector enfrenta una falta superior a 90 mil operadores en México, una condición que mantiene unidades fuera de circulación y limita la capacidad de respuesta ante incrementos en la demanda. En este contexto, cada unidad activa requiere mayor supervisión, eficiencia y control.</w:t>
      </w:r>
    </w:p>
    <w:p w:rsidR="7C1C4F4D" w:rsidP="7C1C4F4D" w:rsidRDefault="7C1C4F4D" w14:paraId="08B634BE" w14:textId="75EF7151">
      <w:pPr>
        <w:spacing w:before="240" w:beforeAutospacing="off" w:after="240" w:afterAutospacing="off"/>
        <w:jc w:val="both"/>
      </w:pPr>
      <w:r w:rsidRPr="445B904D" w:rsidR="0B08495D">
        <w:rPr>
          <w:rFonts w:ascii="Aptos" w:hAnsi="Aptos" w:eastAsia="Aptos" w:cs="Aptos"/>
          <w:noProof w:val="0"/>
          <w:sz w:val="24"/>
          <w:szCs w:val="24"/>
          <w:lang w:val="es-ES"/>
        </w:rPr>
        <w:t xml:space="preserve">Para Total </w:t>
      </w:r>
      <w:r w:rsidRPr="445B904D" w:rsidR="0B08495D">
        <w:rPr>
          <w:rFonts w:ascii="Aptos" w:hAnsi="Aptos" w:eastAsia="Aptos" w:cs="Aptos"/>
          <w:noProof w:val="0"/>
          <w:sz w:val="24"/>
          <w:szCs w:val="24"/>
          <w:lang w:val="es-ES"/>
        </w:rPr>
        <w:t>Protect</w:t>
      </w:r>
      <w:r w:rsidRPr="445B904D" w:rsidR="0B08495D">
        <w:rPr>
          <w:rFonts w:ascii="Aptos" w:hAnsi="Aptos" w:eastAsia="Aptos" w:cs="Aptos"/>
          <w:noProof w:val="0"/>
          <w:sz w:val="24"/>
          <w:szCs w:val="24"/>
          <w:lang w:val="es-ES"/>
        </w:rPr>
        <w:t>, la continuidad operativa durante el Mundial dependerá de la capacidad de las empresas para anticipar, monitorear y reaccionar con información confiable. La combinación de tecnología, protocolos y análisis de datos permitirá operar con mayor control en un periodo donde la movilidad urbana, la seguridad en carretera y la distribución de mercancías enfrentarán una de sus mayores pruebas.</w:t>
      </w:r>
    </w:p>
    <w:p xmlns:wp14="http://schemas.microsoft.com/office/word/2010/wordml" w:rsidP="5AAD2E5C" wp14:paraId="5C1A07E2" wp14:textId="1FF46E7E">
      <w:pPr>
        <w:pStyle w:val="Normal"/>
        <w:jc w:val="center"/>
      </w:pPr>
      <w:r w:rsidRPr="5AAD2E5C" w:rsidR="68D116B5">
        <w:rPr>
          <w:rFonts w:ascii="Aptos" w:hAnsi="Aptos" w:eastAsia="Aptos" w:cs="Aptos" w:asciiTheme="minorAscii" w:hAnsiTheme="minorAscii" w:eastAsiaTheme="minorAscii" w:cstheme="minorAscii"/>
        </w:rPr>
        <w:t>-o0o-</w:t>
      </w:r>
    </w:p>
    <w:sectPr>
      <w:pgSz w:w="11906" w:h="16838" w:orient="portrait"/>
      <w:pgMar w:top="1440" w:right="1440" w:bottom="908" w:left="1440" w:header="720" w:footer="720" w:gutter="0"/>
      <w:cols w:space="720"/>
      <w:docGrid w:linePitch="360"/>
      <w:headerReference w:type="default" r:id="R8ea7c018fe8f4d25"/>
      <w:footerReference w:type="default" r:id="R8568ef3709434fa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594EAF" w:rsidTr="35594EAF" w14:paraId="7594124E">
      <w:trPr>
        <w:trHeight w:val="300"/>
      </w:trPr>
      <w:tc>
        <w:tcPr>
          <w:tcW w:w="3005" w:type="dxa"/>
          <w:tcMar/>
        </w:tcPr>
        <w:p w:rsidR="35594EAF" w:rsidP="35594EAF" w:rsidRDefault="35594EAF" w14:paraId="421FC829" w14:textId="772C3FAA">
          <w:pPr>
            <w:pStyle w:val="Header"/>
            <w:bidi w:val="0"/>
            <w:ind w:left="-115"/>
            <w:jc w:val="left"/>
          </w:pPr>
        </w:p>
      </w:tc>
      <w:tc>
        <w:tcPr>
          <w:tcW w:w="3005" w:type="dxa"/>
          <w:tcMar/>
        </w:tcPr>
        <w:p w:rsidR="35594EAF" w:rsidP="35594EAF" w:rsidRDefault="35594EAF" w14:paraId="5FC63C0E" w14:textId="46038491">
          <w:pPr>
            <w:pStyle w:val="Header"/>
            <w:bidi w:val="0"/>
            <w:jc w:val="center"/>
          </w:pPr>
        </w:p>
      </w:tc>
      <w:tc>
        <w:tcPr>
          <w:tcW w:w="3005" w:type="dxa"/>
          <w:tcMar/>
        </w:tcPr>
        <w:p w:rsidR="35594EAF" w:rsidP="35594EAF" w:rsidRDefault="35594EAF" w14:paraId="1E2C4853" w14:textId="4CD793B4">
          <w:pPr>
            <w:pStyle w:val="Header"/>
            <w:bidi w:val="0"/>
            <w:ind w:right="-115"/>
            <w:jc w:val="right"/>
          </w:pPr>
        </w:p>
      </w:tc>
    </w:tr>
  </w:tbl>
  <w:p w:rsidR="35594EAF" w:rsidP="35594EAF" w:rsidRDefault="35594EAF" w14:paraId="78A723F1" w14:textId="3AAA6B0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594EAF" w:rsidTr="35594EAF" w14:paraId="5ED3C915">
      <w:trPr>
        <w:trHeight w:val="300"/>
      </w:trPr>
      <w:tc>
        <w:tcPr>
          <w:tcW w:w="3005" w:type="dxa"/>
          <w:tcMar/>
        </w:tcPr>
        <w:p w:rsidR="35594EAF" w:rsidP="35594EAF" w:rsidRDefault="35594EAF" w14:paraId="61D479A5" w14:textId="7998259A">
          <w:pPr>
            <w:pStyle w:val="Header"/>
            <w:bidi w:val="0"/>
            <w:ind w:left="-115"/>
            <w:jc w:val="left"/>
          </w:pPr>
        </w:p>
      </w:tc>
      <w:tc>
        <w:tcPr>
          <w:tcW w:w="3005" w:type="dxa"/>
          <w:tcMar/>
        </w:tcPr>
        <w:p w:rsidR="35594EAF" w:rsidP="35594EAF" w:rsidRDefault="35594EAF" w14:paraId="43FC586D" w14:textId="3057AE3A">
          <w:pPr>
            <w:pStyle w:val="Header"/>
            <w:bidi w:val="0"/>
            <w:jc w:val="center"/>
          </w:pPr>
          <w:r w:rsidR="35594EAF">
            <w:drawing>
              <wp:inline wp14:editId="41033CBD" wp14:anchorId="07638D03">
                <wp:extent cx="1771650" cy="514350"/>
                <wp:effectExtent l="0" t="0" r="0" b="0"/>
                <wp:docPr id="15673714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67371421" name="Picture 156737142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6266110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514350"/>
                        </a:xfrm>
                        <a:prstGeom xmlns:a="http://schemas.openxmlformats.org/drawingml/2006/main" prst="rect">
                          <a:avLst xmlns:a="http://schemas.openxmlformats.org/drawingml/2006/main"/>
                        </a:prstGeom>
                      </pic:spPr>
                    </pic:pic>
                  </a:graphicData>
                </a:graphic>
              </wp:inline>
            </w:drawing>
          </w:r>
        </w:p>
      </w:tc>
      <w:tc>
        <w:tcPr>
          <w:tcW w:w="3005" w:type="dxa"/>
          <w:tcMar/>
        </w:tcPr>
        <w:p w:rsidR="35594EAF" w:rsidP="35594EAF" w:rsidRDefault="35594EAF" w14:paraId="077A66A4" w14:textId="289EC0F5">
          <w:pPr>
            <w:pStyle w:val="Header"/>
            <w:bidi w:val="0"/>
            <w:ind w:right="-115"/>
            <w:jc w:val="right"/>
          </w:pPr>
        </w:p>
      </w:tc>
    </w:tr>
  </w:tbl>
  <w:p w:rsidR="35594EAF" w:rsidP="35594EAF" w:rsidRDefault="35594EAF" w14:paraId="028EE46C" w14:textId="3AE6385C">
    <w:pPr>
      <w:pStyle w:val="Header"/>
      <w:bidi w:val="0"/>
    </w:pPr>
  </w:p>
</w:hdr>
</file>

<file path=word/numbering.xml><?xml version="1.0" encoding="utf-8"?>
<w:numbering xmlns:w="http://schemas.openxmlformats.org/wordprocessingml/2006/main">
  <w:abstractNum xmlns:w="http://schemas.openxmlformats.org/wordprocessingml/2006/main" w:abstractNumId="1">
    <w:nsid w:val="1b13a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94AC52"/>
    <w:rsid w:val="02A87724"/>
    <w:rsid w:val="0B08495D"/>
    <w:rsid w:val="0DC3000D"/>
    <w:rsid w:val="1BF93C9F"/>
    <w:rsid w:val="1F209AD0"/>
    <w:rsid w:val="2174EC37"/>
    <w:rsid w:val="23515D16"/>
    <w:rsid w:val="26110FF2"/>
    <w:rsid w:val="29942D7E"/>
    <w:rsid w:val="323F7056"/>
    <w:rsid w:val="35594EAF"/>
    <w:rsid w:val="35F2CA3E"/>
    <w:rsid w:val="365BBBCD"/>
    <w:rsid w:val="366E28DC"/>
    <w:rsid w:val="3D62296D"/>
    <w:rsid w:val="3E79D760"/>
    <w:rsid w:val="445B904D"/>
    <w:rsid w:val="4B6B009A"/>
    <w:rsid w:val="4CF5740A"/>
    <w:rsid w:val="4F8C159B"/>
    <w:rsid w:val="5246C021"/>
    <w:rsid w:val="52DAD6E2"/>
    <w:rsid w:val="59B055EF"/>
    <w:rsid w:val="5AAD2E5C"/>
    <w:rsid w:val="5F47B541"/>
    <w:rsid w:val="5FD27F11"/>
    <w:rsid w:val="60DA6993"/>
    <w:rsid w:val="613BAA80"/>
    <w:rsid w:val="68D116B5"/>
    <w:rsid w:val="6B55FDBD"/>
    <w:rsid w:val="6C63544B"/>
    <w:rsid w:val="741802B5"/>
    <w:rsid w:val="74E9A7E1"/>
    <w:rsid w:val="76554EEB"/>
    <w:rsid w:val="7741A3DB"/>
    <w:rsid w:val="78400920"/>
    <w:rsid w:val="7C1C4F4D"/>
    <w:rsid w:val="7C60608E"/>
    <w:rsid w:val="7CF580EE"/>
    <w:rsid w:val="7F06DF26"/>
    <w:rsid w:val="7F94A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F878"/>
  <w15:chartTrackingRefBased/>
  <w15:docId w15:val="{B0F4951A-1A9A-47A9-A820-4662D0E461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5594EA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35594EAF"/>
    <w:pPr>
      <w:tabs>
        <w:tab w:val="center" w:leader="none" w:pos="4680"/>
        <w:tab w:val="right" w:leader="none" w:pos="9360"/>
      </w:tabs>
      <w:spacing w:after="0" w:line="240" w:lineRule="auto"/>
    </w:pPr>
  </w:style>
  <w:style w:type="paragraph" w:styleId="Footer">
    <w:uiPriority w:val="99"/>
    <w:name w:val="footer"/>
    <w:basedOn w:val="Normal"/>
    <w:unhideWhenUsed/>
    <w:rsid w:val="35594EA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DA6993"/>
    <w:pPr>
      <w:spacing/>
      <w:ind w:left="720"/>
      <w:contextualSpacing/>
    </w:pPr>
  </w:style>
  <w:style w:type="character" w:styleId="Hyperlink">
    <w:uiPriority w:val="99"/>
    <w:name w:val="Hyperlink"/>
    <w:basedOn w:val="DefaultParagraphFont"/>
    <w:unhideWhenUsed/>
    <w:rsid w:val="7C1C4F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ea7c018fe8f4d25" /><Relationship Type="http://schemas.openxmlformats.org/officeDocument/2006/relationships/footer" Target="footer.xml" Id="R8568ef3709434fa8" /><Relationship Type="http://schemas.openxmlformats.org/officeDocument/2006/relationships/numbering" Target="numbering.xml" Id="R7d987baf570e416e" /></Relationships>
</file>

<file path=word/_rels/header.xml.rels>&#65279;<?xml version="1.0" encoding="utf-8"?><Relationships xmlns="http://schemas.openxmlformats.org/package/2006/relationships"><Relationship Type="http://schemas.openxmlformats.org/officeDocument/2006/relationships/image" Target="/media/image.png" Id="rId3626611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b465360bd75c2712a4ad6e0aead21c38">
  <xsd:schema xmlns:xsd="http://www.w3.org/2001/XMLSchema" xmlns:xs="http://www.w3.org/2001/XMLSchema" xmlns:p="http://schemas.microsoft.com/office/2006/metadata/properties" xmlns:ns2="549d9b32-086f-4d1d-a400-c5b4faa47054" targetNamespace="http://schemas.microsoft.com/office/2006/metadata/properties" ma:root="true" ma:fieldsID="5dd68fe4ce89786c927a44d1ff7ac8e3"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74C3D7-F061-4E10-A2B8-AD9BED5DFCF4}"/>
</file>

<file path=customXml/itemProps2.xml><?xml version="1.0" encoding="utf-8"?>
<ds:datastoreItem xmlns:ds="http://schemas.openxmlformats.org/officeDocument/2006/customXml" ds:itemID="{906F5C95-6F7B-499A-9AA2-E200C0638997}"/>
</file>

<file path=customXml/itemProps3.xml><?xml version="1.0" encoding="utf-8"?>
<ds:datastoreItem xmlns:ds="http://schemas.openxmlformats.org/officeDocument/2006/customXml" ds:itemID="{32623DC1-28A0-43BD-9423-8031BAAA3F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lastModifiedBy>Tanya Belmont Osornio</lastModifiedBy>
  <dcterms:created xsi:type="dcterms:W3CDTF">2026-05-05T22:13:25.0000000Z</dcterms:created>
  <dcterms:modified xsi:type="dcterms:W3CDTF">2026-05-19T01:37:48.9190803Z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