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left w:w="113" w:type="dxa"/>
          <w:bottom w:w="113" w:type="dxa"/>
          <w:right w:w="113" w:type="dxa"/>
        </w:tblCellMar>
        <w:tblLook w:val="04A0" w:firstRow="1" w:lastRow="0" w:firstColumn="1" w:lastColumn="0" w:noHBand="0" w:noVBand="1"/>
      </w:tblPr>
      <w:tblGrid>
        <w:gridCol w:w="5642"/>
        <w:gridCol w:w="1979"/>
        <w:gridCol w:w="1902"/>
      </w:tblGrid>
      <w:tr w:rsidR="004E4EBE" w14:paraId="446FFEA9" w14:textId="77777777" w:rsidTr="00265553">
        <w:trPr>
          <w:trHeight w:val="433"/>
        </w:trPr>
        <w:tc>
          <w:tcPr>
            <w:tcW w:w="7621" w:type="dxa"/>
            <w:gridSpan w:val="2"/>
          </w:tcPr>
          <w:p w14:paraId="79E101D7" w14:textId="77777777" w:rsidR="004E4EBE" w:rsidRPr="00B612A0" w:rsidRDefault="00B16DA1" w:rsidP="00265553">
            <w:pPr>
              <w:rPr>
                <w:b/>
                <w:bCs/>
                <w:color w:val="00A0CB"/>
                <w:spacing w:val="38"/>
                <w:sz w:val="36"/>
                <w:szCs w:val="36"/>
              </w:rPr>
            </w:pPr>
            <w:bookmarkStart w:id="0" w:name="_GoBack"/>
            <w:bookmarkEnd w:id="0"/>
            <w:r>
              <w:rPr>
                <w:rFonts w:cs="Arial"/>
                <w:noProof/>
                <w:sz w:val="18"/>
                <w:szCs w:val="18"/>
                <w:lang w:val="en-US" w:eastAsia="en-US" w:bidi="ar-SA"/>
              </w:rPr>
              <w:drawing>
                <wp:anchor distT="0" distB="0" distL="114300" distR="114300" simplePos="0" relativeHeight="251660288" behindDoc="1" locked="0" layoutInCell="1" allowOverlap="1" wp14:anchorId="3A755D7D" wp14:editId="43904C6B">
                  <wp:simplePos x="0" y="0"/>
                  <wp:positionH relativeFrom="column">
                    <wp:posOffset>4686300</wp:posOffset>
                  </wp:positionH>
                  <wp:positionV relativeFrom="paragraph">
                    <wp:posOffset>-109220</wp:posOffset>
                  </wp:positionV>
                  <wp:extent cx="1335405" cy="1693545"/>
                  <wp:effectExtent l="0" t="0" r="10795"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9-05 at 15.57.28.png"/>
                          <pic:cNvPicPr/>
                        </pic:nvPicPr>
                        <pic:blipFill>
                          <a:blip r:embed="rId8">
                            <a:extLst>
                              <a:ext uri="{28A0092B-C50C-407E-A947-70E740481C1C}">
                                <a14:useLocalDpi xmlns:a14="http://schemas.microsoft.com/office/drawing/2010/main" val="0"/>
                              </a:ext>
                            </a:extLst>
                          </a:blip>
                          <a:stretch>
                            <a:fillRect/>
                          </a:stretch>
                        </pic:blipFill>
                        <pic:spPr>
                          <a:xfrm>
                            <a:off x="0" y="0"/>
                            <a:ext cx="1335405" cy="1693545"/>
                          </a:xfrm>
                          <a:prstGeom prst="rect">
                            <a:avLst/>
                          </a:prstGeom>
                        </pic:spPr>
                      </pic:pic>
                    </a:graphicData>
                  </a:graphic>
                  <wp14:sizeRelH relativeFrom="page">
                    <wp14:pctWidth>0</wp14:pctWidth>
                  </wp14:sizeRelH>
                  <wp14:sizeRelV relativeFrom="page">
                    <wp14:pctHeight>0</wp14:pctHeight>
                  </wp14:sizeRelV>
                </wp:anchor>
              </w:drawing>
            </w:r>
            <w:r w:rsidR="004E4EBE">
              <w:rPr>
                <w:b/>
                <w:color w:val="00A0CB"/>
                <w:spacing w:val="38"/>
                <w:sz w:val="36"/>
              </w:rPr>
              <w:t>Vraag aan een expert</w:t>
            </w:r>
          </w:p>
        </w:tc>
        <w:tc>
          <w:tcPr>
            <w:tcW w:w="1902" w:type="dxa"/>
            <w:vMerge w:val="restart"/>
          </w:tcPr>
          <w:p w14:paraId="4810960F" w14:textId="77777777" w:rsidR="004E4EBE" w:rsidRDefault="004E4EBE" w:rsidP="00265553">
            <w:pPr>
              <w:rPr>
                <w:rFonts w:cs="Arial"/>
                <w:sz w:val="18"/>
                <w:szCs w:val="18"/>
              </w:rPr>
            </w:pPr>
          </w:p>
          <w:p w14:paraId="3F598827" w14:textId="77777777" w:rsidR="004E4EBE" w:rsidRDefault="004E4EBE" w:rsidP="00265553">
            <w:pPr>
              <w:rPr>
                <w:rFonts w:cs="Arial"/>
                <w:sz w:val="18"/>
                <w:szCs w:val="18"/>
              </w:rPr>
            </w:pPr>
          </w:p>
          <w:p w14:paraId="68C91DAD" w14:textId="77777777" w:rsidR="004E4EBE" w:rsidRDefault="004E4EBE" w:rsidP="00265553">
            <w:pPr>
              <w:rPr>
                <w:rFonts w:cs="Arial"/>
                <w:sz w:val="18"/>
                <w:szCs w:val="18"/>
              </w:rPr>
            </w:pPr>
          </w:p>
          <w:p w14:paraId="06846A11" w14:textId="77777777" w:rsidR="004E4EBE" w:rsidRDefault="004E4EBE" w:rsidP="00265553">
            <w:pPr>
              <w:rPr>
                <w:rFonts w:cs="Arial"/>
                <w:sz w:val="18"/>
                <w:szCs w:val="18"/>
              </w:rPr>
            </w:pPr>
          </w:p>
          <w:p w14:paraId="20E5B717" w14:textId="77777777" w:rsidR="004E4EBE" w:rsidRDefault="004E4EBE" w:rsidP="00265553">
            <w:pPr>
              <w:rPr>
                <w:rFonts w:cs="Arial"/>
                <w:sz w:val="18"/>
                <w:szCs w:val="18"/>
              </w:rPr>
            </w:pPr>
          </w:p>
          <w:p w14:paraId="27ADA794" w14:textId="77777777" w:rsidR="00B16DA1" w:rsidRDefault="00B16DA1" w:rsidP="00265553">
            <w:pPr>
              <w:rPr>
                <w:sz w:val="18"/>
              </w:rPr>
            </w:pPr>
          </w:p>
          <w:p w14:paraId="4C029169" w14:textId="77777777" w:rsidR="00B16DA1" w:rsidRDefault="00B16DA1" w:rsidP="00265553">
            <w:pPr>
              <w:rPr>
                <w:sz w:val="18"/>
              </w:rPr>
            </w:pPr>
          </w:p>
          <w:p w14:paraId="19914F46" w14:textId="77777777" w:rsidR="00B16DA1" w:rsidRDefault="00B16DA1" w:rsidP="00265553">
            <w:pPr>
              <w:rPr>
                <w:sz w:val="18"/>
              </w:rPr>
            </w:pPr>
          </w:p>
          <w:p w14:paraId="769AFA02" w14:textId="77777777" w:rsidR="00B16DA1" w:rsidRDefault="00B16DA1" w:rsidP="00265553">
            <w:pPr>
              <w:rPr>
                <w:sz w:val="18"/>
              </w:rPr>
            </w:pPr>
          </w:p>
          <w:p w14:paraId="327606CE" w14:textId="77777777" w:rsidR="00B16DA1" w:rsidRDefault="00B16DA1" w:rsidP="00265553">
            <w:pPr>
              <w:rPr>
                <w:sz w:val="18"/>
              </w:rPr>
            </w:pPr>
          </w:p>
          <w:p w14:paraId="74EFCBD9" w14:textId="77777777" w:rsidR="00B16DA1" w:rsidRDefault="00B16DA1" w:rsidP="00265553">
            <w:pPr>
              <w:rPr>
                <w:sz w:val="18"/>
              </w:rPr>
            </w:pPr>
          </w:p>
          <w:p w14:paraId="2E6C3AD2" w14:textId="77777777" w:rsidR="00B16DA1" w:rsidRDefault="00B16DA1" w:rsidP="00265553">
            <w:pPr>
              <w:rPr>
                <w:sz w:val="18"/>
              </w:rPr>
            </w:pPr>
          </w:p>
          <w:p w14:paraId="09194EDA" w14:textId="77777777" w:rsidR="00B16DA1" w:rsidRDefault="00B16DA1" w:rsidP="00265553">
            <w:pPr>
              <w:rPr>
                <w:sz w:val="18"/>
              </w:rPr>
            </w:pPr>
          </w:p>
          <w:p w14:paraId="2AF2BC64" w14:textId="77777777" w:rsidR="004E4EBE" w:rsidRPr="00B40816" w:rsidRDefault="004E4EBE" w:rsidP="00265553">
            <w:pPr>
              <w:rPr>
                <w:rFonts w:cs="Arial"/>
                <w:sz w:val="18"/>
                <w:szCs w:val="18"/>
              </w:rPr>
            </w:pPr>
            <w:proofErr w:type="spellStart"/>
            <w:r>
              <w:rPr>
                <w:sz w:val="18"/>
              </w:rPr>
              <w:t>Lauréline</w:t>
            </w:r>
            <w:proofErr w:type="spellEnd"/>
            <w:r>
              <w:rPr>
                <w:sz w:val="18"/>
              </w:rPr>
              <w:t xml:space="preserve"> </w:t>
            </w:r>
            <w:proofErr w:type="spellStart"/>
            <w:r>
              <w:rPr>
                <w:sz w:val="18"/>
              </w:rPr>
              <w:t>Louvigny</w:t>
            </w:r>
            <w:proofErr w:type="spellEnd"/>
          </w:p>
          <w:p w14:paraId="3D320ED6" w14:textId="77777777" w:rsidR="004E4EBE" w:rsidRDefault="004E4EBE" w:rsidP="00265553">
            <w:pPr>
              <w:rPr>
                <w:rFonts w:ascii="Calibri" w:hAnsi="Calibri"/>
                <w:sz w:val="24"/>
              </w:rPr>
            </w:pPr>
            <w:r>
              <w:rPr>
                <w:sz w:val="18"/>
              </w:rPr>
              <w:t xml:space="preserve">Legal Consultant </w:t>
            </w:r>
            <w:r>
              <w:rPr>
                <w:rFonts w:cs="Arial"/>
                <w:sz w:val="18"/>
                <w:szCs w:val="18"/>
              </w:rPr>
              <w:br/>
            </w:r>
            <w:proofErr w:type="spellStart"/>
            <w:r>
              <w:rPr>
                <w:sz w:val="18"/>
              </w:rPr>
              <w:t>Partena</w:t>
            </w:r>
            <w:proofErr w:type="spellEnd"/>
            <w:r>
              <w:rPr>
                <w:sz w:val="18"/>
              </w:rPr>
              <w:t xml:space="preserve"> Professional</w:t>
            </w:r>
          </w:p>
        </w:tc>
      </w:tr>
      <w:tr w:rsidR="004E4EBE" w:rsidRPr="004E4EBE" w14:paraId="5EE9F150" w14:textId="77777777" w:rsidTr="00265553">
        <w:trPr>
          <w:trHeight w:val="1600"/>
        </w:trPr>
        <w:tc>
          <w:tcPr>
            <w:tcW w:w="5642" w:type="dxa"/>
          </w:tcPr>
          <w:p w14:paraId="178967D9" w14:textId="77777777" w:rsidR="004E4EBE" w:rsidRPr="00F61DAA" w:rsidRDefault="004E4EBE" w:rsidP="00265553">
            <w:pPr>
              <w:spacing w:line="280" w:lineRule="exact"/>
              <w:jc w:val="both"/>
              <w:rPr>
                <w:rFonts w:cs="Arial"/>
                <w:color w:val="00B0F0"/>
                <w:sz w:val="28"/>
                <w:szCs w:val="28"/>
              </w:rPr>
            </w:pPr>
            <w:r>
              <w:rPr>
                <w:color w:val="00B0F0"/>
                <w:sz w:val="28"/>
              </w:rPr>
              <w:t>Wat zijn de gevolgen van een overdracht van onderneming voor de werkgever en de werknemer?</w:t>
            </w:r>
          </w:p>
          <w:p w14:paraId="0D61AA21" w14:textId="77777777" w:rsidR="004E4EBE" w:rsidRPr="000D3292" w:rsidRDefault="004E4EBE" w:rsidP="00265553">
            <w:pPr>
              <w:spacing w:line="280" w:lineRule="exact"/>
              <w:jc w:val="both"/>
              <w:rPr>
                <w:rFonts w:cs="Arial"/>
                <w:sz w:val="28"/>
                <w:szCs w:val="28"/>
              </w:rPr>
            </w:pPr>
          </w:p>
          <w:p w14:paraId="76C87399" w14:textId="77777777" w:rsidR="004E4EBE" w:rsidRPr="000D3292" w:rsidRDefault="004E4EBE" w:rsidP="00265553">
            <w:pPr>
              <w:spacing w:line="280" w:lineRule="exact"/>
              <w:jc w:val="both"/>
              <w:rPr>
                <w:rFonts w:cs="Arial"/>
                <w:sz w:val="28"/>
                <w:szCs w:val="28"/>
              </w:rPr>
            </w:pPr>
          </w:p>
          <w:p w14:paraId="0307BCF5" w14:textId="77777777" w:rsidR="004E4EBE" w:rsidRPr="000D3292" w:rsidRDefault="004E4EBE" w:rsidP="00265553">
            <w:pPr>
              <w:spacing w:line="280" w:lineRule="exact"/>
              <w:jc w:val="both"/>
              <w:rPr>
                <w:rFonts w:cs="Arial"/>
                <w:sz w:val="28"/>
                <w:szCs w:val="28"/>
              </w:rPr>
            </w:pPr>
          </w:p>
        </w:tc>
        <w:tc>
          <w:tcPr>
            <w:tcW w:w="1979" w:type="dxa"/>
            <w:vAlign w:val="bottom"/>
          </w:tcPr>
          <w:p w14:paraId="5AE8A698" w14:textId="77777777" w:rsidR="004E4EBE" w:rsidRDefault="004E4EBE" w:rsidP="00265553">
            <w:pPr>
              <w:jc w:val="right"/>
              <w:rPr>
                <w:rFonts w:cs="Arial"/>
                <w:sz w:val="28"/>
                <w:szCs w:val="28"/>
              </w:rPr>
            </w:pPr>
          </w:p>
          <w:p w14:paraId="2A4BF9C7" w14:textId="77777777" w:rsidR="00B16DA1" w:rsidRPr="00F61DAA" w:rsidRDefault="00B16DA1" w:rsidP="00265553">
            <w:pPr>
              <w:jc w:val="right"/>
              <w:rPr>
                <w:rFonts w:cs="Arial"/>
                <w:sz w:val="28"/>
                <w:szCs w:val="28"/>
              </w:rPr>
            </w:pPr>
          </w:p>
        </w:tc>
        <w:tc>
          <w:tcPr>
            <w:tcW w:w="1902" w:type="dxa"/>
            <w:vMerge/>
          </w:tcPr>
          <w:p w14:paraId="3FBA08A1" w14:textId="77777777" w:rsidR="004E4EBE" w:rsidRPr="00F61DAA" w:rsidRDefault="004E4EBE" w:rsidP="00265553">
            <w:pPr>
              <w:jc w:val="center"/>
              <w:rPr>
                <w:rFonts w:ascii="Calibri" w:hAnsi="Calibri"/>
                <w:sz w:val="24"/>
              </w:rPr>
            </w:pPr>
          </w:p>
        </w:tc>
      </w:tr>
    </w:tbl>
    <w:p w14:paraId="4FDB6852" w14:textId="77777777" w:rsidR="004E4EBE" w:rsidRPr="00207D36" w:rsidRDefault="004E4EBE" w:rsidP="004E4EBE">
      <w:pPr>
        <w:autoSpaceDE w:val="0"/>
        <w:autoSpaceDN w:val="0"/>
        <w:adjustRightInd w:val="0"/>
        <w:jc w:val="both"/>
        <w:rPr>
          <w:rFonts w:ascii="Calibri" w:hAnsi="Calibri" w:cs="Arial"/>
          <w:b/>
          <w:sz w:val="24"/>
        </w:rPr>
      </w:pPr>
      <w:r>
        <w:br/>
      </w:r>
      <w:r w:rsidRPr="00B16DA1">
        <w:rPr>
          <w:b/>
          <w:noProof/>
          <w:sz w:val="24"/>
          <w:lang w:val="en-US" w:eastAsia="en-US" w:bidi="ar-SA"/>
        </w:rPr>
        <mc:AlternateContent>
          <mc:Choice Requires="wps">
            <w:drawing>
              <wp:anchor distT="4294967293" distB="4294967293" distL="114300" distR="114300" simplePos="0" relativeHeight="251659264" behindDoc="0" locked="0" layoutInCell="1" allowOverlap="1" wp14:anchorId="11D06DB4" wp14:editId="040D5B26">
                <wp:simplePos x="0" y="0"/>
                <wp:positionH relativeFrom="column">
                  <wp:posOffset>-213360</wp:posOffset>
                </wp:positionH>
                <wp:positionV relativeFrom="paragraph">
                  <wp:posOffset>13648</wp:posOffset>
                </wp:positionV>
                <wp:extent cx="6426835" cy="0"/>
                <wp:effectExtent l="10795" t="10795" r="10795" b="8255"/>
                <wp:wrapNone/>
                <wp:docPr id="5"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6835" cy="0"/>
                        </a:xfrm>
                        <a:prstGeom prst="line">
                          <a:avLst/>
                        </a:prstGeom>
                        <a:noFill/>
                        <a:ln w="12700">
                          <a:solidFill>
                            <a:srgbClr val="F6A5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149E135" id="Line 33"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8pt,1.05pt" to="489.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" strokecolor="#f6a500" strokeweight="1pt"/>
            </w:pict>
          </mc:Fallback>
        </mc:AlternateContent>
      </w:r>
      <w:r w:rsidRPr="00B16DA1">
        <w:rPr>
          <w:b/>
          <w:sz w:val="24"/>
        </w:rPr>
        <w:t xml:space="preserve">Heel wat werkgevers hebben vragen over de gevolgen van een ondernemingsoverdracht. Wat zijn hun verplichtingen? Wat zijn de rechten van de werknemers? </w:t>
      </w:r>
    </w:p>
    <w:p w14:paraId="2F3DFEF6" w14:textId="77777777" w:rsidR="004E4EBE" w:rsidRPr="00F61DAA" w:rsidRDefault="004E4EBE" w:rsidP="004E4EBE">
      <w:pPr>
        <w:spacing w:line="280" w:lineRule="exact"/>
        <w:jc w:val="both"/>
        <w:rPr>
          <w:rFonts w:cs="Arial"/>
          <w:szCs w:val="20"/>
        </w:rPr>
      </w:pPr>
    </w:p>
    <w:p w14:paraId="786AEFCA" w14:textId="77777777" w:rsidR="004E4EBE" w:rsidRPr="00F63778" w:rsidRDefault="004E4EBE" w:rsidP="004E4EBE">
      <w:pPr>
        <w:spacing w:after="160"/>
        <w:jc w:val="both"/>
        <w:rPr>
          <w:rFonts w:cs="Arial"/>
          <w:b/>
          <w:color w:val="00A0CB"/>
          <w:sz w:val="24"/>
          <w:lang w:val="nl-BE" w:eastAsia="en-US" w:bidi="ar-SA"/>
        </w:rPr>
      </w:pPr>
      <w:r w:rsidRPr="00F63778">
        <w:rPr>
          <w:rFonts w:cs="Arial"/>
          <w:b/>
          <w:color w:val="00A0CB"/>
          <w:sz w:val="24"/>
          <w:lang w:val="nl-BE" w:eastAsia="en-US" w:bidi="ar-SA"/>
        </w:rPr>
        <w:t xml:space="preserve">Waarover gaat het precies? </w:t>
      </w:r>
    </w:p>
    <w:p w14:paraId="606B60CA" w14:textId="5BC88A9E" w:rsidR="00F42E65" w:rsidRDefault="004E4EBE" w:rsidP="004E4EBE">
      <w:pPr>
        <w:jc w:val="both"/>
        <w:rPr>
          <w:sz w:val="22"/>
          <w:szCs w:val="22"/>
        </w:rPr>
      </w:pPr>
      <w:r w:rsidRPr="00B16DA1">
        <w:rPr>
          <w:sz w:val="22"/>
          <w:szCs w:val="22"/>
        </w:rPr>
        <w:t>De definitie van ondernemingsoverdracht is terug te vinden in de collectieve arbeidsovereenkomst nr. 32</w:t>
      </w:r>
      <w:r w:rsidRPr="00B16DA1">
        <w:rPr>
          <w:i/>
          <w:sz w:val="22"/>
          <w:szCs w:val="22"/>
        </w:rPr>
        <w:t>bis</w:t>
      </w:r>
      <w:r w:rsidRPr="00B16DA1">
        <w:rPr>
          <w:sz w:val="22"/>
          <w:szCs w:val="22"/>
        </w:rPr>
        <w:t xml:space="preserve"> van 7 juni 1985 die verplicht verbindend werd verklaard door het Koninklijk Besluit van 25 juli 1985 (B.S.</w:t>
      </w:r>
      <w:r w:rsidR="00EA1032">
        <w:rPr>
          <w:sz w:val="22"/>
          <w:szCs w:val="22"/>
        </w:rPr>
        <w:t xml:space="preserve"> </w:t>
      </w:r>
      <w:r w:rsidRPr="00B16DA1">
        <w:rPr>
          <w:sz w:val="22"/>
          <w:szCs w:val="22"/>
        </w:rPr>
        <w:t>van 9 augustus 1985). Deze cao beschermt de werknemers in geval van overdracht (en in het bijzonder in geval van faillissement) en verzekert hen het behoud van hun arbeidsovereenkomst. Ze waarborgt eveneens hun individuele en collectieve arbeidsvoorwaarden na de overdracht. Alle werknemers moeten namelijk door de cessionaris (verkrijger) die hun nieuwe werkgever wordt</w:t>
      </w:r>
      <w:r w:rsidR="00F42E65">
        <w:rPr>
          <w:sz w:val="22"/>
          <w:szCs w:val="22"/>
        </w:rPr>
        <w:t>,</w:t>
      </w:r>
      <w:r w:rsidRPr="00B16DA1">
        <w:rPr>
          <w:sz w:val="22"/>
          <w:szCs w:val="22"/>
        </w:rPr>
        <w:t xml:space="preserve"> worden overgenomen.</w:t>
      </w:r>
    </w:p>
    <w:p w14:paraId="397E2313" w14:textId="126D1481" w:rsidR="004E4EBE" w:rsidRPr="00B16DA1" w:rsidRDefault="004E4EBE" w:rsidP="004E4EBE">
      <w:pPr>
        <w:jc w:val="both"/>
        <w:rPr>
          <w:rFonts w:eastAsia="Calibri" w:cs="Arial"/>
          <w:sz w:val="22"/>
          <w:szCs w:val="22"/>
        </w:rPr>
      </w:pPr>
      <w:r w:rsidRPr="00B16DA1">
        <w:rPr>
          <w:sz w:val="22"/>
          <w:szCs w:val="22"/>
        </w:rPr>
        <w:br/>
      </w:r>
      <w:r w:rsidRPr="00B16DA1">
        <w:rPr>
          <w:sz w:val="22"/>
          <w:szCs w:val="22"/>
        </w:rPr>
        <w:br/>
        <w:t xml:space="preserve">Als overdracht wordt immers beschouwd: </w:t>
      </w:r>
      <w:r w:rsidRPr="00B16DA1">
        <w:rPr>
          <w:i/>
          <w:sz w:val="22"/>
          <w:szCs w:val="22"/>
        </w:rPr>
        <w:t>'de overgang, met het oog op de voortzetting van een al dan niet hoofdzakelijk economische activiteit, van een economische activiteit die haar identiteit behoudt, waaronder een geheel van georganiseerde middelen wordt verstaan.'</w:t>
      </w:r>
      <w:r w:rsidRPr="00B16DA1">
        <w:rPr>
          <w:sz w:val="22"/>
          <w:szCs w:val="22"/>
        </w:rPr>
        <w:t xml:space="preserve"> </w:t>
      </w:r>
    </w:p>
    <w:p w14:paraId="37147222" w14:textId="77777777" w:rsidR="004E4EBE" w:rsidRPr="00B16DA1" w:rsidRDefault="004E4EBE" w:rsidP="004E4EBE">
      <w:pPr>
        <w:shd w:val="clear" w:color="auto" w:fill="FFFFFF"/>
        <w:jc w:val="both"/>
        <w:rPr>
          <w:rFonts w:eastAsia="Calibri" w:cs="Arial"/>
          <w:sz w:val="22"/>
          <w:szCs w:val="22"/>
        </w:rPr>
      </w:pPr>
    </w:p>
    <w:p w14:paraId="266B6136" w14:textId="77777777" w:rsidR="004E4EBE" w:rsidRPr="00B16DA1" w:rsidRDefault="004E4EBE" w:rsidP="004E4EBE">
      <w:pPr>
        <w:spacing w:after="160"/>
        <w:jc w:val="both"/>
        <w:rPr>
          <w:rFonts w:eastAsia="Calibri" w:cs="Arial"/>
          <w:sz w:val="22"/>
          <w:szCs w:val="22"/>
        </w:rPr>
      </w:pPr>
      <w:r w:rsidRPr="00B16DA1">
        <w:rPr>
          <w:sz w:val="22"/>
          <w:szCs w:val="22"/>
        </w:rPr>
        <w:t xml:space="preserve">Er is sprake van </w:t>
      </w:r>
      <w:r w:rsidRPr="00D41A25">
        <w:rPr>
          <w:i/>
          <w:sz w:val="22"/>
          <w:szCs w:val="22"/>
        </w:rPr>
        <w:t>'ondernemingsoverdracht'</w:t>
      </w:r>
      <w:r w:rsidRPr="00D41A25">
        <w:rPr>
          <w:sz w:val="22"/>
          <w:szCs w:val="22"/>
        </w:rPr>
        <w:t xml:space="preserve"> wanneer verschillenden elementen aanwezig zijn.</w:t>
      </w:r>
      <w:r w:rsidRPr="00B16DA1">
        <w:rPr>
          <w:sz w:val="22"/>
          <w:szCs w:val="22"/>
        </w:rPr>
        <w:t xml:space="preserve"> Deze elementen zijn onder andere de overname: </w:t>
      </w:r>
    </w:p>
    <w:p w14:paraId="007D2CD0" w14:textId="77777777" w:rsidR="004E4EBE" w:rsidRPr="00B16DA1" w:rsidRDefault="004E4EBE" w:rsidP="004E4EBE">
      <w:pPr>
        <w:pStyle w:val="ListParagraph"/>
        <w:numPr>
          <w:ilvl w:val="0"/>
          <w:numId w:val="2"/>
        </w:numPr>
        <w:jc w:val="both"/>
        <w:rPr>
          <w:rFonts w:eastAsia="Calibri" w:cs="Arial"/>
        </w:rPr>
      </w:pPr>
      <w:r w:rsidRPr="00B16DA1">
        <w:rPr>
          <w:rFonts w:ascii="Arial" w:hAnsi="Arial"/>
        </w:rPr>
        <w:t>van alle of een deel van de materiële of immateriële activa;</w:t>
      </w:r>
    </w:p>
    <w:p w14:paraId="5D2CD305" w14:textId="77777777" w:rsidR="004E4EBE" w:rsidRPr="00B16DA1" w:rsidRDefault="004E4EBE" w:rsidP="004E4EBE">
      <w:pPr>
        <w:pStyle w:val="ListParagraph"/>
        <w:numPr>
          <w:ilvl w:val="0"/>
          <w:numId w:val="2"/>
        </w:numPr>
        <w:jc w:val="both"/>
        <w:rPr>
          <w:rFonts w:eastAsia="Calibri" w:cs="Arial"/>
        </w:rPr>
      </w:pPr>
      <w:r w:rsidRPr="00B16DA1">
        <w:rPr>
          <w:rFonts w:ascii="Arial" w:hAnsi="Arial"/>
        </w:rPr>
        <w:t>contracten;</w:t>
      </w:r>
    </w:p>
    <w:p w14:paraId="1BA84E25" w14:textId="77777777" w:rsidR="004E4EBE" w:rsidRPr="00B16DA1" w:rsidRDefault="004E4EBE" w:rsidP="004E4EBE">
      <w:pPr>
        <w:pStyle w:val="ListParagraph"/>
        <w:numPr>
          <w:ilvl w:val="0"/>
          <w:numId w:val="2"/>
        </w:numPr>
        <w:jc w:val="both"/>
        <w:rPr>
          <w:rFonts w:eastAsia="Calibri" w:cs="Arial"/>
        </w:rPr>
      </w:pPr>
      <w:r w:rsidRPr="00B16DA1">
        <w:rPr>
          <w:rFonts w:ascii="Arial" w:hAnsi="Arial"/>
        </w:rPr>
        <w:t>voorraden;</w:t>
      </w:r>
    </w:p>
    <w:p w14:paraId="22CAB2E4" w14:textId="77777777" w:rsidR="004E4EBE" w:rsidRPr="00B16DA1" w:rsidRDefault="004E4EBE" w:rsidP="004E4EBE">
      <w:pPr>
        <w:pStyle w:val="ListParagraph"/>
        <w:numPr>
          <w:ilvl w:val="0"/>
          <w:numId w:val="2"/>
        </w:numPr>
        <w:jc w:val="both"/>
        <w:rPr>
          <w:rFonts w:eastAsia="Calibri" w:cs="Arial"/>
        </w:rPr>
      </w:pPr>
      <w:r w:rsidRPr="00B16DA1">
        <w:rPr>
          <w:rFonts w:ascii="Arial" w:hAnsi="Arial"/>
        </w:rPr>
        <w:t>grondstoffen;</w:t>
      </w:r>
    </w:p>
    <w:p w14:paraId="553D9950" w14:textId="77777777" w:rsidR="004E4EBE" w:rsidRPr="00B16DA1" w:rsidRDefault="004E4EBE" w:rsidP="004E4EBE">
      <w:pPr>
        <w:pStyle w:val="ListParagraph"/>
        <w:numPr>
          <w:ilvl w:val="0"/>
          <w:numId w:val="2"/>
        </w:numPr>
        <w:jc w:val="both"/>
        <w:rPr>
          <w:rFonts w:eastAsia="Calibri" w:cs="Arial"/>
        </w:rPr>
      </w:pPr>
      <w:r w:rsidRPr="00B16DA1">
        <w:rPr>
          <w:rFonts w:ascii="Arial" w:hAnsi="Arial"/>
        </w:rPr>
        <w:t>activiteiten;</w:t>
      </w:r>
    </w:p>
    <w:p w14:paraId="372F6CA7" w14:textId="77777777" w:rsidR="004E4EBE" w:rsidRPr="00B16DA1" w:rsidRDefault="004E4EBE" w:rsidP="004E4EBE">
      <w:pPr>
        <w:pStyle w:val="ListParagraph"/>
        <w:numPr>
          <w:ilvl w:val="0"/>
          <w:numId w:val="2"/>
        </w:numPr>
        <w:jc w:val="both"/>
        <w:rPr>
          <w:rFonts w:eastAsia="Calibri" w:cs="Arial"/>
        </w:rPr>
      </w:pPr>
      <w:r w:rsidRPr="00B16DA1">
        <w:rPr>
          <w:rFonts w:ascii="Arial" w:hAnsi="Arial"/>
        </w:rPr>
        <w:t>werkwijzen;</w:t>
      </w:r>
    </w:p>
    <w:p w14:paraId="31680D4C" w14:textId="77777777" w:rsidR="004E4EBE" w:rsidRPr="00B16DA1" w:rsidRDefault="004E4EBE" w:rsidP="004E4EBE">
      <w:pPr>
        <w:pStyle w:val="ListParagraph"/>
        <w:numPr>
          <w:ilvl w:val="0"/>
          <w:numId w:val="2"/>
        </w:numPr>
        <w:jc w:val="both"/>
        <w:rPr>
          <w:rFonts w:eastAsia="Calibri" w:cs="Arial"/>
        </w:rPr>
      </w:pPr>
      <w:r w:rsidRPr="00B16DA1">
        <w:rPr>
          <w:rFonts w:ascii="Arial" w:hAnsi="Arial"/>
        </w:rPr>
        <w:t>machines;</w:t>
      </w:r>
    </w:p>
    <w:p w14:paraId="7FD2F326" w14:textId="77777777" w:rsidR="004E4EBE" w:rsidRPr="00B16DA1" w:rsidRDefault="004E4EBE" w:rsidP="004E4EBE">
      <w:pPr>
        <w:pStyle w:val="ListParagraph"/>
        <w:numPr>
          <w:ilvl w:val="0"/>
          <w:numId w:val="2"/>
        </w:numPr>
        <w:jc w:val="both"/>
        <w:rPr>
          <w:rFonts w:eastAsia="Calibri" w:cs="Arial"/>
        </w:rPr>
      </w:pPr>
      <w:r w:rsidRPr="00B16DA1">
        <w:rPr>
          <w:rFonts w:ascii="Arial" w:hAnsi="Arial"/>
        </w:rPr>
        <w:t xml:space="preserve">de meerderheid van het personeel van de overgedragen entiteit. </w:t>
      </w:r>
    </w:p>
    <w:p w14:paraId="5AC6F123" w14:textId="0146FD5E" w:rsidR="004E4EBE" w:rsidRPr="00B16DA1" w:rsidRDefault="004E4EBE" w:rsidP="004E4EBE">
      <w:pPr>
        <w:jc w:val="both"/>
        <w:rPr>
          <w:rFonts w:eastAsia="Calibri" w:cs="Arial"/>
          <w:sz w:val="22"/>
          <w:szCs w:val="22"/>
        </w:rPr>
      </w:pPr>
      <w:r w:rsidRPr="00B16DA1">
        <w:rPr>
          <w:sz w:val="22"/>
          <w:szCs w:val="22"/>
        </w:rPr>
        <w:t xml:space="preserve">Het is ook belangrijk om </w:t>
      </w:r>
      <w:r w:rsidR="00F42E65">
        <w:rPr>
          <w:sz w:val="22"/>
          <w:szCs w:val="22"/>
        </w:rPr>
        <w:t xml:space="preserve">te </w:t>
      </w:r>
      <w:r w:rsidRPr="00B16DA1">
        <w:rPr>
          <w:sz w:val="22"/>
          <w:szCs w:val="22"/>
        </w:rPr>
        <w:t>weten of de overgedragen entiteit haar activiteiten die ze vóór de overdracht uitoefende, of soortgelijke activiteiten, na de overdracht zal voortzetten.</w:t>
      </w:r>
    </w:p>
    <w:p w14:paraId="1D1DC121" w14:textId="77777777" w:rsidR="004E4EBE" w:rsidRPr="00F63778" w:rsidRDefault="004E4EBE" w:rsidP="004E4EBE">
      <w:pPr>
        <w:jc w:val="both"/>
        <w:rPr>
          <w:rFonts w:cs="Arial"/>
          <w:b/>
          <w:color w:val="00A0CB"/>
          <w:sz w:val="24"/>
          <w:lang w:val="nl-BE" w:eastAsia="en-US" w:bidi="ar-SA"/>
        </w:rPr>
      </w:pPr>
    </w:p>
    <w:p w14:paraId="657F9721" w14:textId="308B55E0" w:rsidR="004E4EBE" w:rsidRPr="00F63778" w:rsidRDefault="004E4EBE" w:rsidP="004E4EBE">
      <w:pPr>
        <w:jc w:val="both"/>
        <w:rPr>
          <w:rFonts w:cs="Arial"/>
          <w:b/>
          <w:color w:val="00A0CB"/>
          <w:sz w:val="24"/>
          <w:lang w:val="nl-BE" w:eastAsia="en-US" w:bidi="ar-SA"/>
        </w:rPr>
      </w:pPr>
      <w:r w:rsidRPr="00F63778">
        <w:rPr>
          <w:rFonts w:cs="Arial"/>
          <w:b/>
          <w:color w:val="00A0CB"/>
          <w:sz w:val="24"/>
          <w:lang w:val="nl-BE" w:eastAsia="en-US" w:bidi="ar-SA"/>
        </w:rPr>
        <w:t xml:space="preserve">De rechten van de werknemers: enkele veelgestelde vragen </w:t>
      </w:r>
    </w:p>
    <w:p w14:paraId="6AD5B1FD" w14:textId="77777777" w:rsidR="004E4EBE" w:rsidRPr="00B16DA1" w:rsidRDefault="004E4EBE" w:rsidP="004E4EBE">
      <w:pPr>
        <w:jc w:val="both"/>
        <w:rPr>
          <w:rFonts w:eastAsia="Calibri" w:cs="Arial"/>
          <w:sz w:val="22"/>
          <w:szCs w:val="22"/>
        </w:rPr>
      </w:pPr>
      <w:r w:rsidRPr="00B16DA1">
        <w:rPr>
          <w:sz w:val="22"/>
          <w:szCs w:val="22"/>
        </w:rPr>
        <w:t xml:space="preserve">Zoals gezegd beschermt de cao nr. 32 de werknemers en garandeert hij hen dat zij hun arbeidsovereenkomst kunnen behouden wanneer de onderneming wordt overgedragen. Ze waarborgt eveneens hun individuele en collectieve arbeidsvoorwaarden na de overdracht. </w:t>
      </w:r>
    </w:p>
    <w:p w14:paraId="231A316C" w14:textId="77777777" w:rsidR="004E4EBE" w:rsidRPr="00B16DA1" w:rsidRDefault="004E4EBE" w:rsidP="004E4EBE">
      <w:pPr>
        <w:jc w:val="both"/>
        <w:rPr>
          <w:rFonts w:eastAsia="Calibri" w:cs="Arial"/>
          <w:sz w:val="22"/>
          <w:szCs w:val="22"/>
        </w:rPr>
      </w:pPr>
    </w:p>
    <w:p w14:paraId="3EE6AF1C" w14:textId="377AC5C9" w:rsidR="004E4EBE" w:rsidRPr="00B16DA1" w:rsidRDefault="004E4EBE" w:rsidP="004E4EBE">
      <w:pPr>
        <w:jc w:val="both"/>
        <w:rPr>
          <w:rFonts w:eastAsia="Calibri" w:cs="Arial"/>
          <w:sz w:val="22"/>
          <w:szCs w:val="22"/>
        </w:rPr>
      </w:pPr>
      <w:r w:rsidRPr="00B16DA1">
        <w:rPr>
          <w:sz w:val="22"/>
          <w:szCs w:val="22"/>
        </w:rPr>
        <w:t>De overdragende werkgever (= vervreemder) moet de werknemers vooraf inlichten over de overdracht van onderneming en he</w:t>
      </w:r>
      <w:r w:rsidR="00F42E65">
        <w:rPr>
          <w:sz w:val="22"/>
          <w:szCs w:val="22"/>
        </w:rPr>
        <w:t xml:space="preserve">n </w:t>
      </w:r>
      <w:r w:rsidRPr="00B16DA1">
        <w:rPr>
          <w:sz w:val="22"/>
          <w:szCs w:val="22"/>
        </w:rPr>
        <w:t>schriftelijk het volgende meedelen:</w:t>
      </w:r>
    </w:p>
    <w:p w14:paraId="32D8ABD3" w14:textId="77777777" w:rsidR="004E4EBE" w:rsidRPr="00B16DA1" w:rsidRDefault="004E4EBE" w:rsidP="004E4EBE">
      <w:pPr>
        <w:keepNext/>
        <w:numPr>
          <w:ilvl w:val="0"/>
          <w:numId w:val="1"/>
        </w:numPr>
        <w:ind w:left="357" w:hanging="357"/>
        <w:jc w:val="both"/>
        <w:rPr>
          <w:rFonts w:eastAsia="Calibri" w:cs="Arial"/>
          <w:sz w:val="22"/>
          <w:szCs w:val="22"/>
        </w:rPr>
      </w:pPr>
      <w:r w:rsidRPr="00B16DA1">
        <w:rPr>
          <w:sz w:val="22"/>
          <w:szCs w:val="22"/>
        </w:rPr>
        <w:t>de vastgestelde of voorgestelde datum voor de overdracht,</w:t>
      </w:r>
    </w:p>
    <w:p w14:paraId="3D4491A6" w14:textId="77777777" w:rsidR="004E4EBE" w:rsidRPr="00B16DA1" w:rsidRDefault="004E4EBE" w:rsidP="004E4EBE">
      <w:pPr>
        <w:keepNext/>
        <w:numPr>
          <w:ilvl w:val="0"/>
          <w:numId w:val="1"/>
        </w:numPr>
        <w:ind w:left="357" w:hanging="357"/>
        <w:jc w:val="both"/>
        <w:rPr>
          <w:rFonts w:eastAsia="Calibri" w:cs="Arial"/>
          <w:sz w:val="22"/>
          <w:szCs w:val="22"/>
        </w:rPr>
      </w:pPr>
      <w:r w:rsidRPr="00B16DA1">
        <w:rPr>
          <w:sz w:val="22"/>
          <w:szCs w:val="22"/>
        </w:rPr>
        <w:t>de reden van de overdracht,</w:t>
      </w:r>
    </w:p>
    <w:p w14:paraId="0A945889" w14:textId="77777777" w:rsidR="004E4EBE" w:rsidRPr="00B16DA1" w:rsidRDefault="004E4EBE" w:rsidP="004E4EBE">
      <w:pPr>
        <w:keepNext/>
        <w:numPr>
          <w:ilvl w:val="0"/>
          <w:numId w:val="1"/>
        </w:numPr>
        <w:ind w:left="357" w:hanging="357"/>
        <w:jc w:val="both"/>
        <w:rPr>
          <w:rFonts w:eastAsia="Calibri" w:cs="Arial"/>
          <w:sz w:val="22"/>
          <w:szCs w:val="22"/>
        </w:rPr>
      </w:pPr>
      <w:r w:rsidRPr="00B16DA1">
        <w:rPr>
          <w:sz w:val="22"/>
          <w:szCs w:val="22"/>
        </w:rPr>
        <w:t>de juridische, economische en sociale gevolgen van de overdracht voor de werknemers,</w:t>
      </w:r>
    </w:p>
    <w:p w14:paraId="78154154" w14:textId="77777777" w:rsidR="004E4EBE" w:rsidRPr="00B16DA1" w:rsidRDefault="004E4EBE" w:rsidP="004E4EBE">
      <w:pPr>
        <w:keepNext/>
        <w:numPr>
          <w:ilvl w:val="0"/>
          <w:numId w:val="1"/>
        </w:numPr>
        <w:ind w:left="357" w:hanging="357"/>
        <w:jc w:val="both"/>
        <w:rPr>
          <w:rFonts w:eastAsia="Calibri" w:cs="Arial"/>
          <w:sz w:val="22"/>
          <w:szCs w:val="22"/>
        </w:rPr>
      </w:pPr>
      <w:r w:rsidRPr="00B16DA1">
        <w:rPr>
          <w:sz w:val="22"/>
          <w:szCs w:val="22"/>
        </w:rPr>
        <w:t xml:space="preserve">de maatregelen die overwogen worden ten aanzien van de werknemers. </w:t>
      </w:r>
    </w:p>
    <w:p w14:paraId="6278313E" w14:textId="77777777" w:rsidR="004E4EBE" w:rsidRPr="00B16DA1" w:rsidRDefault="004E4EBE" w:rsidP="004E4EBE">
      <w:pPr>
        <w:keepNext/>
        <w:jc w:val="both"/>
        <w:rPr>
          <w:rFonts w:eastAsia="Calibri" w:cs="Arial"/>
          <w:sz w:val="22"/>
          <w:szCs w:val="22"/>
        </w:rPr>
      </w:pPr>
    </w:p>
    <w:p w14:paraId="38060FEF" w14:textId="77777777" w:rsidR="004E4EBE" w:rsidRPr="00F63778" w:rsidRDefault="004E4EBE" w:rsidP="00B16DA1">
      <w:pPr>
        <w:jc w:val="both"/>
        <w:rPr>
          <w:rFonts w:cs="Arial"/>
          <w:b/>
          <w:color w:val="00A0CB"/>
          <w:sz w:val="24"/>
          <w:lang w:val="nl-BE" w:eastAsia="en-US" w:bidi="ar-SA"/>
        </w:rPr>
      </w:pPr>
      <w:r w:rsidRPr="00F63778">
        <w:rPr>
          <w:rFonts w:cs="Arial"/>
          <w:b/>
          <w:color w:val="00A0CB"/>
          <w:sz w:val="24"/>
          <w:lang w:val="nl-BE" w:eastAsia="en-US" w:bidi="ar-SA"/>
        </w:rPr>
        <w:t>Moeten de werknemers nieuwe arbeidsovereenkomsten ondertekenen?</w:t>
      </w:r>
    </w:p>
    <w:p w14:paraId="2169C88E" w14:textId="08640F1D" w:rsidR="00F42E65" w:rsidRDefault="004E4EBE" w:rsidP="004E4EBE">
      <w:pPr>
        <w:spacing w:after="200" w:line="276" w:lineRule="auto"/>
        <w:contextualSpacing/>
        <w:jc w:val="both"/>
        <w:rPr>
          <w:rFonts w:eastAsia="Calibri" w:cs="Arial"/>
          <w:sz w:val="22"/>
          <w:szCs w:val="22"/>
        </w:rPr>
      </w:pPr>
      <w:r w:rsidRPr="00B16DA1">
        <w:rPr>
          <w:sz w:val="22"/>
          <w:szCs w:val="22"/>
        </w:rPr>
        <w:t>De wijziging van werkgever heeft geen invloed op de arbeidsovereenkomsten en de rechten en plichten die daaruit voortvloeien. De overeenkomsten blijven uitwerking hebben, zowel voor de werknemers als voor de nieuwe werkgever. De overdracht van onderneming impliceert met andere woorden ook de automatische overdracht van de betreffende arbeidsovereenkomsten. De oor</w:t>
      </w:r>
      <w:r w:rsidR="00F42E65">
        <w:rPr>
          <w:sz w:val="22"/>
          <w:szCs w:val="22"/>
        </w:rPr>
        <w:t>s</w:t>
      </w:r>
      <w:r w:rsidRPr="00B16DA1">
        <w:rPr>
          <w:sz w:val="22"/>
          <w:szCs w:val="22"/>
        </w:rPr>
        <w:t>pronkelijke overeenkomsten mogen dus niet worden verbroken, noch moeten er nieuwe overeenkomsten worden gesloten. De verkrijger moet dus alle arbeidsvoorwaarden en andere voorwaarden naleven die de werknemers bij de vervreemder</w:t>
      </w:r>
      <w:r w:rsidR="00EA1032">
        <w:rPr>
          <w:sz w:val="22"/>
          <w:szCs w:val="22"/>
        </w:rPr>
        <w:t xml:space="preserve"> </w:t>
      </w:r>
      <w:r w:rsidRPr="00B16DA1">
        <w:rPr>
          <w:sz w:val="22"/>
          <w:szCs w:val="22"/>
        </w:rPr>
        <w:t xml:space="preserve">genoten. </w:t>
      </w:r>
    </w:p>
    <w:p w14:paraId="723FAD66" w14:textId="77777777" w:rsidR="00F42E65" w:rsidRPr="00B16DA1" w:rsidRDefault="00F42E65" w:rsidP="004E4EBE">
      <w:pPr>
        <w:spacing w:after="200" w:line="276" w:lineRule="auto"/>
        <w:contextualSpacing/>
        <w:jc w:val="both"/>
        <w:rPr>
          <w:rFonts w:eastAsia="Calibri" w:cs="Arial"/>
          <w:sz w:val="22"/>
          <w:szCs w:val="22"/>
        </w:rPr>
      </w:pPr>
    </w:p>
    <w:p w14:paraId="20226D26" w14:textId="21164BD4" w:rsidR="004E4EBE" w:rsidRPr="00B16DA1" w:rsidRDefault="004E4EBE" w:rsidP="004E4EBE">
      <w:pPr>
        <w:snapToGrid w:val="0"/>
        <w:jc w:val="both"/>
        <w:rPr>
          <w:rFonts w:cs="Arial"/>
          <w:sz w:val="22"/>
          <w:szCs w:val="22"/>
        </w:rPr>
      </w:pPr>
      <w:r w:rsidRPr="00B16DA1">
        <w:rPr>
          <w:sz w:val="22"/>
          <w:szCs w:val="22"/>
        </w:rPr>
        <w:t xml:space="preserve">De verkrijger kan de arbeidsvoorwaarden van de werknemers niet eenzijdig wijzigen. Bovendien moet hij er dus niet alleen voor zorgen dat de arbeidsvoorwaarden behouden </w:t>
      </w:r>
      <w:r w:rsidR="00F63778" w:rsidRPr="00B16DA1">
        <w:rPr>
          <w:sz w:val="22"/>
          <w:szCs w:val="22"/>
        </w:rPr>
        <w:t xml:space="preserve">blijven </w:t>
      </w:r>
      <w:r w:rsidRPr="00B16DA1">
        <w:rPr>
          <w:sz w:val="22"/>
          <w:szCs w:val="22"/>
        </w:rPr>
        <w:t>maar ook dat de voorwaarden behouden</w:t>
      </w:r>
      <w:r w:rsidR="00F63778">
        <w:rPr>
          <w:sz w:val="22"/>
          <w:szCs w:val="22"/>
        </w:rPr>
        <w:t xml:space="preserve"> </w:t>
      </w:r>
      <w:r w:rsidR="00F63778" w:rsidRPr="00B16DA1">
        <w:rPr>
          <w:sz w:val="22"/>
          <w:szCs w:val="22"/>
        </w:rPr>
        <w:t>blijven</w:t>
      </w:r>
      <w:r w:rsidRPr="00B16DA1">
        <w:rPr>
          <w:sz w:val="22"/>
          <w:szCs w:val="22"/>
        </w:rPr>
        <w:t xml:space="preserve"> die de werknemers genoten in het kader van hun arbeidsrelatie met de vervreemder.</w:t>
      </w:r>
    </w:p>
    <w:p w14:paraId="63C2052C" w14:textId="77777777" w:rsidR="004E4EBE" w:rsidRPr="00B16DA1" w:rsidRDefault="004E4EBE" w:rsidP="004E4EBE">
      <w:pPr>
        <w:snapToGrid w:val="0"/>
        <w:jc w:val="both"/>
        <w:rPr>
          <w:rFonts w:cs="Arial"/>
          <w:sz w:val="22"/>
          <w:szCs w:val="22"/>
        </w:rPr>
      </w:pPr>
    </w:p>
    <w:p w14:paraId="254D55EF" w14:textId="77777777" w:rsidR="004E4EBE" w:rsidRPr="00F63778" w:rsidRDefault="004E4EBE" w:rsidP="004E4EBE">
      <w:pPr>
        <w:spacing w:after="160" w:line="276" w:lineRule="auto"/>
        <w:contextualSpacing/>
        <w:jc w:val="both"/>
        <w:rPr>
          <w:rFonts w:cs="Arial"/>
          <w:b/>
          <w:color w:val="00A0CB"/>
          <w:sz w:val="24"/>
          <w:lang w:val="nl-BE" w:eastAsia="en-US" w:bidi="ar-SA"/>
        </w:rPr>
      </w:pPr>
      <w:r w:rsidRPr="00F63778">
        <w:rPr>
          <w:rFonts w:cs="Arial"/>
          <w:b/>
          <w:color w:val="00A0CB"/>
          <w:sz w:val="24"/>
          <w:lang w:val="nl-BE" w:eastAsia="en-US" w:bidi="ar-SA"/>
        </w:rPr>
        <w:t>Kan de werknemer aanspraak maken op een vertrekvakantiegeld?</w:t>
      </w:r>
    </w:p>
    <w:p w14:paraId="22E66959" w14:textId="77777777" w:rsidR="004E4EBE" w:rsidRPr="00B16DA1" w:rsidRDefault="00B16DA1" w:rsidP="004E4EBE">
      <w:pPr>
        <w:spacing w:after="120" w:line="259" w:lineRule="auto"/>
        <w:jc w:val="both"/>
        <w:rPr>
          <w:rFonts w:eastAsia="Calibri" w:cs="Arial"/>
          <w:b/>
          <w:sz w:val="22"/>
          <w:szCs w:val="22"/>
          <w:u w:val="single"/>
        </w:rPr>
      </w:pPr>
      <w:r>
        <w:rPr>
          <w:sz w:val="22"/>
          <w:szCs w:val="22"/>
        </w:rPr>
        <w:t>W</w:t>
      </w:r>
      <w:r w:rsidR="004E4EBE" w:rsidRPr="00B16DA1">
        <w:rPr>
          <w:sz w:val="22"/>
          <w:szCs w:val="22"/>
        </w:rPr>
        <w:t>anneer de arbeidsovereenkomst van een bediende ten einde loopt, moet zijn werkgever hem het enkel en dubbel vakantiegeld betalen onder de vorm van vertrekvakantiegeld.</w:t>
      </w:r>
    </w:p>
    <w:p w14:paraId="7C6445A8" w14:textId="7D7AC5F4" w:rsidR="004E4EBE" w:rsidRPr="00B16DA1" w:rsidRDefault="004E4EBE" w:rsidP="004E4EBE">
      <w:pPr>
        <w:spacing w:after="160" w:line="259" w:lineRule="auto"/>
        <w:jc w:val="both"/>
        <w:rPr>
          <w:rFonts w:eastAsia="Calibri" w:cs="Arial"/>
          <w:sz w:val="22"/>
          <w:szCs w:val="22"/>
        </w:rPr>
      </w:pPr>
      <w:r w:rsidRPr="00B16DA1">
        <w:rPr>
          <w:sz w:val="22"/>
          <w:szCs w:val="22"/>
        </w:rPr>
        <w:t>Een overdracht die plaatsvindt in het kader van de collectieve overeenkomst nr. 32</w:t>
      </w:r>
      <w:r w:rsidRPr="00B16DA1">
        <w:rPr>
          <w:i/>
          <w:sz w:val="22"/>
          <w:szCs w:val="22"/>
        </w:rPr>
        <w:t>bis</w:t>
      </w:r>
      <w:r w:rsidRPr="00B16DA1">
        <w:rPr>
          <w:sz w:val="22"/>
          <w:szCs w:val="22"/>
        </w:rPr>
        <w:t xml:space="preserve"> brengt geen beëindiging van de arbeidsrelatie met zich mee. De vervreemder moet dus geen vertrekvakantiegeld betalen aan de overgedragen bedienden. Het is aan de verkrijger om aan de overgedragen bedienden het vertrekvakantiegeld te betalen dat verhoudingsgewijs berekend wordt volgens de verrichte prestaties van het vorige jaar. Hij betaalt het enkel vakantiegeld op het tijdstip waarop het loon normaal wordt betaald en het dubbel vakantiegeld op het ogenblik dat de hoofdzakelijke vakantie wordt genomen.</w:t>
      </w:r>
    </w:p>
    <w:p w14:paraId="2DD1456E" w14:textId="77777777" w:rsidR="004E4EBE" w:rsidRPr="00B16DA1" w:rsidRDefault="004E4EBE" w:rsidP="004E4EBE">
      <w:pPr>
        <w:spacing w:line="259" w:lineRule="auto"/>
        <w:jc w:val="both"/>
        <w:rPr>
          <w:rFonts w:eastAsia="Calibri" w:cs="Arial"/>
          <w:sz w:val="22"/>
          <w:szCs w:val="22"/>
        </w:rPr>
      </w:pPr>
      <w:r w:rsidRPr="00B16DA1">
        <w:rPr>
          <w:sz w:val="22"/>
          <w:szCs w:val="22"/>
        </w:rPr>
        <w:t>Dezelfde redenering kan worden gevolgd voor de betaling van de eindejaarspremie: de werknemer kan de betaling ervan, zelfs gedeeltelijk, niet eisen van de vervreemder. Bovendien is geen enkele verbrekingsvergoeding verschuldigd en moet geen C4 worden overhandigd.</w:t>
      </w:r>
    </w:p>
    <w:p w14:paraId="50614921" w14:textId="77777777" w:rsidR="004E4EBE" w:rsidRPr="00B16DA1" w:rsidRDefault="004E4EBE" w:rsidP="004E4EBE">
      <w:pPr>
        <w:jc w:val="both"/>
        <w:rPr>
          <w:rFonts w:eastAsia="Calibri" w:cs="Arial"/>
          <w:sz w:val="22"/>
          <w:szCs w:val="22"/>
        </w:rPr>
      </w:pPr>
    </w:p>
    <w:p w14:paraId="3F3F4B5C" w14:textId="77777777" w:rsidR="004E4EBE" w:rsidRPr="00F63778" w:rsidRDefault="004E4EBE" w:rsidP="004E4EBE">
      <w:pPr>
        <w:spacing w:after="160" w:line="259" w:lineRule="auto"/>
        <w:contextualSpacing/>
        <w:jc w:val="both"/>
        <w:rPr>
          <w:rFonts w:cs="Arial"/>
          <w:b/>
          <w:color w:val="00A0CB"/>
          <w:sz w:val="24"/>
          <w:lang w:val="nl-BE" w:eastAsia="en-US" w:bidi="ar-SA"/>
        </w:rPr>
      </w:pPr>
      <w:r w:rsidRPr="00F63778">
        <w:rPr>
          <w:rFonts w:cs="Arial"/>
          <w:b/>
          <w:color w:val="00A0CB"/>
          <w:sz w:val="24"/>
          <w:lang w:val="nl-BE" w:eastAsia="en-US" w:bidi="ar-SA"/>
        </w:rPr>
        <w:t>Wat indien de verkrijgende onderneming niet tot hetzelfde paritair comité als de overdragende onderneming behoort?</w:t>
      </w:r>
    </w:p>
    <w:p w14:paraId="7A3AD020" w14:textId="77777777" w:rsidR="004E4EBE" w:rsidRPr="00B16DA1" w:rsidRDefault="004E4EBE" w:rsidP="004E4EBE">
      <w:pPr>
        <w:spacing w:after="160"/>
        <w:jc w:val="both"/>
        <w:rPr>
          <w:rFonts w:eastAsia="Calibri" w:cs="Arial"/>
          <w:b/>
          <w:sz w:val="22"/>
          <w:szCs w:val="22"/>
          <w:u w:val="single"/>
        </w:rPr>
      </w:pPr>
      <w:r w:rsidRPr="00B16DA1">
        <w:rPr>
          <w:sz w:val="22"/>
          <w:szCs w:val="22"/>
        </w:rPr>
        <w:t xml:space="preserve">Dan moet de werkgever-verkrijger de gunstigste bepalingen toepassen van de collectieve overeenkomsten die van kracht zijn zowel in het paritair comité waaronder zijn onderneming ressorteert als in het paritair comité waaronder de overgegane onderneming ressorteerde. </w:t>
      </w:r>
    </w:p>
    <w:p w14:paraId="3D4F554F" w14:textId="77777777" w:rsidR="004E4EBE" w:rsidRPr="00B16DA1" w:rsidRDefault="004E4EBE" w:rsidP="004E4EBE">
      <w:pPr>
        <w:spacing w:line="259" w:lineRule="auto"/>
        <w:jc w:val="both"/>
        <w:rPr>
          <w:rFonts w:eastAsia="Calibri" w:cs="Arial"/>
          <w:sz w:val="22"/>
          <w:szCs w:val="22"/>
        </w:rPr>
      </w:pPr>
      <w:r w:rsidRPr="00B16DA1">
        <w:rPr>
          <w:sz w:val="22"/>
          <w:szCs w:val="22"/>
        </w:rPr>
        <w:t xml:space="preserve">Het Hof van Cassatie sluit niet uit dat de nieuwe werkgever arbeidsvoorwaarden moet toekennen op basis van de collectieve overeenkomst die in zijn onderneming geldt, ook al beoogt artikel 20 van de wet van 5 december 1968 enkel de bescherming van de werknemers in geval van overdracht en waarborgt het hen het behoud van de rechten waarin de collectieve arbeidsovereenkomst voorziet die de vroegere werkgever bond tot ze ophoudt uitwerking te hebben. </w:t>
      </w:r>
    </w:p>
    <w:p w14:paraId="278890F1" w14:textId="77777777" w:rsidR="004E4EBE" w:rsidRPr="00B16DA1" w:rsidRDefault="004E4EBE" w:rsidP="004E4EBE">
      <w:pPr>
        <w:spacing w:line="259" w:lineRule="auto"/>
        <w:jc w:val="both"/>
        <w:rPr>
          <w:rFonts w:eastAsia="Calibri" w:cs="Arial"/>
          <w:sz w:val="22"/>
          <w:szCs w:val="22"/>
        </w:rPr>
      </w:pPr>
    </w:p>
    <w:p w14:paraId="3D2D2DD7" w14:textId="77777777" w:rsidR="004E4EBE" w:rsidRPr="00F63778" w:rsidRDefault="004E4EBE" w:rsidP="004E4EBE">
      <w:pPr>
        <w:spacing w:after="160" w:line="276" w:lineRule="auto"/>
        <w:contextualSpacing/>
        <w:jc w:val="both"/>
        <w:rPr>
          <w:rFonts w:cs="Arial"/>
          <w:b/>
          <w:color w:val="00A0CB"/>
          <w:sz w:val="24"/>
          <w:lang w:val="nl-BE" w:eastAsia="en-US" w:bidi="ar-SA"/>
        </w:rPr>
      </w:pPr>
      <w:r w:rsidRPr="00F63778">
        <w:rPr>
          <w:rFonts w:cs="Arial"/>
          <w:b/>
          <w:color w:val="00A0CB"/>
          <w:sz w:val="24"/>
          <w:lang w:val="nl-BE" w:eastAsia="en-US" w:bidi="ar-SA"/>
        </w:rPr>
        <w:lastRenderedPageBreak/>
        <w:t>Moet de overdragende werkgever een Dimona-aangifte opstellen?</w:t>
      </w:r>
    </w:p>
    <w:p w14:paraId="0944651B" w14:textId="77777777" w:rsidR="004E4EBE" w:rsidRDefault="004E4EBE" w:rsidP="004E4EBE">
      <w:pPr>
        <w:keepNext/>
        <w:spacing w:line="259" w:lineRule="auto"/>
        <w:jc w:val="both"/>
        <w:rPr>
          <w:sz w:val="22"/>
          <w:szCs w:val="22"/>
        </w:rPr>
      </w:pPr>
      <w:r w:rsidRPr="00B16DA1">
        <w:rPr>
          <w:sz w:val="22"/>
          <w:szCs w:val="22"/>
        </w:rPr>
        <w:t xml:space="preserve">Deze werkgever stelt een </w:t>
      </w:r>
      <w:proofErr w:type="spellStart"/>
      <w:r w:rsidRPr="00B16DA1">
        <w:rPr>
          <w:sz w:val="22"/>
          <w:szCs w:val="22"/>
        </w:rPr>
        <w:t>D</w:t>
      </w:r>
      <w:r w:rsidR="00B16DA1">
        <w:rPr>
          <w:sz w:val="22"/>
          <w:szCs w:val="22"/>
        </w:rPr>
        <w:t>imona</w:t>
      </w:r>
      <w:proofErr w:type="spellEnd"/>
      <w:r w:rsidRPr="00B16DA1">
        <w:rPr>
          <w:sz w:val="22"/>
          <w:szCs w:val="22"/>
        </w:rPr>
        <w:t xml:space="preserve">-aangifte van uitdiensttreding op uiterlijk op de eerste werkdag volgend op de overdracht. De verkrijger van zijn kant maakt op de dag van de overdracht een </w:t>
      </w:r>
      <w:proofErr w:type="spellStart"/>
      <w:r w:rsidRPr="00B16DA1">
        <w:rPr>
          <w:sz w:val="22"/>
          <w:szCs w:val="22"/>
        </w:rPr>
        <w:t>D</w:t>
      </w:r>
      <w:r w:rsidR="00B16DA1">
        <w:rPr>
          <w:sz w:val="22"/>
          <w:szCs w:val="22"/>
        </w:rPr>
        <w:t>imona</w:t>
      </w:r>
      <w:proofErr w:type="spellEnd"/>
      <w:r w:rsidRPr="00B16DA1">
        <w:rPr>
          <w:sz w:val="22"/>
          <w:szCs w:val="22"/>
        </w:rPr>
        <w:t xml:space="preserve">-aangifte van indiensttreding op teneinde de wijziging van werkgever mee te delen aan de </w:t>
      </w:r>
      <w:proofErr w:type="spellStart"/>
      <w:r w:rsidRPr="00B16DA1">
        <w:rPr>
          <w:sz w:val="22"/>
          <w:szCs w:val="22"/>
        </w:rPr>
        <w:t>socialezekerheidsinstellingen</w:t>
      </w:r>
      <w:proofErr w:type="spellEnd"/>
      <w:r w:rsidRPr="00B16DA1">
        <w:rPr>
          <w:sz w:val="22"/>
          <w:szCs w:val="22"/>
        </w:rPr>
        <w:t>.</w:t>
      </w:r>
    </w:p>
    <w:p w14:paraId="2B2B3A7D" w14:textId="77777777" w:rsidR="00D41A25" w:rsidRDefault="00D41A25" w:rsidP="004E4EBE">
      <w:pPr>
        <w:keepNext/>
        <w:spacing w:line="259" w:lineRule="auto"/>
        <w:jc w:val="both"/>
        <w:rPr>
          <w:sz w:val="22"/>
          <w:szCs w:val="22"/>
        </w:rPr>
      </w:pPr>
    </w:p>
    <w:p w14:paraId="2A6DB471" w14:textId="77777777" w:rsidR="00D41A25" w:rsidRDefault="00D41A25" w:rsidP="00D41A25">
      <w:pPr>
        <w:jc w:val="both"/>
        <w:rPr>
          <w:rFonts w:cs="Arial"/>
          <w:color w:val="F6A500"/>
          <w:sz w:val="28"/>
          <w:szCs w:val="28"/>
        </w:rPr>
      </w:pPr>
    </w:p>
    <w:p w14:paraId="3725D9D1" w14:textId="77777777" w:rsidR="00D41A25" w:rsidRPr="00624A03" w:rsidRDefault="00D41A25" w:rsidP="00D41A25">
      <w:pPr>
        <w:jc w:val="both"/>
        <w:rPr>
          <w:rFonts w:cs="Arial"/>
          <w:color w:val="F6A500"/>
          <w:sz w:val="28"/>
          <w:szCs w:val="28"/>
        </w:rPr>
      </w:pPr>
      <w:r w:rsidRPr="00624A03">
        <w:rPr>
          <w:rFonts w:cs="Arial"/>
          <w:color w:val="F6A500"/>
          <w:sz w:val="28"/>
          <w:szCs w:val="28"/>
        </w:rPr>
        <w:t xml:space="preserve">Over </w:t>
      </w:r>
      <w:proofErr w:type="spellStart"/>
      <w:r w:rsidRPr="00624A03">
        <w:rPr>
          <w:rFonts w:cs="Arial"/>
          <w:color w:val="F6A500"/>
          <w:sz w:val="28"/>
          <w:szCs w:val="28"/>
        </w:rPr>
        <w:t>Partena</w:t>
      </w:r>
      <w:proofErr w:type="spellEnd"/>
      <w:r w:rsidRPr="00624A03">
        <w:rPr>
          <w:rFonts w:cs="Arial"/>
          <w:color w:val="F6A500"/>
          <w:sz w:val="28"/>
          <w:szCs w:val="28"/>
        </w:rPr>
        <w:t xml:space="preserve"> Professional</w:t>
      </w:r>
    </w:p>
    <w:p w14:paraId="4221EC29" w14:textId="77777777" w:rsidR="00D41A25" w:rsidRPr="00DA1955" w:rsidRDefault="00D41A25" w:rsidP="00D41A25">
      <w:pPr>
        <w:jc w:val="both"/>
        <w:rPr>
          <w:rFonts w:cs="Arial"/>
          <w:b/>
          <w:color w:val="404040" w:themeColor="text1" w:themeTint="BF"/>
          <w:sz w:val="24"/>
          <w:lang w:val="fr-FR"/>
        </w:rPr>
      </w:pPr>
      <w:r w:rsidRPr="00BD64B8">
        <w:rPr>
          <w:b/>
          <w:sz w:val="18"/>
          <w:szCs w:val="18"/>
        </w:rPr>
        <w:br/>
      </w:r>
      <w:proofErr w:type="spellStart"/>
      <w:r w:rsidRPr="00994357">
        <w:rPr>
          <w:szCs w:val="20"/>
        </w:rPr>
        <w:t>Partena</w:t>
      </w:r>
      <w:proofErr w:type="spellEnd"/>
      <w:r w:rsidRPr="00994357">
        <w:rPr>
          <w:szCs w:val="20"/>
        </w:rPr>
        <w:t xml:space="preserve"> Professional is een dienstverlener met een sterke focus op ondernemerschap en personeelsbeleid. </w:t>
      </w:r>
      <w:proofErr w:type="spellStart"/>
      <w:r w:rsidRPr="00994357">
        <w:rPr>
          <w:szCs w:val="20"/>
        </w:rPr>
        <w:t>Partena</w:t>
      </w:r>
      <w:proofErr w:type="spellEnd"/>
      <w:r w:rsidRPr="00994357">
        <w:rPr>
          <w:szCs w:val="20"/>
        </w:rPr>
        <w:t xml:space="preserve"> Professional ondersteunt en begeleidt starters, </w:t>
      </w:r>
      <w:proofErr w:type="spellStart"/>
      <w:r w:rsidRPr="00994357">
        <w:rPr>
          <w:szCs w:val="20"/>
        </w:rPr>
        <w:t>KMO’s</w:t>
      </w:r>
      <w:proofErr w:type="spellEnd"/>
      <w:r w:rsidRPr="00994357">
        <w:rPr>
          <w:szCs w:val="20"/>
        </w:rPr>
        <w:t xml:space="preserve"> en grote ondernemingen in hun administratieve processen en HR-beleid. Wij verlenen diensten in verband met de oprichting van een bedrijf, het sociaal statuut van zelfstandigen, het loon- en personeelsbeheer van werknemers en hun kinderbijslag, medische controle bij absenteïsme, opleidingen, juridisch advies en diverse types consultancy (HR, juridisch, …). Zowat 1.500 medewerkers bedienen ruim 200.000 bedrijven en zelfstandigen en realiseren een jaaromzet van 150 miljoen euro. Voor meer informatie, surf naar </w:t>
      </w:r>
      <w:hyperlink r:id="rId9" w:history="1">
        <w:r w:rsidRPr="00994357">
          <w:rPr>
            <w:rStyle w:val="Hyperlink"/>
            <w:szCs w:val="20"/>
          </w:rPr>
          <w:t>www.partena-professional.be</w:t>
        </w:r>
      </w:hyperlink>
      <w:r>
        <w:rPr>
          <w:rStyle w:val="Hyperlink"/>
          <w:szCs w:val="20"/>
        </w:rPr>
        <w:t>.</w:t>
      </w:r>
    </w:p>
    <w:p w14:paraId="346F914C" w14:textId="77777777" w:rsidR="00D41A25" w:rsidRPr="00B16DA1" w:rsidRDefault="00D41A25" w:rsidP="004E4EBE">
      <w:pPr>
        <w:keepNext/>
        <w:spacing w:line="259" w:lineRule="auto"/>
        <w:jc w:val="both"/>
        <w:rPr>
          <w:rFonts w:eastAsia="Calibri" w:cs="Arial"/>
          <w:sz w:val="22"/>
          <w:szCs w:val="22"/>
        </w:rPr>
      </w:pPr>
    </w:p>
    <w:p w14:paraId="1FE761AD" w14:textId="77777777" w:rsidR="004E4EBE" w:rsidRDefault="004E4EBE" w:rsidP="004E4EBE">
      <w:pPr>
        <w:jc w:val="both"/>
        <w:rPr>
          <w:rFonts w:cs="Arial"/>
          <w:snapToGrid w:val="0"/>
          <w:szCs w:val="20"/>
        </w:rPr>
      </w:pPr>
    </w:p>
    <w:p w14:paraId="0A9AEB6A" w14:textId="77777777" w:rsidR="00B16DA1" w:rsidRDefault="00B16DA1" w:rsidP="004E4EBE">
      <w:pPr>
        <w:jc w:val="both"/>
        <w:rPr>
          <w:rFonts w:cs="Arial"/>
          <w:snapToGrid w:val="0"/>
          <w:szCs w:val="20"/>
        </w:rPr>
      </w:pPr>
    </w:p>
    <w:p w14:paraId="7445F282" w14:textId="77777777" w:rsidR="00B16DA1" w:rsidRPr="00F61DAA" w:rsidRDefault="00B16DA1" w:rsidP="004E4EBE">
      <w:pPr>
        <w:jc w:val="both"/>
        <w:rPr>
          <w:rFonts w:cs="Arial"/>
          <w:snapToGrid w:val="0"/>
          <w:szCs w:val="20"/>
        </w:rPr>
      </w:pPr>
    </w:p>
    <w:sectPr w:rsidR="00B16DA1" w:rsidRPr="00F61DAA" w:rsidSect="00265553">
      <w:headerReference w:type="default" r:id="rId10"/>
      <w:footerReference w:type="default" r:id="rId11"/>
      <w:pgSz w:w="11907" w:h="16840" w:code="9"/>
      <w:pgMar w:top="1418" w:right="1134" w:bottom="1134" w:left="1418" w:header="680" w:footer="567"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4AE509" w14:textId="77777777" w:rsidR="00265553" w:rsidRDefault="00265553">
      <w:r>
        <w:separator/>
      </w:r>
    </w:p>
  </w:endnote>
  <w:endnote w:type="continuationSeparator" w:id="0">
    <w:p w14:paraId="7840AAAA" w14:textId="77777777" w:rsidR="00265553" w:rsidRDefault="00265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D9248" w14:textId="52AC216E" w:rsidR="00265553" w:rsidRPr="00CB07BB" w:rsidRDefault="00265553">
    <w:pPr>
      <w:pStyle w:val="Footer"/>
      <w:rPr>
        <w:rFonts w:ascii="Arial" w:hAnsi="Arial" w:cs="Arial"/>
        <w:sz w:val="16"/>
      </w:rPr>
    </w:pPr>
    <w:r>
      <w:rPr>
        <w:noProof/>
        <w:lang w:val="en-US" w:eastAsia="en-US" w:bidi="ar-SA"/>
      </w:rPr>
      <mc:AlternateContent>
        <mc:Choice Requires="wps">
          <w:drawing>
            <wp:anchor distT="4294967293" distB="4294967293" distL="114300" distR="114300" simplePos="0" relativeHeight="251660288" behindDoc="0" locked="0" layoutInCell="1" allowOverlap="1" wp14:anchorId="1D6E89B7" wp14:editId="34A5E662">
              <wp:simplePos x="0" y="0"/>
              <wp:positionH relativeFrom="column">
                <wp:posOffset>-36195</wp:posOffset>
              </wp:positionH>
              <wp:positionV relativeFrom="paragraph">
                <wp:posOffset>-45720</wp:posOffset>
              </wp:positionV>
              <wp:extent cx="6132195" cy="0"/>
              <wp:effectExtent l="6985" t="7620" r="13970" b="11430"/>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2195" cy="0"/>
                      </a:xfrm>
                      <a:prstGeom prst="line">
                        <a:avLst/>
                      </a:prstGeom>
                      <a:noFill/>
                      <a:ln w="9525">
                        <a:solidFill>
                          <a:srgbClr val="F6A5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C43180C" id="Line 11"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85pt,-3.6pt" to="480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" strokecolor="#f6a500"/>
          </w:pict>
        </mc:Fallback>
      </mc:AlternateContent>
    </w:r>
    <w:r>
      <w:rPr>
        <w:noProof/>
        <w:lang w:val="en-US" w:eastAsia="en-US" w:bidi="ar-SA"/>
      </w:rPr>
      <mc:AlternateContent>
        <mc:Choice Requires="wps">
          <w:drawing>
            <wp:anchor distT="0" distB="0" distL="114300" distR="114300" simplePos="0" relativeHeight="251659264" behindDoc="0" locked="0" layoutInCell="1" allowOverlap="1" wp14:anchorId="5B83FA38" wp14:editId="71230E28">
              <wp:simplePos x="0" y="0"/>
              <wp:positionH relativeFrom="column">
                <wp:posOffset>5842000</wp:posOffset>
              </wp:positionH>
              <wp:positionV relativeFrom="paragraph">
                <wp:posOffset>-55245</wp:posOffset>
              </wp:positionV>
              <wp:extent cx="571500" cy="2286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3103C" w14:textId="77777777" w:rsidR="00265553" w:rsidRDefault="00265553">
                          <w:r w:rsidRPr="00513D1D">
                            <w:rPr>
                              <w:rStyle w:val="PageNumber"/>
                              <w:rFonts w:cs="Arial"/>
                              <w:sz w:val="16"/>
                            </w:rPr>
                            <w:fldChar w:fldCharType="begin"/>
                          </w:r>
                          <w:r w:rsidRPr="00513D1D">
                            <w:rPr>
                              <w:rStyle w:val="PageNumber"/>
                              <w:rFonts w:cs="Arial"/>
                              <w:sz w:val="16"/>
                            </w:rPr>
                            <w:instrText xml:space="preserve"> PAGE </w:instrText>
                          </w:r>
                          <w:r w:rsidRPr="00513D1D">
                            <w:rPr>
                              <w:rStyle w:val="PageNumber"/>
                              <w:rFonts w:cs="Arial"/>
                              <w:sz w:val="16"/>
                            </w:rPr>
                            <w:fldChar w:fldCharType="separate"/>
                          </w:r>
                          <w:r w:rsidR="00144C27">
                            <w:rPr>
                              <w:rStyle w:val="PageNumber"/>
                              <w:rFonts w:cs="Arial"/>
                              <w:noProof/>
                              <w:sz w:val="16"/>
                            </w:rPr>
                            <w:t>3</w:t>
                          </w:r>
                          <w:r w:rsidRPr="00513D1D">
                            <w:rPr>
                              <w:rStyle w:val="PageNumber"/>
                              <w:rFonts w:cs="Arial"/>
                              <w:sz w:val="16"/>
                            </w:rPr>
                            <w:fldChar w:fldCharType="end"/>
                          </w:r>
                          <w:r>
                            <w:rPr>
                              <w:rStyle w:val="PageNumber"/>
                              <w:sz w:val="16"/>
                            </w:rPr>
                            <w:t>/</w:t>
                          </w:r>
                          <w:r w:rsidRPr="00513D1D">
                            <w:rPr>
                              <w:rStyle w:val="PageNumber"/>
                              <w:rFonts w:cs="Arial"/>
                              <w:sz w:val="16"/>
                            </w:rPr>
                            <w:fldChar w:fldCharType="begin"/>
                          </w:r>
                          <w:r w:rsidRPr="00513D1D">
                            <w:rPr>
                              <w:rStyle w:val="PageNumber"/>
                              <w:rFonts w:cs="Arial"/>
                              <w:sz w:val="16"/>
                            </w:rPr>
                            <w:instrText xml:space="preserve"> NUMPAGES </w:instrText>
                          </w:r>
                          <w:r w:rsidRPr="00513D1D">
                            <w:rPr>
                              <w:rStyle w:val="PageNumber"/>
                              <w:rFonts w:cs="Arial"/>
                              <w:sz w:val="16"/>
                            </w:rPr>
                            <w:fldChar w:fldCharType="separate"/>
                          </w:r>
                          <w:r w:rsidR="00144C27">
                            <w:rPr>
                              <w:rStyle w:val="PageNumber"/>
                              <w:rFonts w:cs="Arial"/>
                              <w:noProof/>
                              <w:sz w:val="16"/>
                            </w:rPr>
                            <w:t>3</w:t>
                          </w:r>
                          <w:r w:rsidRPr="00513D1D">
                            <w:rPr>
                              <w:rStyle w:val="PageNumber"/>
                              <w:rFonts w:cs="Arial"/>
                              <w:sz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5" o:spid="_x0000_s1026" type="#_x0000_t202" style="position:absolute;margin-left:460pt;margin-top:-4.3pt;width:4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" filled="f" stroked="f">
              <v:textbox>
                <w:txbxContent>
                  <w:p w14:paraId="68E3103C" w14:textId="77777777" w:rsidR="00265553" w:rsidRDefault="00265553">
                    <w:r w:rsidRPr="00513D1D">
                      <w:rPr>
                        <w:rStyle w:val="PageNumber"/>
                        <w:rFonts w:cs="Arial"/>
                        <w:sz w:val="16"/>
                      </w:rPr>
                      <w:fldChar w:fldCharType="begin"/>
                    </w:r>
                    <w:r w:rsidRPr="00513D1D">
                      <w:rPr>
                        <w:rStyle w:val="PageNumber"/>
                        <w:rFonts w:cs="Arial"/>
                        <w:sz w:val="16"/>
                      </w:rPr>
                      <w:instrText xml:space="preserve"> PAGE </w:instrText>
                    </w:r>
                    <w:r w:rsidRPr="00513D1D">
                      <w:rPr>
                        <w:rStyle w:val="PageNumber"/>
                        <w:rFonts w:cs="Arial"/>
                        <w:sz w:val="16"/>
                      </w:rPr>
                      <w:fldChar w:fldCharType="separate"/>
                    </w:r>
                    <w:r w:rsidR="00144C27">
                      <w:rPr>
                        <w:rStyle w:val="PageNumber"/>
                        <w:rFonts w:cs="Arial"/>
                        <w:noProof/>
                        <w:sz w:val="16"/>
                      </w:rPr>
                      <w:t>3</w:t>
                    </w:r>
                    <w:r w:rsidRPr="00513D1D">
                      <w:rPr>
                        <w:rStyle w:val="PageNumber"/>
                        <w:rFonts w:cs="Arial"/>
                        <w:sz w:val="16"/>
                      </w:rPr>
                      <w:fldChar w:fldCharType="end"/>
                    </w:r>
                    <w:r>
                      <w:rPr>
                        <w:rStyle w:val="PageNumber"/>
                        <w:sz w:val="16"/>
                      </w:rPr>
                      <w:t>/</w:t>
                    </w:r>
                    <w:r w:rsidRPr="00513D1D">
                      <w:rPr>
                        <w:rStyle w:val="PageNumber"/>
                        <w:rFonts w:cs="Arial"/>
                        <w:sz w:val="16"/>
                      </w:rPr>
                      <w:fldChar w:fldCharType="begin"/>
                    </w:r>
                    <w:r w:rsidRPr="00513D1D">
                      <w:rPr>
                        <w:rStyle w:val="PageNumber"/>
                        <w:rFonts w:cs="Arial"/>
                        <w:sz w:val="16"/>
                      </w:rPr>
                      <w:instrText xml:space="preserve"> NUMPAGES </w:instrText>
                    </w:r>
                    <w:r w:rsidRPr="00513D1D">
                      <w:rPr>
                        <w:rStyle w:val="PageNumber"/>
                        <w:rFonts w:cs="Arial"/>
                        <w:sz w:val="16"/>
                      </w:rPr>
                      <w:fldChar w:fldCharType="separate"/>
                    </w:r>
                    <w:r w:rsidR="00144C27">
                      <w:rPr>
                        <w:rStyle w:val="PageNumber"/>
                        <w:rFonts w:cs="Arial"/>
                        <w:noProof/>
                        <w:sz w:val="16"/>
                      </w:rPr>
                      <w:t>3</w:t>
                    </w:r>
                    <w:r w:rsidRPr="00513D1D">
                      <w:rPr>
                        <w:rStyle w:val="PageNumber"/>
                        <w:rFonts w:cs="Arial"/>
                        <w:sz w:val="16"/>
                      </w:rPr>
                      <w:fldChar w:fldCharType="end"/>
                    </w:r>
                  </w:p>
                </w:txbxContent>
              </v:textbox>
            </v:shape>
          </w:pict>
        </mc:Fallback>
      </mc:AlternateContent>
    </w:r>
    <w:r>
      <w:rPr>
        <w:rFonts w:ascii="Arial" w:hAnsi="Arial"/>
        <w:sz w:val="16"/>
      </w:rPr>
      <w:t>September 2016</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6E8298" w14:textId="77777777" w:rsidR="00265553" w:rsidRDefault="00265553">
      <w:r>
        <w:separator/>
      </w:r>
    </w:p>
  </w:footnote>
  <w:footnote w:type="continuationSeparator" w:id="0">
    <w:p w14:paraId="6FA80285" w14:textId="77777777" w:rsidR="00265553" w:rsidRDefault="0026555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96F076" w14:textId="77777777" w:rsidR="00265553" w:rsidRDefault="00265553" w:rsidP="00265553">
    <w:pPr>
      <w:pStyle w:val="Header"/>
      <w:jc w:val="center"/>
    </w:pPr>
    <w:r>
      <w:rPr>
        <w:noProof/>
        <w:lang w:val="en-US" w:eastAsia="en-US" w:bidi="ar-SA"/>
      </w:rPr>
      <w:drawing>
        <wp:inline distT="0" distB="0" distL="0" distR="0" wp14:anchorId="6843EF82" wp14:editId="11484AE9">
          <wp:extent cx="1872000" cy="695314"/>
          <wp:effectExtent l="19050" t="0" r="0" b="0"/>
          <wp:docPr id="1" name="Picture 1" descr="\\ss-bxl-s-003\groupdir\G-SS-Marketing\COMMUNICATION\CORPORATE\Branding\LOGOS\PNG\Logo_Professio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bxl-s-003\groupdir\G-SS-Marketing\COMMUNICATION\CORPORATE\Branding\LOGOS\PNG\Logo_Professional.png"/>
                  <pic:cNvPicPr>
                    <a:picLocks noChangeAspect="1" noChangeArrowheads="1"/>
                  </pic:cNvPicPr>
                </pic:nvPicPr>
                <pic:blipFill>
                  <a:blip r:embed="rId1"/>
                  <a:srcRect/>
                  <a:stretch>
                    <a:fillRect/>
                  </a:stretch>
                </pic:blipFill>
                <pic:spPr bwMode="auto">
                  <a:xfrm>
                    <a:off x="0" y="0"/>
                    <a:ext cx="1872000" cy="695314"/>
                  </a:xfrm>
                  <a:prstGeom prst="rect">
                    <a:avLst/>
                  </a:prstGeom>
                  <a:noFill/>
                  <a:ln w="9525">
                    <a:noFill/>
                    <a:miter lim="800000"/>
                    <a:headEnd/>
                    <a:tailEnd/>
                  </a:ln>
                </pic:spPr>
              </pic:pic>
            </a:graphicData>
          </a:graphic>
        </wp:inline>
      </w:drawing>
    </w:r>
  </w:p>
  <w:p w14:paraId="1293AD8C" w14:textId="77777777" w:rsidR="00265553" w:rsidRDefault="00265553" w:rsidP="00265553">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183AF5"/>
    <w:multiLevelType w:val="hybridMultilevel"/>
    <w:tmpl w:val="0188FFF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74CA419A"/>
    <w:multiLevelType w:val="hybridMultilevel"/>
    <w:tmpl w:val="EA08FD4A"/>
    <w:lvl w:ilvl="0" w:tplc="0813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uline Pierart">
    <w15:presenceInfo w15:providerId="None" w15:userId="Pauline Piera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EBE"/>
    <w:rsid w:val="00144C27"/>
    <w:rsid w:val="00265553"/>
    <w:rsid w:val="002E22AB"/>
    <w:rsid w:val="004417EB"/>
    <w:rsid w:val="004E4EBE"/>
    <w:rsid w:val="005E5107"/>
    <w:rsid w:val="00B16DA1"/>
    <w:rsid w:val="00C91453"/>
    <w:rsid w:val="00D41A25"/>
    <w:rsid w:val="00EA1032"/>
    <w:rsid w:val="00F07574"/>
    <w:rsid w:val="00F42E65"/>
    <w:rsid w:val="00F63778"/>
    <w:rsid w:val="00F72B5C"/>
    <w:rsid w:val="00F857F1"/>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A29B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nl-NL" w:bidi="nl-N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EBE"/>
    <w:pPr>
      <w:spacing w:after="0" w:line="240" w:lineRule="auto"/>
    </w:pPr>
    <w:rPr>
      <w:rFonts w:ascii="Arial" w:eastAsia="Times New Roman" w:hAnsi="Arial"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E4EBE"/>
    <w:pPr>
      <w:tabs>
        <w:tab w:val="center" w:pos="4320"/>
        <w:tab w:val="right" w:pos="8640"/>
      </w:tabs>
    </w:pPr>
    <w:rPr>
      <w:rFonts w:ascii="Verdana" w:hAnsi="Verdana"/>
    </w:rPr>
  </w:style>
  <w:style w:type="character" w:customStyle="1" w:styleId="HeaderChar">
    <w:name w:val="Header Char"/>
    <w:basedOn w:val="DefaultParagraphFont"/>
    <w:link w:val="Header"/>
    <w:rsid w:val="004E4EBE"/>
    <w:rPr>
      <w:rFonts w:ascii="Verdana" w:eastAsia="Times New Roman" w:hAnsi="Verdana" w:cs="Times New Roman"/>
      <w:sz w:val="20"/>
      <w:szCs w:val="24"/>
      <w:lang w:val="nl-NL"/>
    </w:rPr>
  </w:style>
  <w:style w:type="paragraph" w:styleId="Footer">
    <w:name w:val="footer"/>
    <w:basedOn w:val="Normal"/>
    <w:link w:val="FooterChar"/>
    <w:uiPriority w:val="99"/>
    <w:rsid w:val="004E4EBE"/>
    <w:pPr>
      <w:tabs>
        <w:tab w:val="center" w:pos="4320"/>
        <w:tab w:val="right" w:pos="8640"/>
      </w:tabs>
    </w:pPr>
    <w:rPr>
      <w:rFonts w:ascii="Verdana" w:hAnsi="Verdana"/>
    </w:rPr>
  </w:style>
  <w:style w:type="character" w:customStyle="1" w:styleId="FooterChar">
    <w:name w:val="Footer Char"/>
    <w:basedOn w:val="DefaultParagraphFont"/>
    <w:link w:val="Footer"/>
    <w:uiPriority w:val="99"/>
    <w:rsid w:val="004E4EBE"/>
    <w:rPr>
      <w:rFonts w:ascii="Verdana" w:eastAsia="Times New Roman" w:hAnsi="Verdana" w:cs="Times New Roman"/>
      <w:sz w:val="20"/>
      <w:szCs w:val="24"/>
      <w:lang w:val="nl-NL"/>
    </w:rPr>
  </w:style>
  <w:style w:type="character" w:styleId="PageNumber">
    <w:name w:val="page number"/>
    <w:basedOn w:val="DefaultParagraphFont"/>
    <w:rsid w:val="004E4EBE"/>
  </w:style>
  <w:style w:type="table" w:styleId="TableGrid">
    <w:name w:val="Table Grid"/>
    <w:basedOn w:val="TableNormal"/>
    <w:rsid w:val="004E4EBE"/>
    <w:pPr>
      <w:spacing w:after="0" w:line="280" w:lineRule="atLeas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4E4EBE"/>
    <w:rPr>
      <w:color w:val="0000FF"/>
      <w:u w:val="single"/>
    </w:rPr>
  </w:style>
  <w:style w:type="paragraph" w:styleId="ListParagraph">
    <w:name w:val="List Paragraph"/>
    <w:basedOn w:val="Normal"/>
    <w:uiPriority w:val="34"/>
    <w:qFormat/>
    <w:rsid w:val="004E4EBE"/>
    <w:pPr>
      <w:spacing w:after="160" w:line="259"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F857F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57F1"/>
    <w:rPr>
      <w:rFonts w:ascii="Lucida Grande" w:eastAsia="Times New Roman"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nl-NL" w:bidi="nl-N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EBE"/>
    <w:pPr>
      <w:spacing w:after="0" w:line="240" w:lineRule="auto"/>
    </w:pPr>
    <w:rPr>
      <w:rFonts w:ascii="Arial" w:eastAsia="Times New Roman" w:hAnsi="Arial"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E4EBE"/>
    <w:pPr>
      <w:tabs>
        <w:tab w:val="center" w:pos="4320"/>
        <w:tab w:val="right" w:pos="8640"/>
      </w:tabs>
    </w:pPr>
    <w:rPr>
      <w:rFonts w:ascii="Verdana" w:hAnsi="Verdana"/>
    </w:rPr>
  </w:style>
  <w:style w:type="character" w:customStyle="1" w:styleId="HeaderChar">
    <w:name w:val="Header Char"/>
    <w:basedOn w:val="DefaultParagraphFont"/>
    <w:link w:val="Header"/>
    <w:rsid w:val="004E4EBE"/>
    <w:rPr>
      <w:rFonts w:ascii="Verdana" w:eastAsia="Times New Roman" w:hAnsi="Verdana" w:cs="Times New Roman"/>
      <w:sz w:val="20"/>
      <w:szCs w:val="24"/>
      <w:lang w:val="nl-NL"/>
    </w:rPr>
  </w:style>
  <w:style w:type="paragraph" w:styleId="Footer">
    <w:name w:val="footer"/>
    <w:basedOn w:val="Normal"/>
    <w:link w:val="FooterChar"/>
    <w:uiPriority w:val="99"/>
    <w:rsid w:val="004E4EBE"/>
    <w:pPr>
      <w:tabs>
        <w:tab w:val="center" w:pos="4320"/>
        <w:tab w:val="right" w:pos="8640"/>
      </w:tabs>
    </w:pPr>
    <w:rPr>
      <w:rFonts w:ascii="Verdana" w:hAnsi="Verdana"/>
    </w:rPr>
  </w:style>
  <w:style w:type="character" w:customStyle="1" w:styleId="FooterChar">
    <w:name w:val="Footer Char"/>
    <w:basedOn w:val="DefaultParagraphFont"/>
    <w:link w:val="Footer"/>
    <w:uiPriority w:val="99"/>
    <w:rsid w:val="004E4EBE"/>
    <w:rPr>
      <w:rFonts w:ascii="Verdana" w:eastAsia="Times New Roman" w:hAnsi="Verdana" w:cs="Times New Roman"/>
      <w:sz w:val="20"/>
      <w:szCs w:val="24"/>
      <w:lang w:val="nl-NL"/>
    </w:rPr>
  </w:style>
  <w:style w:type="character" w:styleId="PageNumber">
    <w:name w:val="page number"/>
    <w:basedOn w:val="DefaultParagraphFont"/>
    <w:rsid w:val="004E4EBE"/>
  </w:style>
  <w:style w:type="table" w:styleId="TableGrid">
    <w:name w:val="Table Grid"/>
    <w:basedOn w:val="TableNormal"/>
    <w:rsid w:val="004E4EBE"/>
    <w:pPr>
      <w:spacing w:after="0" w:line="280" w:lineRule="atLeas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4E4EBE"/>
    <w:rPr>
      <w:color w:val="0000FF"/>
      <w:u w:val="single"/>
    </w:rPr>
  </w:style>
  <w:style w:type="paragraph" w:styleId="ListParagraph">
    <w:name w:val="List Paragraph"/>
    <w:basedOn w:val="Normal"/>
    <w:uiPriority w:val="34"/>
    <w:qFormat/>
    <w:rsid w:val="004E4EBE"/>
    <w:pPr>
      <w:spacing w:after="160" w:line="259"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F857F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57F1"/>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4"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www.partena-professional.be"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977</Words>
  <Characters>5571</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PBC</Company>
  <LinksUpToDate>false</LinksUpToDate>
  <CharactersWithSpaces>6535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Pierart</dc:creator>
  <cp:keywords/>
  <dc:description/>
  <cp:lastModifiedBy>Sophie Boving</cp:lastModifiedBy>
  <cp:revision>3</cp:revision>
  <dcterms:created xsi:type="dcterms:W3CDTF">2016-09-12T12:39:00Z</dcterms:created>
  <dcterms:modified xsi:type="dcterms:W3CDTF">2016-09-12T12:54:00Z</dcterms:modified>
</cp:coreProperties>
</file>