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551D04BC" w:rsidR="001B22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BD5F43" w:rsidRPr="00BD5F43">
        <w:rPr>
          <w:rFonts w:asciiTheme="minorHAnsi" w:hAnsiTheme="minorHAnsi" w:cstheme="minorHAnsi"/>
          <w:b/>
          <w:bCs/>
          <w:szCs w:val="19"/>
          <w:lang w:val="fr-FR"/>
        </w:rPr>
        <w:t xml:space="preserve">le </w:t>
      </w:r>
      <w:r w:rsidR="00BD5F43">
        <w:rPr>
          <w:rFonts w:asciiTheme="minorHAnsi" w:hAnsiTheme="minorHAnsi" w:cstheme="minorHAnsi"/>
          <w:b/>
          <w:bCs/>
          <w:szCs w:val="19"/>
          <w:lang w:val="fr-FR"/>
        </w:rPr>
        <w:t>9</w:t>
      </w:r>
      <w:r w:rsidR="00BD5F43" w:rsidRPr="00BD5F43">
        <w:rPr>
          <w:rFonts w:asciiTheme="minorHAnsi" w:hAnsiTheme="minorHAnsi" w:cstheme="minorHAnsi"/>
          <w:b/>
          <w:bCs/>
          <w:szCs w:val="19"/>
          <w:lang w:val="fr-FR"/>
        </w:rPr>
        <w:t xml:space="preserve"> septembre 2024</w:t>
      </w:r>
    </w:p>
    <w:p w14:paraId="3E2E9CAE" w14:textId="77777777" w:rsidR="00606729" w:rsidRDefault="00606729" w:rsidP="001B2225">
      <w:pPr>
        <w:spacing w:line="271" w:lineRule="auto"/>
        <w:rPr>
          <w:rFonts w:asciiTheme="minorHAnsi" w:hAnsiTheme="minorHAnsi" w:cstheme="minorHAnsi"/>
          <w:b/>
          <w:bCs/>
          <w:sz w:val="20"/>
          <w:szCs w:val="20"/>
          <w:lang w:val="fr-FR"/>
        </w:rPr>
      </w:pPr>
    </w:p>
    <w:p w14:paraId="0B5A515D"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cs="Arial"/>
          <w:b/>
          <w:bCs/>
          <w:sz w:val="20"/>
          <w:szCs w:val="20"/>
          <w:lang w:val="fr-FR" w:bidi="fr-FR"/>
        </w:rPr>
        <w:t xml:space="preserve">Avec smartGRAVURE, l’héliogravure entre dans l’ère du numérique </w:t>
      </w:r>
    </w:p>
    <w:p w14:paraId="22F0039A"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 xml:space="preserve">Parfois, l’innovation apporte des avantages progressifs. Et d’autres fois, cela peut être un grand bond en avant. </w:t>
      </w:r>
    </w:p>
    <w:p w14:paraId="6CC6E1DE"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Avec smartGRAVURE, BOBST a fait un bond en avant révolutionnaire dans le domaine de l’héliogravure. smartGRAVURE révolutionne totalement le processus d’héliogravure, passant d’une opération hautement manuelle à un flux de travail entièrement numérisé.</w:t>
      </w:r>
    </w:p>
    <w:p w14:paraId="24D3E0F6"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Les avantages et inconvénients traditionnels de l’héliogravure sont bien connus. Bien qu’elle permette une impression de haute qualité et une production à grande vitesse avec une excellente régularité, la configuration est rapide et coûteuse, ce qui entraîne des délais de production plus longs et rend les petits tirages non viables. En outre, l’héliogravure pose traditionnellement certains défis liés à l’ajustement manuel fastidieux des couleurs par rapport à d’autres méthodes d’impression telles que l’offset ou l’impression numérique, et l’utilisation d’encres à base de solvants pose également certains problèmes en termes de durabilité.</w:t>
      </w:r>
    </w:p>
    <w:p w14:paraId="6F69F2A3"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 xml:space="preserve">smartGRAVURE change tout cela. </w:t>
      </w:r>
    </w:p>
    <w:p w14:paraId="4E8E5D09"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BOBST a développé smartGRAVURE pour sa plateforme de machines d’héliogravure MASTER RS 6003. smartGRAVURE propose un processus numérisé de bout en bout, qui permet aux imprimeurs de respecter et de dépasser facilement les normes industrielles les plus strictes. Il élimine le temps de configuration et les réglages nécessaires à l’héliogravure, qui nécessitent des compétences d’opérateur de haut niveau. Grâce à la configuration hors ligne et à la sélection automatique des données de processus optimales pour chaque nouvelle tâche, la machine libère du temps de presse et se désengage du niveau de compétences de l’opérateur.</w:t>
      </w:r>
    </w:p>
    <w:p w14:paraId="46940BFE"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Ainsi, les paramètres optimaux pour chaque travail d’impression sont automatiquement déterminés par smartGRAVURE sur simple pression d’un bouton, tandis que le système garantit en permanence que les machines d’héliogravure fonctionnent avec des paramètres de production optimaux pendant le processus d’impression. Par rapport au processus de configuration manuelle précédent, le temps requis est minimisé, les erreurs de saisie sont réduites et le gaspillage lors de la configuration diminue considérablement.</w:t>
      </w:r>
    </w:p>
    <w:p w14:paraId="389CF46D"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 xml:space="preserve">Grâce à l’impression ECG, aux commandes et à la configuration numérisés ainsi qu’à la connectivité BOBST Connect, smartGRAVURE augmente la productivité et la régularité des résultats, réduit les temps d’arrêt et la complexité, tout en offrant des avantages considérables en matière de durabilité. </w:t>
      </w:r>
    </w:p>
    <w:p w14:paraId="7859DBAD"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cs="Arial"/>
          <w:b/>
          <w:bCs/>
          <w:sz w:val="20"/>
          <w:szCs w:val="20"/>
          <w:lang w:val="fr-FR" w:bidi="fr-FR"/>
        </w:rPr>
        <w:t>Un jeu d’enfants : oneSET, onePRINT, oneECG</w:t>
      </w:r>
    </w:p>
    <w:p w14:paraId="2A4D7323"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 xml:space="preserve">smartGRAVURE est modulable. Le système complet comprend trois composants : oneSET, onePRINT et oneECG (Extended Color Gamut), chacun offrant divers avantages et révolutionnant collectivement le processus d’héliogravure. </w:t>
      </w:r>
    </w:p>
    <w:p w14:paraId="7846BFC8"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cs="Arial"/>
          <w:b/>
          <w:bCs/>
          <w:sz w:val="20"/>
          <w:szCs w:val="20"/>
          <w:lang w:val="fr-FR" w:bidi="fr-FR"/>
        </w:rPr>
        <w:lastRenderedPageBreak/>
        <w:t xml:space="preserve">oneSET </w:t>
      </w:r>
      <w:r w:rsidRPr="007D0208">
        <w:rPr>
          <w:rFonts w:eastAsia="Arial" w:cs="Arial"/>
          <w:sz w:val="20"/>
          <w:szCs w:val="20"/>
          <w:lang w:val="fr-FR" w:bidi="fr-FR"/>
        </w:rPr>
        <w:t xml:space="preserve">fait partie de la fonction de gestion des recettes BOBST Connect. Il est 100 % automatisé, pour une configuration rapide et précise de la machine. Après avoir entré les données de commande du client sous forme de fichiers PDF, le système propose lui-même les paramètres de la machine les plus adaptés et les plus efficaces. Et surtout, cette étape n’a plus besoin d’être réalisée sur les machines d’impression mais peut être déplacée au stade prépresse. Un clic suffit pour transférer les recettes créées hors ligne vers la file d’attente d’impression des machines. </w:t>
      </w:r>
    </w:p>
    <w:p w14:paraId="4D385317"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cs="Arial"/>
          <w:b/>
          <w:bCs/>
          <w:sz w:val="20"/>
          <w:szCs w:val="20"/>
          <w:lang w:val="fr-FR" w:bidi="fr-FR"/>
        </w:rPr>
        <w:t xml:space="preserve">onePRINT </w:t>
      </w:r>
      <w:r w:rsidRPr="007D0208">
        <w:rPr>
          <w:rFonts w:eastAsia="Arial" w:cs="Arial"/>
          <w:sz w:val="20"/>
          <w:szCs w:val="20"/>
          <w:lang w:val="fr-FR" w:bidi="fr-FR"/>
        </w:rPr>
        <w:t>est un nouveau système d’encrage innovant avec mesure et ajustement des couleurs en ligne et entièrement automatisés, pour soulager considérablement les opérateurs de machines. La surveillance continue et l’ajustement des couleurs primaires sont basés sur des mesures effectuées avec un spectrophotomètre en ligne. Cela réunit des informations pour le contrôle des couleurs onePRINT qui, combiné à oneECG, garantit une stabilité fiable des couleurs de la première à la dernière impression.</w:t>
      </w:r>
    </w:p>
    <w:p w14:paraId="04D887E1"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Le nouveau système limite la quantité d’encre dans le circuit de couleurs au minimum nécessaire, réduisant de ce fait la quantité d’encre dans la machine de plus de 50 % par rapport aux solutions d’héliogravure conventionnelles ainsi que le gaspillage d’encre.</w:t>
      </w:r>
    </w:p>
    <w:p w14:paraId="01E17325"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cs="Arial"/>
          <w:b/>
          <w:bCs/>
          <w:sz w:val="20"/>
          <w:szCs w:val="20"/>
          <w:lang w:val="fr-FR" w:bidi="fr-FR"/>
        </w:rPr>
        <w:t>oneECG</w:t>
      </w:r>
      <w:r w:rsidRPr="007D0208">
        <w:rPr>
          <w:rFonts w:eastAsia="Arial" w:cs="Arial"/>
          <w:sz w:val="20"/>
          <w:szCs w:val="20"/>
          <w:lang w:val="fr-FR" w:bidi="fr-FR"/>
        </w:rPr>
        <w:t xml:space="preserve"> est la technologie de BOBST pour l’impression à palette fixe, désormais disponible pour l’héliogravure, et un élément essentiel de la numérisation de ce processus d’impression. oneECG fonctionne avec un ensemble fixe comprenant jusqu’à sept encres d’impression, de sorte que les imprimeurs hélio n’ont qu’à modifier les cylindres d’impression lors des changements de tâches, tandis que les encres restent dans les machines d’impression. Cela réduit ainsi le gaspillage d’encre. Une version numérisée du « contretypage des couleurs » peut donc être réalisée au stade prépresse, avant que les travaux d’impression ne soient transférés aux commandes de la machine.</w:t>
      </w:r>
    </w:p>
    <w:p w14:paraId="410B12F4" w14:textId="77777777" w:rsidR="007D0208" w:rsidRPr="007D0208" w:rsidRDefault="007D0208" w:rsidP="007D0208">
      <w:pPr>
        <w:spacing w:before="100" w:beforeAutospacing="1" w:after="100" w:afterAutospacing="1" w:line="240" w:lineRule="auto"/>
        <w:rPr>
          <w:rFonts w:cs="Arial"/>
          <w:b/>
          <w:bCs/>
          <w:sz w:val="20"/>
          <w:szCs w:val="20"/>
          <w:lang w:val="fr-FR"/>
        </w:rPr>
      </w:pPr>
      <w:r w:rsidRPr="007D0208">
        <w:rPr>
          <w:rFonts w:eastAsia="Arial" w:cs="Arial"/>
          <w:b/>
          <w:sz w:val="20"/>
          <w:szCs w:val="20"/>
          <w:lang w:val="fr-FR" w:bidi="fr-FR"/>
        </w:rPr>
        <w:t xml:space="preserve">Un investissement intelligent aux avantages significatifs </w:t>
      </w:r>
    </w:p>
    <w:p w14:paraId="60E3038A"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 xml:space="preserve">Les avantages pour les transformateurs et les propriétaires de marques sautent aux yeux. </w:t>
      </w:r>
    </w:p>
    <w:p w14:paraId="000BC15E"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Les temps d’arrêt lors des changements de tâches sont réduits jusqu’à 70 %, permettant des</w:t>
      </w:r>
      <w:r w:rsidRPr="007D0208">
        <w:rPr>
          <w:rFonts w:ascii="Times New Roman" w:hAnsi="Times New Roman"/>
          <w:sz w:val="20"/>
          <w:szCs w:val="20"/>
          <w:lang w:val="fr-FR" w:bidi="fr-FR"/>
        </w:rPr>
        <w:t xml:space="preserve"> </w:t>
      </w:r>
      <w:r w:rsidRPr="007D0208">
        <w:rPr>
          <w:rFonts w:eastAsia="Arial" w:cs="Arial"/>
          <w:sz w:val="20"/>
          <w:szCs w:val="20"/>
          <w:lang w:val="fr-FR" w:bidi="fr-FR"/>
        </w:rPr>
        <w:t>gains de productivité significatifs.</w:t>
      </w:r>
    </w:p>
    <w:p w14:paraId="5E05ECC4"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 xml:space="preserve">La machine offre une répétabilité de 100 % et une parfaite homogénéité des couleurs. En fait, la MASTER RS 6003 dotée de la technologie oneECG est officiellement approuvée Pantone, pour une totale tranquillité d’esprit.  </w:t>
      </w:r>
    </w:p>
    <w:p w14:paraId="24590F32"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 xml:space="preserve">Les avantages en termes de durabilité sont significatifs. Cette technologie innovante réduit considérablement les déchets et le gaspillage d’encre jusqu’à 50 %, et réduit la consommation d’énergie de ce processus d’impression, ce qui offre également un avantage économique. </w:t>
      </w:r>
    </w:p>
    <w:p w14:paraId="07A8B92D"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Mais surtout, elle ouvre la voie à l’héliogravure pour les tâches intermédiaires et courtes. Elle permet de produire de manière rentable des commandes de moyenne et petite taille d’environ 5 000 m² et plus. Les commandes peuvent être livrées plus rapidement avec une rentabilité élevée, qu’il s’agisse de petits, moyens ou longs tirages.</w:t>
      </w:r>
    </w:p>
    <w:p w14:paraId="6ED495D0" w14:textId="77777777"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Pour les propriétaires de marques qui exigent un emballage de qualité supérieure, l’héliogravure a toujours été le choix le plus évident. Cependant, jusqu’à présent, il était difficile pour les imprimeurs hélio de répondre aux demandes croissantes de tirages plus courts, livrés plus rapidement et plus durables.</w:t>
      </w:r>
    </w:p>
    <w:p w14:paraId="27F26A70" w14:textId="5F3ED61A" w:rsidR="007D0208" w:rsidRPr="007D0208" w:rsidRDefault="007D0208" w:rsidP="007D0208">
      <w:pPr>
        <w:spacing w:before="100" w:beforeAutospacing="1" w:after="100" w:afterAutospacing="1" w:line="240" w:lineRule="auto"/>
        <w:rPr>
          <w:rFonts w:cs="Arial"/>
          <w:sz w:val="20"/>
          <w:szCs w:val="20"/>
          <w:lang w:val="fr-FR"/>
        </w:rPr>
      </w:pPr>
      <w:r w:rsidRPr="007D0208">
        <w:rPr>
          <w:rFonts w:eastAsia="Arial" w:cs="Arial"/>
          <w:sz w:val="20"/>
          <w:szCs w:val="20"/>
          <w:lang w:val="fr-FR" w:bidi="fr-FR"/>
        </w:rPr>
        <w:t>Aujourd’hui, grâce au bond en avant en matière d’innovation réalisé par smartGRAVURE, tout cela est possible et permet aux imprimeurs d’avancer vers un avenir hautement productif et rentable.</w:t>
      </w:r>
    </w:p>
    <w:p w14:paraId="4888A853" w14:textId="77777777" w:rsidR="00EB4F02" w:rsidRPr="00606729" w:rsidRDefault="00EB4F0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083AC203"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29DFF" w14:textId="77777777" w:rsidR="00EC0061" w:rsidRDefault="00EC0061" w:rsidP="00BB5BE9">
      <w:pPr>
        <w:spacing w:line="240" w:lineRule="auto"/>
      </w:pPr>
      <w:r>
        <w:separator/>
      </w:r>
    </w:p>
  </w:endnote>
  <w:endnote w:type="continuationSeparator" w:id="0">
    <w:p w14:paraId="69C0C442" w14:textId="77777777" w:rsidR="00EC0061" w:rsidRDefault="00EC006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42D0" w14:textId="77777777" w:rsidR="00EC0061" w:rsidRDefault="00EC0061" w:rsidP="00BB5BE9">
      <w:pPr>
        <w:spacing w:line="240" w:lineRule="auto"/>
      </w:pPr>
      <w:r>
        <w:separator/>
      </w:r>
    </w:p>
  </w:footnote>
  <w:footnote w:type="continuationSeparator" w:id="0">
    <w:p w14:paraId="66122F93" w14:textId="77777777" w:rsidR="00EC0061" w:rsidRDefault="00EC006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A6088B"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A6088B"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03DF2"/>
    <w:rsid w:val="00122852"/>
    <w:rsid w:val="0012287C"/>
    <w:rsid w:val="00162ACB"/>
    <w:rsid w:val="00162F04"/>
    <w:rsid w:val="00164521"/>
    <w:rsid w:val="00165731"/>
    <w:rsid w:val="00185617"/>
    <w:rsid w:val="00193DE7"/>
    <w:rsid w:val="001978E2"/>
    <w:rsid w:val="001B00E3"/>
    <w:rsid w:val="001B2225"/>
    <w:rsid w:val="001B4282"/>
    <w:rsid w:val="001B75B1"/>
    <w:rsid w:val="0027064C"/>
    <w:rsid w:val="00280DC9"/>
    <w:rsid w:val="0029094B"/>
    <w:rsid w:val="00355BAA"/>
    <w:rsid w:val="003F1F32"/>
    <w:rsid w:val="003F5EAA"/>
    <w:rsid w:val="00406778"/>
    <w:rsid w:val="004257F2"/>
    <w:rsid w:val="00441257"/>
    <w:rsid w:val="00441D37"/>
    <w:rsid w:val="004701B5"/>
    <w:rsid w:val="004711C7"/>
    <w:rsid w:val="00497781"/>
    <w:rsid w:val="004C2489"/>
    <w:rsid w:val="004C28DE"/>
    <w:rsid w:val="004F3549"/>
    <w:rsid w:val="00540DC4"/>
    <w:rsid w:val="00546823"/>
    <w:rsid w:val="005A48B2"/>
    <w:rsid w:val="005B28F0"/>
    <w:rsid w:val="005C7A5F"/>
    <w:rsid w:val="00606729"/>
    <w:rsid w:val="00607A8B"/>
    <w:rsid w:val="0064617D"/>
    <w:rsid w:val="006619E8"/>
    <w:rsid w:val="00672351"/>
    <w:rsid w:val="006A1224"/>
    <w:rsid w:val="006A45F6"/>
    <w:rsid w:val="006E0625"/>
    <w:rsid w:val="007054D8"/>
    <w:rsid w:val="00717E14"/>
    <w:rsid w:val="00744CD0"/>
    <w:rsid w:val="0074688B"/>
    <w:rsid w:val="00750E45"/>
    <w:rsid w:val="007D0208"/>
    <w:rsid w:val="007D2FE3"/>
    <w:rsid w:val="007E6A57"/>
    <w:rsid w:val="0081574B"/>
    <w:rsid w:val="00831A2A"/>
    <w:rsid w:val="008475F1"/>
    <w:rsid w:val="00872A48"/>
    <w:rsid w:val="0089716F"/>
    <w:rsid w:val="008A477E"/>
    <w:rsid w:val="008A6629"/>
    <w:rsid w:val="008B5EF4"/>
    <w:rsid w:val="008D353F"/>
    <w:rsid w:val="008E49BA"/>
    <w:rsid w:val="008E4DAA"/>
    <w:rsid w:val="00923BF4"/>
    <w:rsid w:val="00990BFB"/>
    <w:rsid w:val="009A0420"/>
    <w:rsid w:val="009B17E7"/>
    <w:rsid w:val="009C18C1"/>
    <w:rsid w:val="00A131E9"/>
    <w:rsid w:val="00A13434"/>
    <w:rsid w:val="00A6088B"/>
    <w:rsid w:val="00A7773A"/>
    <w:rsid w:val="00AB644E"/>
    <w:rsid w:val="00B073A5"/>
    <w:rsid w:val="00BA155B"/>
    <w:rsid w:val="00BB5A31"/>
    <w:rsid w:val="00BB5BE9"/>
    <w:rsid w:val="00BB7BE2"/>
    <w:rsid w:val="00BD5F43"/>
    <w:rsid w:val="00C20D00"/>
    <w:rsid w:val="00C26C45"/>
    <w:rsid w:val="00C365C9"/>
    <w:rsid w:val="00C37CAD"/>
    <w:rsid w:val="00CC7F9D"/>
    <w:rsid w:val="00D97770"/>
    <w:rsid w:val="00DB1DC2"/>
    <w:rsid w:val="00DE5DD2"/>
    <w:rsid w:val="00DF7B45"/>
    <w:rsid w:val="00E11997"/>
    <w:rsid w:val="00E2330A"/>
    <w:rsid w:val="00E30F10"/>
    <w:rsid w:val="00E542C8"/>
    <w:rsid w:val="00EB4F02"/>
    <w:rsid w:val="00EB7CAB"/>
    <w:rsid w:val="00EC0061"/>
    <w:rsid w:val="00EE31B1"/>
    <w:rsid w:val="00F03D8B"/>
    <w:rsid w:val="00F36CF1"/>
    <w:rsid w:val="00F80BE3"/>
    <w:rsid w:val="00F92EA2"/>
    <w:rsid w:val="00F961AB"/>
    <w:rsid w:val="00FB60DF"/>
    <w:rsid w:val="00FB72F4"/>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3</Pages>
  <Words>1116</Words>
  <Characters>6363</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2024-09-06T13:29:00Z</dcterms:created>
  <dcterms:modified xsi:type="dcterms:W3CDTF">2024-09-06T13:30:00Z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