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2D84" w14:textId="7D86E5A8" w:rsidR="00040946" w:rsidRPr="00040946" w:rsidRDefault="00040946" w:rsidP="00040946">
      <w:pPr>
        <w:spacing w:line="300" w:lineRule="auto"/>
        <w:rPr>
          <w:rFonts w:ascii="Arial" w:hAnsi="Arial" w:cs="Arial"/>
          <w:b/>
          <w:bCs/>
          <w:color w:val="FF0000"/>
          <w:sz w:val="24"/>
          <w:szCs w:val="24"/>
        </w:rPr>
      </w:pPr>
      <w:r w:rsidRPr="00040946">
        <w:rPr>
          <w:rFonts w:ascii="Arial" w:hAnsi="Arial" w:cs="Arial"/>
          <w:b/>
          <w:bCs/>
          <w:color w:val="FF0000"/>
          <w:sz w:val="24"/>
          <w:szCs w:val="24"/>
        </w:rPr>
        <w:t xml:space="preserve">Embargoed until Tuesday, March 14, 2023 – 07:30 a.m. </w:t>
      </w:r>
      <w:proofErr w:type="gramStart"/>
      <w:r w:rsidRPr="00040946">
        <w:rPr>
          <w:rFonts w:ascii="Arial" w:hAnsi="Arial" w:cs="Arial"/>
          <w:b/>
          <w:bCs/>
          <w:color w:val="FF0000"/>
          <w:sz w:val="24"/>
          <w:szCs w:val="24"/>
        </w:rPr>
        <w:t>CET</w:t>
      </w:r>
      <w:proofErr w:type="gramEnd"/>
      <w:r w:rsidRPr="00040946">
        <w:rPr>
          <w:rFonts w:ascii="Arial" w:hAnsi="Arial" w:cs="Arial"/>
          <w:b/>
          <w:bCs/>
          <w:color w:val="FF0000"/>
          <w:sz w:val="24"/>
          <w:szCs w:val="24"/>
        </w:rPr>
        <w:t xml:space="preserve"> </w:t>
      </w:r>
    </w:p>
    <w:p w14:paraId="3B25541F" w14:textId="77777777" w:rsidR="00040946" w:rsidRPr="00040946" w:rsidRDefault="00040946" w:rsidP="00040946">
      <w:pPr>
        <w:spacing w:line="300" w:lineRule="auto"/>
        <w:rPr>
          <w:rFonts w:ascii="Arial" w:hAnsi="Arial" w:cs="Arial"/>
          <w:b/>
          <w:bCs/>
          <w:color w:val="FF0000"/>
          <w:kern w:val="0"/>
          <w:sz w:val="18"/>
          <w:szCs w:val="18"/>
        </w:rPr>
      </w:pPr>
    </w:p>
    <w:p w14:paraId="7CA5788C" w14:textId="36F5E9E1" w:rsidR="005363A4" w:rsidRDefault="005363A4" w:rsidP="005363A4">
      <w:pPr>
        <w:pStyle w:val="berschrift1"/>
        <w:spacing w:before="0" w:line="520" w:lineRule="atLeast"/>
        <w:rPr>
          <w:rFonts w:ascii="VWAG TheAntiqua" w:hAnsi="VWAG TheAntiqua"/>
          <w:color w:val="1F4D78" w:themeColor="accent1" w:themeShade="7F"/>
          <w:sz w:val="38"/>
          <w:szCs w:val="38"/>
        </w:rPr>
      </w:pPr>
      <w:r>
        <w:rPr>
          <w:b/>
          <w:bCs/>
          <w:noProof/>
          <w:color w:val="FF0000"/>
          <w:sz w:val="38"/>
          <w:szCs w:val="38"/>
          <w:lang w:val="de-DE" w:eastAsia="zh-CN"/>
        </w:rPr>
        <mc:AlternateContent>
          <mc:Choice Requires="wps">
            <w:drawing>
              <wp:anchor distT="0" distB="0" distL="114300" distR="114300" simplePos="0" relativeHeight="251659264" behindDoc="0" locked="0" layoutInCell="1" allowOverlap="1" wp14:anchorId="61767F97" wp14:editId="517A81EB">
                <wp:simplePos x="0" y="0"/>
                <wp:positionH relativeFrom="margin">
                  <wp:align>left</wp:align>
                </wp:positionH>
                <wp:positionV relativeFrom="paragraph">
                  <wp:posOffset>31854</wp:posOffset>
                </wp:positionV>
                <wp:extent cx="962025" cy="1524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2400"/>
                        </a:xfrm>
                        <a:prstGeom prst="rect">
                          <a:avLst/>
                        </a:prstGeom>
                        <a:noFill/>
                        <a:ln w="9525">
                          <a:noFill/>
                          <a:miter lim="800000"/>
                          <a:headEnd/>
                          <a:tailEnd/>
                        </a:ln>
                      </wps:spPr>
                      <wps:txbx>
                        <w:txbxContent>
                          <w:p w14:paraId="55FD2239" w14:textId="5F7B861B" w:rsidR="00083F86" w:rsidRPr="00886CBA" w:rsidRDefault="00083F86" w:rsidP="00083F86">
                            <w:pPr>
                              <w:pStyle w:val="SEITENZAHL"/>
                            </w:pPr>
                            <w:r>
                              <w:t xml:space="preserve">No. </w:t>
                            </w:r>
                            <w:r w:rsidR="00040946">
                              <w:t>43</w:t>
                            </w:r>
                            <w:r>
                              <w:t>/202</w:t>
                            </w:r>
                            <w:r w:rsidR="005363A4">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67F97" id="_x0000_t202" coordsize="21600,21600" o:spt="202" path="m,l,21600r21600,l21600,xe">
                <v:stroke joinstyle="miter"/>
                <v:path gradientshapeok="t" o:connecttype="rect"/>
              </v:shapetype>
              <v:shape id="Textfeld 2" o:spid="_x0000_s1026" type="#_x0000_t202" style="position:absolute;margin-left:0;margin-top:2.5pt;width:75.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" filled="f" stroked="f">
                <v:textbox inset="0,0,0,0">
                  <w:txbxContent>
                    <w:p w14:paraId="55FD2239" w14:textId="5F7B861B" w:rsidR="00083F86" w:rsidRPr="00886CBA" w:rsidRDefault="00083F86" w:rsidP="00083F86">
                      <w:pPr>
                        <w:pStyle w:val="SEITENZAHL"/>
                      </w:pPr>
                      <w:r>
                        <w:t xml:space="preserve">No. </w:t>
                      </w:r>
                      <w:r w:rsidR="00040946">
                        <w:t>43</w:t>
                      </w:r>
                      <w:r>
                        <w:t>/202</w:t>
                      </w:r>
                      <w:r w:rsidR="005363A4">
                        <w:t>3</w:t>
                      </w:r>
                    </w:p>
                  </w:txbxContent>
                </v:textbox>
                <w10:wrap anchorx="margin"/>
              </v:shape>
            </w:pict>
          </mc:Fallback>
        </mc:AlternateContent>
      </w:r>
    </w:p>
    <w:p w14:paraId="579D60D6" w14:textId="7C9DEC6F" w:rsidR="005363A4" w:rsidRDefault="001E49FB" w:rsidP="001E49FB">
      <w:pPr>
        <w:pStyle w:val="berschrift1"/>
        <w:spacing w:before="0" w:line="520" w:lineRule="atLeast"/>
        <w:rPr>
          <w:rFonts w:ascii="VWAG TheAntiqua" w:hAnsi="VWAG TheAntiqua"/>
          <w:color w:val="1F4D78" w:themeColor="accent1" w:themeShade="7F"/>
          <w:sz w:val="38"/>
          <w:szCs w:val="38"/>
        </w:rPr>
      </w:pPr>
      <w:r w:rsidRPr="001E49FB">
        <w:rPr>
          <w:rFonts w:ascii="VWAG TheAntiqua" w:hAnsi="VWAG TheAntiqua"/>
          <w:color w:val="1F4D78" w:themeColor="accent1" w:themeShade="7F"/>
          <w:sz w:val="38"/>
          <w:szCs w:val="38"/>
        </w:rPr>
        <w:t xml:space="preserve">Volkswagen </w:t>
      </w:r>
      <w:r w:rsidR="00040946" w:rsidRPr="00040946">
        <w:rPr>
          <w:rFonts w:ascii="VWAG TheAntiqua" w:hAnsi="VWAG TheAntiqua"/>
          <w:color w:val="1F4D78" w:themeColor="accent1" w:themeShade="7F"/>
          <w:sz w:val="38"/>
          <w:szCs w:val="38"/>
        </w:rPr>
        <w:t>Group’s solid financial performance lays basis for profitable growth in key markets</w:t>
      </w:r>
    </w:p>
    <w:p w14:paraId="104D0BD2" w14:textId="77777777" w:rsidR="001E49FB" w:rsidRPr="001E49FB" w:rsidRDefault="001E49FB" w:rsidP="001E49FB"/>
    <w:tbl>
      <w:tblPr>
        <w:tblStyle w:val="Tabellenraster"/>
        <w:tblpPr w:leftFromText="142" w:rightFromText="142" w:vertAnchor="text" w:horzAnchor="margin" w:tblpY="82"/>
        <w:tblOverlap w:val="never"/>
        <w:tblW w:w="8854" w:type="dxa"/>
        <w:tblLayout w:type="fixed"/>
        <w:tblLook w:val="04A0" w:firstRow="1" w:lastRow="0" w:firstColumn="1" w:lastColumn="0" w:noHBand="0" w:noVBand="1"/>
      </w:tblPr>
      <w:tblGrid>
        <w:gridCol w:w="8854"/>
      </w:tblGrid>
      <w:tr w:rsidR="000B0969" w:rsidRPr="00D015FD" w14:paraId="56C62E6A" w14:textId="77777777" w:rsidTr="000B0969">
        <w:trPr>
          <w:trHeight w:val="993"/>
        </w:trPr>
        <w:tc>
          <w:tcPr>
            <w:tcW w:w="8854" w:type="dxa"/>
            <w:tcBorders>
              <w:top w:val="nil"/>
              <w:left w:val="nil"/>
              <w:bottom w:val="nil"/>
              <w:right w:val="nil"/>
            </w:tcBorders>
          </w:tcPr>
          <w:p w14:paraId="135E2435" w14:textId="12BB3867" w:rsidR="00040946" w:rsidRDefault="00040946" w:rsidP="001E49FB">
            <w:pPr>
              <w:pStyle w:val="Listenabsatz"/>
              <w:numPr>
                <w:ilvl w:val="0"/>
                <w:numId w:val="2"/>
              </w:numPr>
              <w:rPr>
                <w:rFonts w:ascii="VWAG TheSans" w:eastAsiaTheme="majorEastAsia" w:hAnsi="VWAG TheSans" w:cstheme="majorBidi"/>
                <w:b/>
                <w:color w:val="1F4D78" w:themeColor="accent1" w:themeShade="7F"/>
                <w:sz w:val="24"/>
                <w:szCs w:val="24"/>
              </w:rPr>
            </w:pPr>
            <w:r w:rsidRPr="00040946">
              <w:rPr>
                <w:rFonts w:ascii="VWAG TheSans" w:eastAsiaTheme="majorEastAsia" w:hAnsi="VWAG TheSans" w:cstheme="majorBidi"/>
                <w:b/>
                <w:color w:val="1F4D78" w:themeColor="accent1" w:themeShade="7F"/>
                <w:sz w:val="24"/>
                <w:szCs w:val="24"/>
              </w:rPr>
              <w:t>BEV deliveries rose 26 percent in 2022, with further significant models to be released in 2023</w:t>
            </w:r>
          </w:p>
          <w:p w14:paraId="545F1F00" w14:textId="743AEC43" w:rsidR="00040946" w:rsidRDefault="00040946" w:rsidP="001E49FB">
            <w:pPr>
              <w:pStyle w:val="Listenabsatz"/>
              <w:numPr>
                <w:ilvl w:val="0"/>
                <w:numId w:val="2"/>
              </w:numPr>
              <w:rPr>
                <w:rFonts w:ascii="VWAG TheSans" w:eastAsiaTheme="majorEastAsia" w:hAnsi="VWAG TheSans" w:cstheme="majorBidi"/>
                <w:b/>
                <w:color w:val="1F4D78" w:themeColor="accent1" w:themeShade="7F"/>
                <w:sz w:val="24"/>
                <w:szCs w:val="24"/>
              </w:rPr>
            </w:pPr>
            <w:r w:rsidRPr="00040946">
              <w:rPr>
                <w:rFonts w:ascii="VWAG TheSans" w:eastAsiaTheme="majorEastAsia" w:hAnsi="VWAG TheSans" w:cstheme="majorBidi"/>
                <w:b/>
                <w:color w:val="1F4D78" w:themeColor="accent1" w:themeShade="7F"/>
                <w:sz w:val="24"/>
                <w:szCs w:val="24"/>
              </w:rPr>
              <w:t>Volkswagen Group remained BEV market leader in Europe and increased China deliveries by 68 percent in 2022, with strong demand for its highly competitive, unrivalled e-model range</w:t>
            </w:r>
          </w:p>
          <w:p w14:paraId="15531A16" w14:textId="512538A4" w:rsidR="00040946" w:rsidRDefault="00040946" w:rsidP="001E49FB">
            <w:pPr>
              <w:pStyle w:val="Listenabsatz"/>
              <w:numPr>
                <w:ilvl w:val="0"/>
                <w:numId w:val="2"/>
              </w:numPr>
              <w:rPr>
                <w:rFonts w:ascii="VWAG TheSans" w:eastAsiaTheme="majorEastAsia" w:hAnsi="VWAG TheSans" w:cstheme="majorBidi"/>
                <w:b/>
                <w:color w:val="1F4D78" w:themeColor="accent1" w:themeShade="7F"/>
                <w:sz w:val="24"/>
                <w:szCs w:val="24"/>
              </w:rPr>
            </w:pPr>
            <w:r w:rsidRPr="00040946">
              <w:rPr>
                <w:rFonts w:ascii="VWAG TheSans" w:eastAsiaTheme="majorEastAsia" w:hAnsi="VWAG TheSans" w:cstheme="majorBidi"/>
                <w:b/>
                <w:color w:val="1F4D78" w:themeColor="accent1" w:themeShade="7F"/>
                <w:sz w:val="24"/>
                <w:szCs w:val="24"/>
              </w:rPr>
              <w:t xml:space="preserve">2022 was a milestone year in North America, with electrification of Chattanooga plant and relaunch of the popular iconic Scout brand, leveraging region’s shift to e-mobility </w:t>
            </w:r>
          </w:p>
          <w:p w14:paraId="59FE1A9A" w14:textId="74960E21" w:rsidR="00040946" w:rsidRDefault="00040946" w:rsidP="001E49FB">
            <w:pPr>
              <w:pStyle w:val="Listenabsatz"/>
              <w:numPr>
                <w:ilvl w:val="0"/>
                <w:numId w:val="2"/>
              </w:numPr>
              <w:rPr>
                <w:rFonts w:ascii="VWAG TheSans" w:eastAsiaTheme="majorEastAsia" w:hAnsi="VWAG TheSans" w:cstheme="majorBidi"/>
                <w:b/>
                <w:color w:val="1F4D78" w:themeColor="accent1" w:themeShade="7F"/>
                <w:sz w:val="24"/>
                <w:szCs w:val="24"/>
              </w:rPr>
            </w:pPr>
            <w:r w:rsidRPr="00040946">
              <w:rPr>
                <w:rFonts w:ascii="VWAG TheSans" w:eastAsiaTheme="majorEastAsia" w:hAnsi="VWAG TheSans" w:cstheme="majorBidi"/>
                <w:b/>
                <w:color w:val="1F4D78" w:themeColor="accent1" w:themeShade="7F"/>
                <w:sz w:val="24"/>
                <w:szCs w:val="24"/>
              </w:rPr>
              <w:t>Group is planning to invest EUR 180 billion between 2023 – 2027 in the most attractive profit pools and regions, with more than two-thirds allotted for electrification and digitalization</w:t>
            </w:r>
          </w:p>
          <w:p w14:paraId="560C6F0B" w14:textId="26853BF5" w:rsidR="00040946" w:rsidRDefault="00040946" w:rsidP="001E49FB">
            <w:pPr>
              <w:pStyle w:val="Listenabsatz"/>
              <w:numPr>
                <w:ilvl w:val="0"/>
                <w:numId w:val="2"/>
              </w:numPr>
              <w:rPr>
                <w:rFonts w:ascii="VWAG TheSans" w:eastAsiaTheme="majorEastAsia" w:hAnsi="VWAG TheSans" w:cstheme="majorBidi"/>
                <w:b/>
                <w:color w:val="1F4D78" w:themeColor="accent1" w:themeShade="7F"/>
                <w:sz w:val="24"/>
                <w:szCs w:val="24"/>
              </w:rPr>
            </w:pPr>
            <w:r w:rsidRPr="00040946">
              <w:rPr>
                <w:rFonts w:ascii="VWAG TheSans" w:eastAsiaTheme="majorEastAsia" w:hAnsi="VWAG TheSans" w:cstheme="majorBidi"/>
                <w:b/>
                <w:color w:val="1F4D78" w:themeColor="accent1" w:themeShade="7F"/>
                <w:sz w:val="24"/>
                <w:szCs w:val="24"/>
              </w:rPr>
              <w:t xml:space="preserve">Robust operating profit before special items of EUR 22.5 billion, up 13 percent compared with 2021, demonstrates strength of Volkswagen Group </w:t>
            </w:r>
            <w:proofErr w:type="gramStart"/>
            <w:r w:rsidRPr="00040946">
              <w:rPr>
                <w:rFonts w:ascii="VWAG TheSans" w:eastAsiaTheme="majorEastAsia" w:hAnsi="VWAG TheSans" w:cstheme="majorBidi"/>
                <w:b/>
                <w:color w:val="1F4D78" w:themeColor="accent1" w:themeShade="7F"/>
                <w:sz w:val="24"/>
                <w:szCs w:val="24"/>
              </w:rPr>
              <w:t>brands</w:t>
            </w:r>
            <w:proofErr w:type="gramEnd"/>
          </w:p>
          <w:p w14:paraId="3F20576D" w14:textId="201DC138" w:rsidR="00040946" w:rsidRPr="00040946" w:rsidRDefault="00040946" w:rsidP="001E49FB">
            <w:pPr>
              <w:pStyle w:val="Listenabsatz"/>
              <w:numPr>
                <w:ilvl w:val="0"/>
                <w:numId w:val="2"/>
              </w:numPr>
              <w:rPr>
                <w:rFonts w:ascii="VWAG TheSans" w:hAnsi="VWAG TheSans"/>
                <w:b/>
              </w:rPr>
            </w:pPr>
            <w:r w:rsidRPr="00040946">
              <w:rPr>
                <w:rFonts w:ascii="VWAG TheSans" w:eastAsiaTheme="majorEastAsia" w:hAnsi="VWAG TheSans" w:cstheme="majorBidi"/>
                <w:b/>
                <w:color w:val="1F4D78" w:themeColor="accent1" w:themeShade="7F"/>
                <w:sz w:val="24"/>
                <w:szCs w:val="24"/>
              </w:rPr>
              <w:t>Oliver Blume, Volkswagen Group’s CEO: “We have set clear and ambitious targets and took necessary decisions to streamline processes in FY22. FY23 will be a decisive year for executing strategic goals and accelerating progress across the Group. “</w:t>
            </w:r>
          </w:p>
          <w:p w14:paraId="6506F3DC" w14:textId="5738441B" w:rsidR="00DC05FD" w:rsidRPr="005363A4" w:rsidRDefault="00040946" w:rsidP="001E49FB">
            <w:pPr>
              <w:pStyle w:val="Listenabsatz"/>
              <w:numPr>
                <w:ilvl w:val="0"/>
                <w:numId w:val="2"/>
              </w:numPr>
              <w:rPr>
                <w:rFonts w:ascii="VWAG TheSans" w:hAnsi="VWAG TheSans"/>
                <w:b/>
              </w:rPr>
            </w:pPr>
            <w:r w:rsidRPr="00040946">
              <w:rPr>
                <w:rFonts w:ascii="VWAG TheSans" w:eastAsiaTheme="majorEastAsia" w:hAnsi="VWAG TheSans" w:cstheme="majorBidi"/>
                <w:b/>
                <w:color w:val="1F4D78" w:themeColor="accent1" w:themeShade="7F"/>
                <w:sz w:val="24"/>
                <w:szCs w:val="24"/>
              </w:rPr>
              <w:t xml:space="preserve">Arno </w:t>
            </w:r>
            <w:proofErr w:type="spellStart"/>
            <w:r w:rsidRPr="00040946">
              <w:rPr>
                <w:rFonts w:ascii="VWAG TheSans" w:eastAsiaTheme="majorEastAsia" w:hAnsi="VWAG TheSans" w:cstheme="majorBidi"/>
                <w:b/>
                <w:color w:val="1F4D78" w:themeColor="accent1" w:themeShade="7F"/>
                <w:sz w:val="24"/>
                <w:szCs w:val="24"/>
              </w:rPr>
              <w:t>Antlitz</w:t>
            </w:r>
            <w:proofErr w:type="spellEnd"/>
            <w:r w:rsidRPr="00040946">
              <w:rPr>
                <w:rFonts w:ascii="VWAG TheSans" w:eastAsiaTheme="majorEastAsia" w:hAnsi="VWAG TheSans" w:cstheme="majorBidi"/>
                <w:b/>
                <w:color w:val="1F4D78" w:themeColor="accent1" w:themeShade="7F"/>
                <w:sz w:val="24"/>
                <w:szCs w:val="24"/>
              </w:rPr>
              <w:t>, Volkswagen Group’s CFO &amp; COO: “We aim to again generate robust returns in the current year. Our strong financial basis puts us in a position to continue investing in the electrification and digitalization of our company, even in a challenging economic environment.”</w:t>
            </w:r>
          </w:p>
        </w:tc>
      </w:tr>
    </w:tbl>
    <w:p w14:paraId="1D27E4E0" w14:textId="77777777" w:rsidR="001C3AD6" w:rsidRDefault="001C3AD6" w:rsidP="00417FD8">
      <w:pPr>
        <w:pStyle w:val="Einleitunf2"/>
      </w:pPr>
    </w:p>
    <w:p w14:paraId="0FA23BCE" w14:textId="77777777" w:rsidR="00040946" w:rsidRDefault="005363A4" w:rsidP="00040946">
      <w:pPr>
        <w:pStyle w:val="Einleitunf2"/>
      </w:pPr>
      <w:r w:rsidRPr="005363A4">
        <w:t xml:space="preserve">Wolfsburg, </w:t>
      </w:r>
      <w:r w:rsidR="001E49FB">
        <w:t xml:space="preserve">March </w:t>
      </w:r>
      <w:r w:rsidR="00040946">
        <w:t>14</w:t>
      </w:r>
      <w:r w:rsidR="001E49FB">
        <w:t>,</w:t>
      </w:r>
      <w:r w:rsidRPr="005363A4">
        <w:t xml:space="preserve"> 2023 – </w:t>
      </w:r>
      <w:r w:rsidR="00040946" w:rsidRPr="00040946">
        <w:t xml:space="preserve">The Volkswagen Group posted solid full year results for 2022, despite global economic headwinds. The results demonstrate that the Group has a strong financial basis on which to build in 2023, with strong margins and a very solid net liquidity in the automotive division. The Group’s BEV strategy continued to advance in 2022 and demonstrated the popularity of the latest model range, with robust performances across all </w:t>
      </w:r>
    </w:p>
    <w:p w14:paraId="05A1880B" w14:textId="77777777" w:rsidR="00040946" w:rsidRDefault="00040946" w:rsidP="00040946">
      <w:pPr>
        <w:pStyle w:val="Einleitunf2"/>
      </w:pPr>
    </w:p>
    <w:p w14:paraId="382A3EFF" w14:textId="5DDD15FE" w:rsidR="00DC05FD" w:rsidRDefault="00040946" w:rsidP="00040946">
      <w:pPr>
        <w:pStyle w:val="Einleitunf2"/>
      </w:pPr>
      <w:r w:rsidRPr="00040946">
        <w:t xml:space="preserve">regions. The Group remains the BEV segment market leader in Europe and continues to grow in China. Significant new models arriving in 2023 will add further tailwind and improve the Group’s market position.  </w:t>
      </w:r>
    </w:p>
    <w:p w14:paraId="50ADFA7A" w14:textId="77777777" w:rsidR="00040946" w:rsidRDefault="00040946" w:rsidP="00040946">
      <w:pPr>
        <w:pStyle w:val="Einleitunf2"/>
      </w:pPr>
    </w:p>
    <w:p w14:paraId="69404FDE" w14:textId="77777777" w:rsidR="001A6B4C" w:rsidRDefault="00040946" w:rsidP="00040946">
      <w:pPr>
        <w:pStyle w:val="Textkrper"/>
        <w:rPr>
          <w:rFonts w:cs="VWAGTheAntiqua-Bold"/>
          <w:bCs/>
          <w:color w:val="000000"/>
          <w:kern w:val="21"/>
          <w:szCs w:val="21"/>
          <w:lang w:eastAsia="de-DE" w:bidi="ar-SA"/>
        </w:rPr>
      </w:pPr>
      <w:r w:rsidRPr="001A6B4C">
        <w:rPr>
          <w:rFonts w:cs="VWAGTheAntiqua-Bold"/>
          <w:b/>
          <w:color w:val="000000"/>
          <w:kern w:val="21"/>
          <w:szCs w:val="21"/>
          <w:lang w:eastAsia="de-DE" w:bidi="ar-SA"/>
        </w:rPr>
        <w:t xml:space="preserve">Oliver Blume, Volkswagen Group CEO, said: </w:t>
      </w:r>
      <w:r w:rsidRPr="001A6B4C">
        <w:rPr>
          <w:rFonts w:cs="VWAGTheAntiqua-Bold"/>
          <w:bCs/>
          <w:color w:val="000000"/>
          <w:kern w:val="21"/>
          <w:szCs w:val="21"/>
          <w:lang w:eastAsia="de-DE" w:bidi="ar-SA"/>
        </w:rPr>
        <w:t>“FY22 was an important year for the Volkswagen Group. We made headway on executing our strategy, despite extreme headwinds. BEVs accounted for a record 7 percent share of total deliveries – a significant milestone that we will build upon this year as our popular model range continues to grow. In line with our Ten-Point Plan, we took important steps to execute our strategy, including new product strategies for our brands, the streamlining of our platforms and a revised software roadmap. We continued to strengthen our global presence by concentrating the production and development of our excellent products and technologies even more locally in the markets. FY23 will be a decisive year for executing strategic goals and accelerating progress across the group.”</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r w:rsidRPr="001A6B4C">
        <w:rPr>
          <w:rFonts w:cs="VWAGTheAntiqua-Bold"/>
          <w:b/>
          <w:color w:val="000000"/>
          <w:kern w:val="21"/>
          <w:szCs w:val="21"/>
          <w:lang w:eastAsia="de-DE" w:bidi="ar-SA"/>
        </w:rPr>
        <w:t xml:space="preserve">Strong financial basis for sustainable growth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Volkswagen has already announced the Group’s key figures for the past fiscal year and an outlook for 2022 on March 3, 2022.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Although overall delivery numbers declined 7 percent to 8.3 million vehicles in 2022, Volkswagen Group remains well-positioned for future growth. Operating margins before special items grew to 8.1 percent in 2022, reflecting the Group’s continued pricing discipline and cost progress and was driven by a stronger model mix. The automotive division's net cash flow decreased to EUR 4.8 billion. This was caused by an increase in working capital due to supply chain and logistics issues, especially towards the end of the year. In the course of 2023, this effect should largely reverse and strengthen the automotive division's net liquidity. With a high order book of 1.8 million vehicles and a unique product portfolio, the Group maintains a strong position and expects supply chain bottlenecks should gradually ease in 2023.</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Net liquidity in the Automotive Division increased to EUR 43 billion at the end of 2022, supported by the Porsche AG IPO.</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In total, the Group is planning to invest EUR 180 billion between 2023 – 2027 in the most attractive profit pools, including in particular the Group’s battery strategy, growing its presence in the North America region, increasing the competitiveness in digitalization and products in China, as well as continuing to develop the Group’s leading product portfolio. More than two-thirds (68 percent) of the </w:t>
      </w:r>
    </w:p>
    <w:p w14:paraId="65AF0858" w14:textId="77777777" w:rsidR="001A6B4C" w:rsidRDefault="001A6B4C" w:rsidP="00040946">
      <w:pPr>
        <w:pStyle w:val="Textkrper"/>
        <w:rPr>
          <w:rFonts w:cs="VWAGTheAntiqua-Bold"/>
          <w:bCs/>
          <w:color w:val="000000"/>
          <w:kern w:val="21"/>
          <w:szCs w:val="21"/>
          <w:lang w:eastAsia="de-DE" w:bidi="ar-SA"/>
        </w:rPr>
      </w:pPr>
    </w:p>
    <w:p w14:paraId="22E04229" w14:textId="7DE9F987" w:rsidR="00040946" w:rsidRPr="001A6B4C" w:rsidRDefault="00040946" w:rsidP="00040946">
      <w:pPr>
        <w:pStyle w:val="Textkrper"/>
        <w:rPr>
          <w:rFonts w:cs="VWAGTheAntiqua-Bold"/>
          <w:bCs/>
          <w:color w:val="000000"/>
          <w:kern w:val="21"/>
          <w:szCs w:val="21"/>
          <w:lang w:eastAsia="de-DE" w:bidi="ar-SA"/>
        </w:rPr>
      </w:pPr>
      <w:r w:rsidRPr="001A6B4C">
        <w:rPr>
          <w:rFonts w:cs="VWAGTheAntiqua-Bold"/>
          <w:bCs/>
          <w:color w:val="000000"/>
          <w:kern w:val="21"/>
          <w:szCs w:val="21"/>
          <w:lang w:eastAsia="de-DE" w:bidi="ar-SA"/>
        </w:rPr>
        <w:t>investment will flow into the future fields of digitization and electrification. In the last five-year plan, the figure was 56 percent. As early as 2025, every fifth vehicle sold worldwide is expected be one with an all-electric drive. A major reason for the investment increase is the up to EUR 15</w:t>
      </w:r>
      <w:r w:rsidRPr="001A6B4C">
        <w:rPr>
          <w:rFonts w:ascii="Arial" w:hAnsi="Arial" w:cs="Arial"/>
          <w:bCs/>
          <w:color w:val="000000"/>
          <w:kern w:val="21"/>
          <w:szCs w:val="21"/>
          <w:lang w:eastAsia="de-DE" w:bidi="ar-SA"/>
        </w:rPr>
        <w:t> </w:t>
      </w:r>
      <w:r w:rsidRPr="001A6B4C">
        <w:rPr>
          <w:rFonts w:cs="VWAGTheAntiqua-Bold"/>
          <w:bCs/>
          <w:color w:val="000000"/>
          <w:kern w:val="21"/>
          <w:szCs w:val="21"/>
          <w:lang w:eastAsia="de-DE" w:bidi="ar-SA"/>
        </w:rPr>
        <w:t xml:space="preserve">billion ringfenced for the construction of cell factories by the battery start-up </w:t>
      </w:r>
      <w:proofErr w:type="spellStart"/>
      <w:r w:rsidRPr="001A6B4C">
        <w:rPr>
          <w:rFonts w:cs="VWAGTheAntiqua-Bold"/>
          <w:bCs/>
          <w:color w:val="000000"/>
          <w:kern w:val="21"/>
          <w:szCs w:val="21"/>
          <w:lang w:eastAsia="de-DE" w:bidi="ar-SA"/>
        </w:rPr>
        <w:t>PowerCo</w:t>
      </w:r>
      <w:proofErr w:type="spellEnd"/>
      <w:r w:rsidRPr="001A6B4C">
        <w:rPr>
          <w:rFonts w:cs="VWAGTheAntiqua-Bold"/>
          <w:bCs/>
          <w:color w:val="000000"/>
          <w:kern w:val="21"/>
          <w:szCs w:val="21"/>
          <w:lang w:eastAsia="de-DE" w:bidi="ar-SA"/>
        </w:rPr>
        <w:t xml:space="preserve"> and upfront expenditures for securing raw materials as part of the implementation of the battery strategy. By 2030, </w:t>
      </w:r>
      <w:proofErr w:type="spellStart"/>
      <w:r w:rsidRPr="001A6B4C">
        <w:rPr>
          <w:rFonts w:cs="VWAGTheAntiqua-Bold"/>
          <w:bCs/>
          <w:color w:val="000000"/>
          <w:kern w:val="21"/>
          <w:szCs w:val="21"/>
          <w:lang w:eastAsia="de-DE" w:bidi="ar-SA"/>
        </w:rPr>
        <w:t>PowerCo</w:t>
      </w:r>
      <w:proofErr w:type="spellEnd"/>
      <w:r w:rsidRPr="001A6B4C">
        <w:rPr>
          <w:rFonts w:cs="VWAGTheAntiqua-Bold"/>
          <w:bCs/>
          <w:color w:val="000000"/>
          <w:kern w:val="21"/>
          <w:szCs w:val="21"/>
          <w:lang w:eastAsia="de-DE" w:bidi="ar-SA"/>
        </w:rPr>
        <w:t xml:space="preserve"> is expected to generate annual sales of more than EUR 20 billion. Additionally, there will be ongoing investments in the last generation of combustion engines. The peak in investment is expected to be reached in 2025, after which it will continuously decline.</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r w:rsidRPr="001A6B4C">
        <w:rPr>
          <w:rFonts w:cs="VWAGTheAntiqua-Bold"/>
          <w:b/>
          <w:color w:val="000000"/>
          <w:kern w:val="21"/>
          <w:szCs w:val="21"/>
          <w:lang w:eastAsia="de-DE" w:bidi="ar-SA"/>
        </w:rPr>
        <w:t xml:space="preserve">Arno </w:t>
      </w:r>
      <w:proofErr w:type="spellStart"/>
      <w:r w:rsidRPr="001A6B4C">
        <w:rPr>
          <w:rFonts w:cs="VWAGTheAntiqua-Bold"/>
          <w:b/>
          <w:color w:val="000000"/>
          <w:kern w:val="21"/>
          <w:szCs w:val="21"/>
          <w:lang w:eastAsia="de-DE" w:bidi="ar-SA"/>
        </w:rPr>
        <w:t>Antlitz</w:t>
      </w:r>
      <w:proofErr w:type="spellEnd"/>
      <w:r w:rsidRPr="001A6B4C">
        <w:rPr>
          <w:rFonts w:cs="VWAGTheAntiqua-Bold"/>
          <w:b/>
          <w:color w:val="000000"/>
          <w:kern w:val="21"/>
          <w:szCs w:val="21"/>
          <w:lang w:eastAsia="de-DE" w:bidi="ar-SA"/>
        </w:rPr>
        <w:t xml:space="preserve">, Volkswagen Group CFO and COO, said: </w:t>
      </w:r>
      <w:r w:rsidRPr="001A6B4C">
        <w:rPr>
          <w:rFonts w:cs="VWAGTheAntiqua-Bold"/>
          <w:bCs/>
          <w:color w:val="000000"/>
          <w:kern w:val="21"/>
          <w:szCs w:val="21"/>
          <w:lang w:eastAsia="de-DE" w:bidi="ar-SA"/>
        </w:rPr>
        <w:t>“FY22 has impressively demonstrated the robustness of our business model. Under challenging conditions, we delivered 572,100 BEVs and increased our overall revenues and operating profits. FY23 will be no less challenging in view of the overall economic developments. Nevertheless, our strong brands, with their convincing product offerings and the order backlog of around 1.8 million vehicles allow us to look ahead to FY23 with confidence. We aim to again generate robust returns in the current year. Our strong financial base puts us in a position to continue investing in the electrification and digitalization of our company, even in a challenging economic environment”.</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r w:rsidRPr="001A6B4C">
        <w:rPr>
          <w:rFonts w:cs="VWAGTheAntiqua-Bold"/>
          <w:b/>
          <w:color w:val="000000"/>
          <w:kern w:val="21"/>
          <w:szCs w:val="21"/>
          <w:lang w:eastAsia="de-DE" w:bidi="ar-SA"/>
        </w:rPr>
        <w:t>Market-leading BEV product portfolio</w:t>
      </w:r>
      <w:r w:rsidRPr="001A6B4C">
        <w:rPr>
          <w:rFonts w:ascii="Arial" w:hAnsi="Arial" w:cs="Arial"/>
          <w:b/>
          <w:color w:val="000000"/>
          <w:kern w:val="21"/>
          <w:szCs w:val="21"/>
          <w:lang w:eastAsia="de-DE" w:bidi="ar-SA"/>
        </w:rPr>
        <w:t> </w:t>
      </w:r>
      <w:r w:rsidRPr="001A6B4C">
        <w:rPr>
          <w:rFonts w:cs="VWAGTheAntiqua-Bold"/>
          <w:b/>
          <w:color w:val="000000"/>
          <w:kern w:val="21"/>
          <w:szCs w:val="21"/>
          <w:lang w:eastAsia="de-DE" w:bidi="ar-SA"/>
        </w:rPr>
        <w:t xml:space="preserve">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Volkswagen Group’s product portfolio is highly competitive and has seen notable success in particular in the BEV segment. BEV growth has continued, and the Group saw 26 percent growth in total BEV vehicle deliveries and achieved an overall BEV share of 7 percent in 2022. BEVs now account for 16 percent of the Group’s order book – a sequential increase over 2021 reflecting the strategic priorities of the Group.</w:t>
      </w:r>
      <w:r w:rsidR="00EE5CBD">
        <w:rPr>
          <w:rFonts w:cs="VWAGTheAntiqua-Bold"/>
          <w:bCs/>
          <w:color w:val="000000"/>
          <w:kern w:val="21"/>
          <w:szCs w:val="21"/>
          <w:lang w:eastAsia="de-DE" w:bidi="ar-SA"/>
        </w:rPr>
        <w:br/>
      </w:r>
      <w:r w:rsidR="00EE5CBD">
        <w:rPr>
          <w:rFonts w:cs="VWAGTheAntiqua-Bold"/>
          <w:bCs/>
          <w:color w:val="000000"/>
          <w:kern w:val="21"/>
          <w:szCs w:val="21"/>
          <w:lang w:eastAsia="de-DE" w:bidi="ar-SA"/>
        </w:rPr>
        <w:br/>
      </w:r>
      <w:r w:rsidRPr="001A6B4C">
        <w:rPr>
          <w:rFonts w:cs="VWAGTheAntiqua-Bold"/>
          <w:bCs/>
          <w:color w:val="000000"/>
          <w:kern w:val="21"/>
          <w:szCs w:val="21"/>
          <w:lang w:eastAsia="de-DE" w:bidi="ar-SA"/>
        </w:rPr>
        <w:t xml:space="preserve">The Group’s three best-selling BEVs in 2022 were (in units): </w:t>
      </w:r>
    </w:p>
    <w:p w14:paraId="3B05F7E9" w14:textId="77777777" w:rsidR="00040946" w:rsidRPr="001A6B4C" w:rsidRDefault="00040946" w:rsidP="00040946">
      <w:pPr>
        <w:pStyle w:val="Textkrper"/>
        <w:numPr>
          <w:ilvl w:val="0"/>
          <w:numId w:val="9"/>
        </w:numPr>
        <w:rPr>
          <w:rFonts w:cs="VWAGTheAntiqua-Bold"/>
          <w:bCs/>
          <w:color w:val="000000"/>
          <w:kern w:val="21"/>
          <w:szCs w:val="21"/>
          <w:lang w:val="de-DE" w:eastAsia="de-DE" w:bidi="ar-SA"/>
        </w:rPr>
      </w:pPr>
      <w:r w:rsidRPr="001A6B4C">
        <w:rPr>
          <w:rFonts w:cs="VWAGTheAntiqua-Bold"/>
          <w:bCs/>
          <w:color w:val="000000"/>
          <w:kern w:val="21"/>
          <w:szCs w:val="21"/>
          <w:lang w:val="de-DE" w:eastAsia="de-DE" w:bidi="ar-SA"/>
        </w:rPr>
        <w:t>Volkswagen ID.4</w:t>
      </w:r>
      <w:r w:rsidRPr="00F81BBE">
        <w:rPr>
          <w:rFonts w:cs="VWAGTheAntiqua-Bold"/>
          <w:bCs/>
          <w:color w:val="000000"/>
          <w:kern w:val="21"/>
          <w:szCs w:val="21"/>
          <w:vertAlign w:val="superscript"/>
          <w:lang w:val="de-DE" w:eastAsia="de-DE" w:bidi="ar-SA"/>
        </w:rPr>
        <w:t>1</w:t>
      </w:r>
      <w:r w:rsidRPr="001A6B4C">
        <w:rPr>
          <w:rFonts w:cs="VWAGTheAntiqua-Bold"/>
          <w:bCs/>
          <w:color w:val="000000"/>
          <w:kern w:val="21"/>
          <w:szCs w:val="21"/>
          <w:lang w:val="de-DE" w:eastAsia="de-DE" w:bidi="ar-SA"/>
        </w:rPr>
        <w:t xml:space="preserve">/ID.5 193,200 </w:t>
      </w:r>
    </w:p>
    <w:p w14:paraId="722F85E0" w14:textId="05522299" w:rsidR="00040946" w:rsidRPr="001A6B4C" w:rsidRDefault="00040946" w:rsidP="00040946">
      <w:pPr>
        <w:pStyle w:val="Textkrper"/>
        <w:numPr>
          <w:ilvl w:val="0"/>
          <w:numId w:val="9"/>
        </w:numPr>
        <w:rPr>
          <w:rFonts w:cs="VWAGTheAntiqua-Bold"/>
          <w:bCs/>
          <w:color w:val="000000"/>
          <w:kern w:val="21"/>
          <w:szCs w:val="21"/>
          <w:lang w:val="de-DE" w:eastAsia="de-DE" w:bidi="ar-SA"/>
        </w:rPr>
      </w:pPr>
      <w:r w:rsidRPr="001A6B4C">
        <w:rPr>
          <w:rFonts w:cs="VWAGTheAntiqua-Bold"/>
          <w:bCs/>
          <w:color w:val="000000"/>
          <w:kern w:val="21"/>
          <w:szCs w:val="21"/>
          <w:lang w:val="de-DE" w:eastAsia="de-DE" w:bidi="ar-SA"/>
        </w:rPr>
        <w:t>Volkswagen ID.3</w:t>
      </w:r>
      <w:r w:rsidRPr="00F81BBE">
        <w:rPr>
          <w:rFonts w:cs="VWAGTheAntiqua-Bold"/>
          <w:bCs/>
          <w:color w:val="000000"/>
          <w:kern w:val="21"/>
          <w:szCs w:val="21"/>
          <w:vertAlign w:val="superscript"/>
          <w:lang w:val="de-DE" w:eastAsia="de-DE" w:bidi="ar-SA"/>
        </w:rPr>
        <w:t>2</w:t>
      </w:r>
      <w:r w:rsidRPr="001A6B4C">
        <w:rPr>
          <w:rFonts w:cs="VWAGTheAntiqua-Bold"/>
          <w:bCs/>
          <w:color w:val="000000"/>
          <w:kern w:val="21"/>
          <w:szCs w:val="21"/>
          <w:lang w:val="de-DE" w:eastAsia="de-DE" w:bidi="ar-SA"/>
        </w:rPr>
        <w:t xml:space="preserve"> 76,600 </w:t>
      </w:r>
    </w:p>
    <w:p w14:paraId="5BA74989" w14:textId="77777777" w:rsidR="00040946" w:rsidRPr="001A6B4C" w:rsidRDefault="00040946" w:rsidP="00040946">
      <w:pPr>
        <w:pStyle w:val="Textkrper"/>
        <w:numPr>
          <w:ilvl w:val="0"/>
          <w:numId w:val="9"/>
        </w:numPr>
        <w:rPr>
          <w:rFonts w:cs="VWAGTheAntiqua-Bold"/>
          <w:bCs/>
          <w:color w:val="000000"/>
          <w:kern w:val="21"/>
          <w:szCs w:val="21"/>
          <w:lang w:eastAsia="de-DE" w:bidi="ar-SA"/>
        </w:rPr>
      </w:pPr>
      <w:r w:rsidRPr="001A6B4C">
        <w:rPr>
          <w:rFonts w:cs="VWAGTheAntiqua-Bold"/>
          <w:bCs/>
          <w:color w:val="000000"/>
          <w:kern w:val="21"/>
          <w:szCs w:val="21"/>
          <w:lang w:eastAsia="de-DE" w:bidi="ar-SA"/>
        </w:rPr>
        <w:t xml:space="preserve">ŠKODA </w:t>
      </w:r>
      <w:proofErr w:type="spellStart"/>
      <w:r w:rsidRPr="001A6B4C">
        <w:rPr>
          <w:rFonts w:cs="VWAGTheAntiqua-Bold"/>
          <w:bCs/>
          <w:color w:val="000000"/>
          <w:kern w:val="21"/>
          <w:szCs w:val="21"/>
          <w:lang w:eastAsia="de-DE" w:bidi="ar-SA"/>
        </w:rPr>
        <w:t>Enyaq</w:t>
      </w:r>
      <w:proofErr w:type="spellEnd"/>
      <w:r w:rsidRPr="001A6B4C">
        <w:rPr>
          <w:rFonts w:cs="VWAGTheAntiqua-Bold"/>
          <w:bCs/>
          <w:color w:val="000000"/>
          <w:kern w:val="21"/>
          <w:szCs w:val="21"/>
          <w:lang w:eastAsia="de-DE" w:bidi="ar-SA"/>
        </w:rPr>
        <w:t xml:space="preserve"> iV (incl. Coupé) 53,700</w:t>
      </w:r>
    </w:p>
    <w:p w14:paraId="0C430922" w14:textId="11F40D41" w:rsidR="001A6B4C" w:rsidRDefault="00040946" w:rsidP="00040946">
      <w:pPr>
        <w:pStyle w:val="Textkrper"/>
        <w:rPr>
          <w:rFonts w:cs="VWAGTheAntiqua-Bold"/>
          <w:bCs/>
          <w:color w:val="000000"/>
          <w:kern w:val="21"/>
          <w:szCs w:val="21"/>
          <w:lang w:eastAsia="de-DE" w:bidi="ar-SA"/>
        </w:rPr>
      </w:pPr>
      <w:r w:rsidRPr="001A6B4C">
        <w:rPr>
          <w:rFonts w:cs="VWAGTheAntiqua-Bold"/>
          <w:bCs/>
          <w:color w:val="000000"/>
          <w:kern w:val="21"/>
          <w:szCs w:val="21"/>
          <w:lang w:eastAsia="de-DE" w:bidi="ar-SA"/>
        </w:rPr>
        <w:br/>
      </w:r>
    </w:p>
    <w:p w14:paraId="5AAD2D62" w14:textId="77777777" w:rsidR="00F81BBE" w:rsidRDefault="00F81BBE" w:rsidP="00040946">
      <w:pPr>
        <w:pStyle w:val="Textkrper"/>
        <w:rPr>
          <w:rFonts w:cs="VWAGTheAntiqua-Bold"/>
          <w:bCs/>
          <w:color w:val="000000"/>
          <w:kern w:val="21"/>
          <w:szCs w:val="21"/>
          <w:lang w:eastAsia="de-DE" w:bidi="ar-SA"/>
        </w:rPr>
      </w:pPr>
    </w:p>
    <w:p w14:paraId="32529A61" w14:textId="65F1E74B" w:rsidR="00040946" w:rsidRPr="001A6B4C" w:rsidRDefault="00040946" w:rsidP="00040946">
      <w:pPr>
        <w:pStyle w:val="Textkrper"/>
        <w:rPr>
          <w:rFonts w:cs="VWAGTheAntiqua-Bold"/>
          <w:b/>
          <w:color w:val="000000"/>
          <w:kern w:val="21"/>
          <w:szCs w:val="21"/>
          <w:lang w:eastAsia="de-DE" w:bidi="ar-SA"/>
        </w:rPr>
      </w:pPr>
      <w:r w:rsidRPr="001A6B4C">
        <w:rPr>
          <w:rFonts w:cs="VWAGTheAntiqua-Bold"/>
          <w:bCs/>
          <w:color w:val="000000"/>
          <w:kern w:val="21"/>
          <w:szCs w:val="21"/>
          <w:lang w:eastAsia="de-DE" w:bidi="ar-SA"/>
        </w:rPr>
        <w:t xml:space="preserve">The Group continues to develop new models tailored to customer demand and remains well-positioned to benefit from further growth in this segment. In 2023, several significant new models for the Group will be presented, including the new ID.3, ID.7, ID. Buzz Long </w:t>
      </w:r>
      <w:proofErr w:type="gramStart"/>
      <w:r w:rsidRPr="001A6B4C">
        <w:rPr>
          <w:rFonts w:cs="VWAGTheAntiqua-Bold"/>
          <w:bCs/>
          <w:color w:val="000000"/>
          <w:kern w:val="21"/>
          <w:szCs w:val="21"/>
          <w:lang w:eastAsia="de-DE" w:bidi="ar-SA"/>
        </w:rPr>
        <w:t>Wheel Base</w:t>
      </w:r>
      <w:proofErr w:type="gramEnd"/>
      <w:r w:rsidRPr="001A6B4C">
        <w:rPr>
          <w:rFonts w:cs="VWAGTheAntiqua-Bold"/>
          <w:bCs/>
          <w:color w:val="000000"/>
          <w:kern w:val="21"/>
          <w:szCs w:val="21"/>
          <w:lang w:eastAsia="de-DE" w:bidi="ar-SA"/>
        </w:rPr>
        <w:t xml:space="preserve">, CUPRA </w:t>
      </w:r>
      <w:proofErr w:type="spellStart"/>
      <w:r w:rsidRPr="001A6B4C">
        <w:rPr>
          <w:rFonts w:cs="VWAGTheAntiqua-Bold"/>
          <w:bCs/>
          <w:color w:val="000000"/>
          <w:kern w:val="21"/>
          <w:szCs w:val="21"/>
          <w:lang w:eastAsia="de-DE" w:bidi="ar-SA"/>
        </w:rPr>
        <w:t>Tavascan</w:t>
      </w:r>
      <w:proofErr w:type="spellEnd"/>
      <w:r w:rsidRPr="001A6B4C">
        <w:rPr>
          <w:rFonts w:cs="VWAGTheAntiqua-Bold"/>
          <w:bCs/>
          <w:color w:val="000000"/>
          <w:kern w:val="21"/>
          <w:szCs w:val="21"/>
          <w:lang w:eastAsia="de-DE" w:bidi="ar-SA"/>
        </w:rPr>
        <w:t xml:space="preserve"> and Audi Q8 e-</w:t>
      </w:r>
      <w:proofErr w:type="spellStart"/>
      <w:r w:rsidRPr="001A6B4C">
        <w:rPr>
          <w:rFonts w:cs="VWAGTheAntiqua-Bold"/>
          <w:bCs/>
          <w:color w:val="000000"/>
          <w:kern w:val="21"/>
          <w:szCs w:val="21"/>
          <w:lang w:eastAsia="de-DE" w:bidi="ar-SA"/>
        </w:rPr>
        <w:t>tron</w:t>
      </w:r>
      <w:proofErr w:type="spellEnd"/>
      <w:r w:rsidRPr="001A6B4C">
        <w:rPr>
          <w:rFonts w:cs="VWAGTheAntiqua-Bold"/>
          <w:bCs/>
          <w:color w:val="000000"/>
          <w:kern w:val="21"/>
          <w:szCs w:val="21"/>
          <w:lang w:eastAsia="de-DE" w:bidi="ar-SA"/>
        </w:rPr>
        <w:t xml:space="preserve">. With the launch of these new models, the Group aims to reach a BEV share of around 10 percent of total deliveries in FY 2023.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r w:rsidRPr="00F135DF">
        <w:rPr>
          <w:rFonts w:cs="VWAGTheAntiqua-Bold"/>
          <w:b/>
          <w:color w:val="000000"/>
          <w:kern w:val="21"/>
          <w:szCs w:val="21"/>
          <w:lang w:eastAsia="de-DE" w:bidi="ar-SA"/>
        </w:rPr>
        <w:t>Strength of Volkswagen Group brands demonstrated by robust operating profit</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Robust operating profit before special items of EUR 22.5 billion, up 12.5 percent compared with 2021, demonstrated the strength of Volkswagen Group brands. The increase in earnings across all brand groups was driven by improved mix, mainly through Premium and Sport brand groups and a stronger Volume brand group. The Volume brand group, despite a slight decline to 4.1 million deliveries in 2022, saw an increase of its operating profit before special items to EUR 4.0 billion (2021: EUR 3.5 billion).</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Premium Brand Group margin increased to12.3 percent (10.6 percent) seeing a resilient demand for well-equipped premium vehicles, a high order bank and strong results from the Lamborghini, </w:t>
      </w:r>
      <w:proofErr w:type="gramStart"/>
      <w:r w:rsidRPr="001A6B4C">
        <w:rPr>
          <w:rFonts w:cs="VWAGTheAntiqua-Bold"/>
          <w:bCs/>
          <w:color w:val="000000"/>
          <w:kern w:val="21"/>
          <w:szCs w:val="21"/>
          <w:lang w:eastAsia="de-DE" w:bidi="ar-SA"/>
        </w:rPr>
        <w:t>Bentley</w:t>
      </w:r>
      <w:proofErr w:type="gramEnd"/>
      <w:r w:rsidRPr="001A6B4C">
        <w:rPr>
          <w:rFonts w:cs="VWAGTheAntiqua-Bold"/>
          <w:bCs/>
          <w:color w:val="000000"/>
          <w:kern w:val="21"/>
          <w:szCs w:val="21"/>
          <w:lang w:eastAsia="de-DE" w:bidi="ar-SA"/>
        </w:rPr>
        <w:t xml:space="preserve"> and Ducati brands. Premium brand Group’s revenue rose to EUR 61.8 billion (EUR 55.9 billion) in 2022 and operating profit before special items improved to EUR 7.6 billion (EUR 5.9 billion).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Porsche’s operating margin advanced to 18.6 percent, seeing higher volume, improved </w:t>
      </w:r>
      <w:proofErr w:type="gramStart"/>
      <w:r w:rsidRPr="001A6B4C">
        <w:rPr>
          <w:rFonts w:cs="VWAGTheAntiqua-Bold"/>
          <w:bCs/>
          <w:color w:val="000000"/>
          <w:kern w:val="21"/>
          <w:szCs w:val="21"/>
          <w:lang w:eastAsia="de-DE" w:bidi="ar-SA"/>
        </w:rPr>
        <w:t>pricing</w:t>
      </w:r>
      <w:proofErr w:type="gramEnd"/>
      <w:r w:rsidRPr="001A6B4C">
        <w:rPr>
          <w:rFonts w:cs="VWAGTheAntiqua-Bold"/>
          <w:bCs/>
          <w:color w:val="000000"/>
          <w:kern w:val="21"/>
          <w:szCs w:val="21"/>
          <w:lang w:eastAsia="de-DE" w:bidi="ar-SA"/>
        </w:rPr>
        <w:t xml:space="preserve"> and better product mix as its BEV share amounted to over 11 percent of total deliveries. The Porsche </w:t>
      </w:r>
      <w:proofErr w:type="spellStart"/>
      <w:r w:rsidRPr="001A6B4C">
        <w:rPr>
          <w:rFonts w:cs="VWAGTheAntiqua-Bold"/>
          <w:bCs/>
          <w:color w:val="000000"/>
          <w:kern w:val="21"/>
          <w:szCs w:val="21"/>
          <w:lang w:eastAsia="de-DE" w:bidi="ar-SA"/>
        </w:rPr>
        <w:t>Taycan</w:t>
      </w:r>
      <w:proofErr w:type="spellEnd"/>
      <w:r w:rsidRPr="001A6B4C">
        <w:rPr>
          <w:rFonts w:cs="VWAGTheAntiqua-Bold"/>
          <w:bCs/>
          <w:color w:val="000000"/>
          <w:kern w:val="21"/>
          <w:szCs w:val="21"/>
          <w:lang w:eastAsia="de-DE" w:bidi="ar-SA"/>
        </w:rPr>
        <w:t xml:space="preserve"> reached the production milestone of 100,000 vehicles in 2022, after only two years.</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Volkswagen Financial Services was once again a key contributor to the Group’s strong financial performance, with an operating profit of EUR 5.7 billion.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proofErr w:type="spellStart"/>
      <w:r w:rsidRPr="001A6B4C">
        <w:rPr>
          <w:rFonts w:cs="VWAGTheAntiqua-Bold"/>
          <w:bCs/>
          <w:color w:val="000000"/>
          <w:kern w:val="21"/>
          <w:szCs w:val="21"/>
          <w:lang w:eastAsia="de-DE" w:bidi="ar-SA"/>
        </w:rPr>
        <w:t>Traton</w:t>
      </w:r>
      <w:proofErr w:type="spellEnd"/>
      <w:r w:rsidRPr="001A6B4C">
        <w:rPr>
          <w:rFonts w:cs="VWAGTheAntiqua-Bold"/>
          <w:bCs/>
          <w:color w:val="000000"/>
          <w:kern w:val="21"/>
          <w:szCs w:val="21"/>
          <w:lang w:eastAsia="de-DE" w:bidi="ar-SA"/>
        </w:rPr>
        <w:t xml:space="preserve"> Commercial Vehicles increased revenues to EUR 39.5 billion (30.1 billion) by compensating for lower capacity utilization and higher product costs through price implementation and mix. The </w:t>
      </w:r>
      <w:proofErr w:type="spellStart"/>
      <w:r w:rsidRPr="001A6B4C">
        <w:rPr>
          <w:rFonts w:cs="VWAGTheAntiqua-Bold"/>
          <w:bCs/>
          <w:color w:val="000000"/>
          <w:kern w:val="21"/>
          <w:szCs w:val="21"/>
          <w:lang w:eastAsia="de-DE" w:bidi="ar-SA"/>
        </w:rPr>
        <w:t>Traton</w:t>
      </w:r>
      <w:proofErr w:type="spellEnd"/>
      <w:r w:rsidRPr="001A6B4C">
        <w:rPr>
          <w:rFonts w:cs="VWAGTheAntiqua-Bold"/>
          <w:bCs/>
          <w:color w:val="000000"/>
          <w:kern w:val="21"/>
          <w:szCs w:val="21"/>
          <w:lang w:eastAsia="de-DE" w:bidi="ar-SA"/>
        </w:rPr>
        <w:t xml:space="preserve"> Group improved its operating margin to 4 percent (1.3 percent) with an operating profit of EUR 1.6 billion (0.4 billion).</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p>
    <w:p w14:paraId="65453FD9" w14:textId="77777777" w:rsidR="00040946" w:rsidRPr="001A6B4C" w:rsidRDefault="00040946" w:rsidP="00040946">
      <w:pPr>
        <w:pStyle w:val="Textkrper"/>
        <w:rPr>
          <w:rFonts w:cs="VWAGTheAntiqua-Bold"/>
          <w:b/>
          <w:color w:val="000000"/>
          <w:kern w:val="21"/>
          <w:szCs w:val="21"/>
          <w:lang w:eastAsia="de-DE" w:bidi="ar-SA"/>
        </w:rPr>
      </w:pPr>
    </w:p>
    <w:p w14:paraId="5B2C4D02" w14:textId="77777777" w:rsidR="00040946" w:rsidRPr="001A6B4C" w:rsidRDefault="00040946" w:rsidP="00040946">
      <w:pPr>
        <w:pStyle w:val="Textkrper"/>
        <w:rPr>
          <w:rFonts w:cs="VWAGTheAntiqua-Bold"/>
          <w:b/>
          <w:color w:val="000000"/>
          <w:kern w:val="21"/>
          <w:szCs w:val="21"/>
          <w:lang w:eastAsia="de-DE" w:bidi="ar-SA"/>
        </w:rPr>
      </w:pPr>
    </w:p>
    <w:p w14:paraId="2E20C71F" w14:textId="77777777" w:rsidR="00F81BBE" w:rsidRDefault="00F81BBE" w:rsidP="00625F19">
      <w:pPr>
        <w:pStyle w:val="Textkrper"/>
        <w:rPr>
          <w:rFonts w:cs="VWAGTheAntiqua-Bold"/>
          <w:b/>
          <w:color w:val="000000"/>
          <w:kern w:val="21"/>
          <w:szCs w:val="21"/>
          <w:lang w:eastAsia="de-DE" w:bidi="ar-SA"/>
        </w:rPr>
      </w:pPr>
    </w:p>
    <w:p w14:paraId="4920CA0D" w14:textId="40B30056" w:rsidR="00625F19" w:rsidRPr="001A6B4C" w:rsidRDefault="00040946" w:rsidP="00625F19">
      <w:pPr>
        <w:pStyle w:val="Textkrper"/>
        <w:rPr>
          <w:rFonts w:cs="VWAGTheAntiqua-Bold"/>
          <w:bCs/>
          <w:color w:val="000000"/>
          <w:kern w:val="21"/>
          <w:szCs w:val="21"/>
          <w:lang w:eastAsia="de-DE" w:bidi="ar-SA"/>
        </w:rPr>
      </w:pPr>
      <w:r w:rsidRPr="001A6B4C">
        <w:rPr>
          <w:rFonts w:cs="VWAGTheAntiqua-Bold"/>
          <w:b/>
          <w:color w:val="000000"/>
          <w:kern w:val="21"/>
          <w:szCs w:val="21"/>
          <w:lang w:eastAsia="de-DE" w:bidi="ar-SA"/>
        </w:rPr>
        <w:t>Well-positioned for growth in North America as market shifts towards full electric vehicles</w:t>
      </w:r>
      <w:r w:rsidRPr="001A6B4C">
        <w:rPr>
          <w:rFonts w:ascii="Arial" w:hAnsi="Arial" w:cs="Arial"/>
          <w:b/>
          <w:color w:val="000000"/>
          <w:kern w:val="21"/>
          <w:szCs w:val="21"/>
          <w:lang w:eastAsia="de-DE" w:bidi="ar-SA"/>
        </w:rPr>
        <w:t> </w:t>
      </w:r>
      <w:r w:rsidRPr="001A6B4C">
        <w:rPr>
          <w:rFonts w:cs="VWAGTheAntiqua-Bold"/>
          <w:b/>
          <w:color w:val="000000"/>
          <w:kern w:val="21"/>
          <w:szCs w:val="21"/>
          <w:lang w:eastAsia="de-DE" w:bidi="ar-SA"/>
        </w:rPr>
        <w:t xml:space="preserve">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Volkswagen Group’s expansion in the North American market continued throughout 2022, with several key milestones being met during the year. This includes a strengthened US leadership team, the first ID.4s rolling off the production line in Chattanooga in 2022 and the announcement of the iconic Scout brand to deliver its first all-electric vehicles in 2026.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Overall, BEV deliveries in US were up 18.8 percent to 44,200 units, with the Group ranking #4 overall in the all-electric segment. The Group currently has 4 percent market share in the total market including ICE vehicles, which it aims to increase to 10 percent by 2030. In large part this will be driven by the expansion of the broadest US product range, including the debuts of the ID.7 and ID. Buzz in 2024.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r>
      <w:r w:rsidRPr="001A6B4C">
        <w:rPr>
          <w:rFonts w:cs="VWAGTheAntiqua-Bold"/>
          <w:b/>
          <w:color w:val="000000"/>
          <w:kern w:val="21"/>
          <w:szCs w:val="21"/>
          <w:lang w:eastAsia="de-DE" w:bidi="ar-SA"/>
        </w:rPr>
        <w:t xml:space="preserve">Market recovery in China rooted in regional approach </w:t>
      </w:r>
      <w:r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br/>
        <w:t xml:space="preserve">China continues to play an important role in the transformation of the industry and in meeting the Group’s decarbonization goals. The introduction of a cross-brand China Board aims to significantly accelerate decision-making and development processes in the region, thereby leveraging more synergies between the brands. In 2022, the Group’s ‘in China for China’ approach helped to further extend local partnerships. With the Horizon Robotics </w:t>
      </w:r>
      <w:proofErr w:type="gramStart"/>
      <w:r w:rsidRPr="001A6B4C">
        <w:rPr>
          <w:rFonts w:cs="VWAGTheAntiqua-Bold"/>
          <w:bCs/>
          <w:color w:val="000000"/>
          <w:kern w:val="21"/>
          <w:szCs w:val="21"/>
          <w:lang w:eastAsia="de-DE" w:bidi="ar-SA"/>
        </w:rPr>
        <w:t>partnership</w:t>
      </w:r>
      <w:proofErr w:type="gramEnd"/>
      <w:r w:rsidRPr="001A6B4C">
        <w:rPr>
          <w:rFonts w:cs="VWAGTheAntiqua-Bold"/>
          <w:bCs/>
          <w:color w:val="000000"/>
          <w:kern w:val="21"/>
          <w:szCs w:val="21"/>
          <w:lang w:eastAsia="de-DE" w:bidi="ar-SA"/>
        </w:rPr>
        <w:t xml:space="preserve"> the Group will drive forward the development of driver assistance systems and highly automated driving in China. In addition, the Group established CARIAD China to accelerate research and development, expand the approach to software development and push forward a China-specific technology concept. This will enable the Group to satisfy the needs of local customers more effectively, regularly bring them fresh, </w:t>
      </w:r>
      <w:proofErr w:type="gramStart"/>
      <w:r w:rsidRPr="001A6B4C">
        <w:rPr>
          <w:rFonts w:cs="VWAGTheAntiqua-Bold"/>
          <w:bCs/>
          <w:color w:val="000000"/>
          <w:kern w:val="21"/>
          <w:szCs w:val="21"/>
          <w:lang w:eastAsia="de-DE" w:bidi="ar-SA"/>
        </w:rPr>
        <w:t>smart</w:t>
      </w:r>
      <w:proofErr w:type="gramEnd"/>
      <w:r w:rsidRPr="001A6B4C">
        <w:rPr>
          <w:rFonts w:cs="VWAGTheAntiqua-Bold"/>
          <w:bCs/>
          <w:color w:val="000000"/>
          <w:kern w:val="21"/>
          <w:szCs w:val="21"/>
          <w:lang w:eastAsia="de-DE" w:bidi="ar-SA"/>
        </w:rPr>
        <w:t xml:space="preserve"> and comfortable travel experiences and realize its goals in the region. China's importance will increase even further in the coming decade, especially in the field of electromobility.</w:t>
      </w:r>
      <w:r w:rsidR="00625F19" w:rsidRPr="001A6B4C">
        <w:rPr>
          <w:rFonts w:cs="VWAGTheAntiqua-Bold"/>
          <w:bCs/>
          <w:color w:val="000000"/>
          <w:kern w:val="21"/>
          <w:szCs w:val="21"/>
          <w:lang w:eastAsia="de-DE" w:bidi="ar-SA"/>
        </w:rPr>
        <w:br/>
      </w:r>
      <w:r w:rsidR="00625F19" w:rsidRPr="001A6B4C">
        <w:rPr>
          <w:rFonts w:cs="VWAGTheAntiqua-Bold"/>
          <w:bCs/>
          <w:color w:val="000000"/>
          <w:kern w:val="21"/>
          <w:szCs w:val="21"/>
          <w:lang w:eastAsia="de-DE" w:bidi="ar-SA"/>
        </w:rPr>
        <w:br/>
      </w:r>
      <w:r w:rsidRPr="001A6B4C">
        <w:rPr>
          <w:rFonts w:cs="VWAGTheAntiqua-Bold"/>
          <w:bCs/>
          <w:color w:val="000000"/>
          <w:kern w:val="21"/>
          <w:szCs w:val="21"/>
          <w:lang w:eastAsia="de-DE" w:bidi="ar-SA"/>
        </w:rPr>
        <w:t>Already, this approach is achieving impressive results and in 2022 the Group saw deliveries of all-electric vehicles in the ID. family more than double in China. In total, 143,100 ID.3, ID.4 and ID.6</w:t>
      </w:r>
      <w:r w:rsidRPr="00F81BBE">
        <w:rPr>
          <w:rFonts w:cs="VWAGTheAntiqua-Bold"/>
          <w:bCs/>
          <w:color w:val="000000"/>
          <w:kern w:val="21"/>
          <w:szCs w:val="21"/>
          <w:vertAlign w:val="superscript"/>
          <w:lang w:eastAsia="de-DE" w:bidi="ar-SA"/>
        </w:rPr>
        <w:t xml:space="preserve">3 </w:t>
      </w:r>
      <w:r w:rsidRPr="001A6B4C">
        <w:rPr>
          <w:rFonts w:cs="VWAGTheAntiqua-Bold"/>
          <w:bCs/>
          <w:color w:val="000000"/>
          <w:kern w:val="21"/>
          <w:szCs w:val="21"/>
          <w:lang w:eastAsia="de-DE" w:bidi="ar-SA"/>
        </w:rPr>
        <w:t>models were sold there in 2022, an increase of 102.9 percent year-on-year. Overall, BEV deliveries in China were up 68 percent year-on-year.</w:t>
      </w:r>
      <w:r w:rsidR="00625F19" w:rsidRPr="001A6B4C">
        <w:rPr>
          <w:rFonts w:cs="VWAGTheAntiqua-Bold"/>
          <w:bCs/>
          <w:color w:val="000000"/>
          <w:kern w:val="21"/>
          <w:szCs w:val="21"/>
          <w:lang w:eastAsia="de-DE" w:bidi="ar-SA"/>
        </w:rPr>
        <w:br/>
      </w:r>
      <w:r w:rsidR="00625F19" w:rsidRPr="001A6B4C">
        <w:rPr>
          <w:rFonts w:cs="VWAGTheAntiqua-Bold"/>
          <w:bCs/>
          <w:color w:val="000000"/>
          <w:kern w:val="21"/>
          <w:szCs w:val="21"/>
          <w:lang w:eastAsia="de-DE" w:bidi="ar-SA"/>
        </w:rPr>
        <w:br/>
        <w:t xml:space="preserve">The documents relating to the Volkswagen Group's annual media conference will be available from 7:30 a.m. on March 14 on the following website:  </w:t>
      </w:r>
      <w:hyperlink r:id="rId10" w:history="1">
        <w:r w:rsidR="00625F19" w:rsidRPr="001A6B4C">
          <w:rPr>
            <w:rStyle w:val="Hyperlink"/>
            <w:rFonts w:cs="VWAGTheAntiqua-Bold"/>
            <w:bCs/>
            <w:kern w:val="21"/>
            <w:szCs w:val="21"/>
            <w:lang w:eastAsia="de-DE" w:bidi="ar-SA"/>
          </w:rPr>
          <w:t>https://amc.volkswagen-group.com/en</w:t>
        </w:r>
      </w:hyperlink>
      <w:r w:rsidR="00625F19" w:rsidRPr="001A6B4C">
        <w:rPr>
          <w:rFonts w:cs="VWAGTheAntiqua-Bold"/>
          <w:bCs/>
          <w:color w:val="000000"/>
          <w:kern w:val="21"/>
          <w:szCs w:val="21"/>
          <w:lang w:eastAsia="de-DE" w:bidi="ar-SA"/>
        </w:rPr>
        <w:t xml:space="preserve"> </w:t>
      </w:r>
    </w:p>
    <w:p w14:paraId="09F42E1E" w14:textId="77777777" w:rsidR="00625F19" w:rsidRPr="001A6B4C" w:rsidRDefault="00625F19" w:rsidP="00625F19">
      <w:pPr>
        <w:pStyle w:val="Textkrper"/>
        <w:rPr>
          <w:rFonts w:cs="VWAGTheAntiqua-Bold"/>
          <w:bCs/>
          <w:color w:val="000000"/>
          <w:kern w:val="21"/>
          <w:szCs w:val="21"/>
          <w:lang w:eastAsia="de-DE" w:bidi="ar-SA"/>
        </w:rPr>
      </w:pPr>
    </w:p>
    <w:p w14:paraId="7D084932" w14:textId="77777777" w:rsidR="001A6B4C" w:rsidRDefault="001A6B4C" w:rsidP="00625F19">
      <w:pPr>
        <w:pStyle w:val="Textkrper"/>
        <w:rPr>
          <w:rFonts w:cs="VWAGTheAntiqua-Bold"/>
          <w:bCs/>
          <w:i/>
          <w:iCs/>
          <w:color w:val="000000"/>
          <w:kern w:val="21"/>
          <w:sz w:val="18"/>
          <w:szCs w:val="18"/>
          <w:vertAlign w:val="superscript"/>
          <w:lang w:eastAsia="de-DE" w:bidi="ar-SA"/>
        </w:rPr>
      </w:pPr>
    </w:p>
    <w:p w14:paraId="1EFEAED3" w14:textId="73902C81" w:rsidR="001C3AD6" w:rsidRPr="001A6B4C" w:rsidRDefault="00625F19" w:rsidP="00625F19">
      <w:pPr>
        <w:pStyle w:val="Textkrper"/>
        <w:rPr>
          <w:rFonts w:cs="VWAGTheAntiqua-Bold"/>
          <w:bCs/>
          <w:i/>
          <w:iCs/>
          <w:color w:val="000000"/>
          <w:kern w:val="21"/>
          <w:sz w:val="18"/>
          <w:szCs w:val="18"/>
          <w:lang w:eastAsia="de-DE" w:bidi="ar-SA"/>
        </w:rPr>
      </w:pPr>
      <w:r w:rsidRPr="001A6B4C">
        <w:rPr>
          <w:rFonts w:cs="VWAGTheAntiqua-Bold"/>
          <w:bCs/>
          <w:i/>
          <w:iCs/>
          <w:color w:val="000000"/>
          <w:kern w:val="21"/>
          <w:sz w:val="18"/>
          <w:szCs w:val="18"/>
          <w:vertAlign w:val="superscript"/>
          <w:lang w:eastAsia="de-DE" w:bidi="ar-SA"/>
        </w:rPr>
        <w:t>1)</w:t>
      </w:r>
      <w:r w:rsidRPr="001A6B4C">
        <w:rPr>
          <w:rFonts w:cs="VWAGTheAntiqua-Bold"/>
          <w:bCs/>
          <w:i/>
          <w:iCs/>
          <w:color w:val="000000"/>
          <w:kern w:val="21"/>
          <w:sz w:val="18"/>
          <w:szCs w:val="18"/>
          <w:lang w:eastAsia="de-DE" w:bidi="ar-SA"/>
        </w:rPr>
        <w:t xml:space="preserve"> ID.4 Pro Performance 150 kW (204 PS) – Combined power consumption in kWh/100 km: 18.7-16.4; combined CO₂ emissions in g/km: 0. Only consumption and emission values according to WLTP and not according to NEDC are available for the vehicle</w:t>
      </w:r>
      <w:r w:rsidR="001A6B4C">
        <w:rPr>
          <w:rFonts w:cs="VWAGTheAntiqua-Bold"/>
          <w:bCs/>
          <w:i/>
          <w:iCs/>
          <w:color w:val="000000"/>
          <w:kern w:val="21"/>
          <w:sz w:val="18"/>
          <w:szCs w:val="18"/>
          <w:lang w:eastAsia="de-DE" w:bidi="ar-SA"/>
        </w:rPr>
        <w:br/>
      </w:r>
      <w:r w:rsidR="001A6B4C">
        <w:rPr>
          <w:rFonts w:cs="VWAGTheAntiqua-Bold"/>
          <w:bCs/>
          <w:i/>
          <w:iCs/>
          <w:color w:val="000000"/>
          <w:kern w:val="21"/>
          <w:sz w:val="18"/>
          <w:szCs w:val="18"/>
          <w:lang w:eastAsia="de-DE" w:bidi="ar-SA"/>
        </w:rPr>
        <w:br/>
      </w:r>
      <w:r w:rsidRPr="001A6B4C">
        <w:rPr>
          <w:rFonts w:cs="VWAGTheAntiqua-Bold"/>
          <w:bCs/>
          <w:i/>
          <w:iCs/>
          <w:color w:val="000000"/>
          <w:kern w:val="21"/>
          <w:sz w:val="18"/>
          <w:szCs w:val="18"/>
          <w:vertAlign w:val="superscript"/>
          <w:lang w:eastAsia="de-DE" w:bidi="ar-SA"/>
        </w:rPr>
        <w:t>2)</w:t>
      </w:r>
      <w:r w:rsidRPr="001A6B4C">
        <w:rPr>
          <w:rFonts w:cs="VWAGTheAntiqua-Bold"/>
          <w:bCs/>
          <w:i/>
          <w:iCs/>
          <w:color w:val="000000"/>
          <w:kern w:val="21"/>
          <w:sz w:val="18"/>
          <w:szCs w:val="18"/>
          <w:lang w:eastAsia="de-DE" w:bidi="ar-SA"/>
        </w:rPr>
        <w:t xml:space="preserve"> ID.3 – Combined power consumption in kWh/100 km: 16.0-15.3; combined CO₂ emissions in g/km: 0. Only consumption and emission values according to WLTP and not according to NEDC are available for the vehicle</w:t>
      </w:r>
      <w:r w:rsidR="001A6B4C">
        <w:rPr>
          <w:rFonts w:cs="VWAGTheAntiqua-Bold"/>
          <w:bCs/>
          <w:i/>
          <w:iCs/>
          <w:color w:val="000000"/>
          <w:kern w:val="21"/>
          <w:sz w:val="18"/>
          <w:szCs w:val="18"/>
          <w:lang w:eastAsia="de-DE" w:bidi="ar-SA"/>
        </w:rPr>
        <w:br/>
      </w:r>
      <w:r w:rsidR="001A6B4C">
        <w:rPr>
          <w:rFonts w:cs="VWAGTheAntiqua-Bold"/>
          <w:bCs/>
          <w:i/>
          <w:iCs/>
          <w:color w:val="000000"/>
          <w:kern w:val="21"/>
          <w:sz w:val="18"/>
          <w:szCs w:val="18"/>
          <w:lang w:eastAsia="de-DE" w:bidi="ar-SA"/>
        </w:rPr>
        <w:br/>
      </w:r>
      <w:r w:rsidRPr="001A6B4C">
        <w:rPr>
          <w:rFonts w:cs="VWAGTheAntiqua-Bold"/>
          <w:bCs/>
          <w:i/>
          <w:iCs/>
          <w:color w:val="000000"/>
          <w:kern w:val="21"/>
          <w:sz w:val="18"/>
          <w:szCs w:val="18"/>
          <w:vertAlign w:val="superscript"/>
          <w:lang w:eastAsia="de-DE" w:bidi="ar-SA"/>
        </w:rPr>
        <w:t>3</w:t>
      </w:r>
      <w:r w:rsidRPr="001A6B4C">
        <w:rPr>
          <w:rFonts w:cs="VWAGTheAntiqua-Bold"/>
          <w:bCs/>
          <w:i/>
          <w:iCs/>
          <w:color w:val="000000"/>
          <w:kern w:val="21"/>
          <w:sz w:val="18"/>
          <w:szCs w:val="18"/>
          <w:lang w:eastAsia="de-DE" w:bidi="ar-SA"/>
        </w:rPr>
        <w:t>) ID.6 – The vehicle is not sold in Germany</w:t>
      </w:r>
    </w:p>
    <w:p w14:paraId="57299A40" w14:textId="77777777" w:rsidR="001C3AD6" w:rsidRDefault="001C3AD6" w:rsidP="001C0DE0">
      <w:pPr>
        <w:pStyle w:val="Textkrpe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567"/>
        <w:gridCol w:w="4996"/>
        <w:gridCol w:w="3282"/>
      </w:tblGrid>
      <w:tr w:rsidR="001E49FB" w:rsidRPr="001E49FB" w14:paraId="0E212460" w14:textId="77777777" w:rsidTr="000E3DD7">
        <w:trPr>
          <w:gridAfter w:val="1"/>
          <w:wAfter w:w="3282" w:type="dxa"/>
          <w:cantSplit/>
          <w:trHeight w:val="23"/>
        </w:trPr>
        <w:tc>
          <w:tcPr>
            <w:tcW w:w="1219" w:type="dxa"/>
            <w:tcBorders>
              <w:top w:val="single" w:sz="2" w:space="0" w:color="auto"/>
              <w:left w:val="nil"/>
              <w:bottom w:val="nil"/>
              <w:right w:val="nil"/>
            </w:tcBorders>
          </w:tcPr>
          <w:p w14:paraId="67A573F0" w14:textId="77777777" w:rsidR="001E49FB" w:rsidRPr="001E49FB" w:rsidRDefault="001E49FB" w:rsidP="001E49FB">
            <w:pPr>
              <w:keepNext/>
              <w:keepLines/>
              <w:spacing w:line="264" w:lineRule="auto"/>
              <w:rPr>
                <w:rFonts w:ascii="VWAG TheSans" w:hAnsi="VWAG TheSans" w:cs="Arial"/>
                <w:b/>
                <w:bCs/>
                <w:kern w:val="8"/>
                <w:sz w:val="12"/>
                <w:szCs w:val="12"/>
                <w:lang w:val="en-GB"/>
              </w:rPr>
            </w:pPr>
          </w:p>
        </w:tc>
        <w:tc>
          <w:tcPr>
            <w:tcW w:w="567" w:type="dxa"/>
            <w:tcBorders>
              <w:top w:val="single" w:sz="2" w:space="0" w:color="auto"/>
              <w:left w:val="nil"/>
              <w:bottom w:val="nil"/>
              <w:right w:val="nil"/>
            </w:tcBorders>
          </w:tcPr>
          <w:p w14:paraId="515DBDB7" w14:textId="77777777" w:rsidR="001E49FB" w:rsidRPr="001E49FB" w:rsidRDefault="001E49FB" w:rsidP="001E49FB">
            <w:pPr>
              <w:keepNext/>
              <w:keepLines/>
              <w:spacing w:line="264" w:lineRule="auto"/>
              <w:rPr>
                <w:rFonts w:ascii="VWAG TheSans" w:hAnsi="VWAG TheSans" w:cs="Arial"/>
                <w:b/>
                <w:bCs/>
                <w:kern w:val="8"/>
                <w:sz w:val="12"/>
                <w:szCs w:val="12"/>
                <w:lang w:val="en-GB"/>
              </w:rPr>
            </w:pPr>
          </w:p>
        </w:tc>
        <w:tc>
          <w:tcPr>
            <w:tcW w:w="4996" w:type="dxa"/>
            <w:tcBorders>
              <w:top w:val="nil"/>
              <w:left w:val="nil"/>
              <w:bottom w:val="nil"/>
              <w:right w:val="nil"/>
            </w:tcBorders>
          </w:tcPr>
          <w:p w14:paraId="1443F52B" w14:textId="77777777" w:rsidR="001E49FB" w:rsidRPr="001E49FB" w:rsidRDefault="001E49FB" w:rsidP="001E49FB">
            <w:pPr>
              <w:keepNext/>
              <w:keepLines/>
              <w:spacing w:line="264" w:lineRule="auto"/>
              <w:rPr>
                <w:rFonts w:ascii="VWAG TheSans" w:hAnsi="VWAG TheSans" w:cs="Arial"/>
                <w:b/>
                <w:bCs/>
                <w:kern w:val="8"/>
                <w:sz w:val="12"/>
                <w:szCs w:val="12"/>
                <w:lang w:val="en-GB"/>
              </w:rPr>
            </w:pPr>
          </w:p>
        </w:tc>
      </w:tr>
      <w:tr w:rsidR="001E49FB" w:rsidRPr="001E49FB" w14:paraId="5E612CCC" w14:textId="77777777" w:rsidTr="000E3DD7">
        <w:trPr>
          <w:cantSplit/>
        </w:trPr>
        <w:tc>
          <w:tcPr>
            <w:tcW w:w="1219" w:type="dxa"/>
            <w:tcBorders>
              <w:top w:val="nil"/>
              <w:left w:val="nil"/>
              <w:bottom w:val="nil"/>
              <w:right w:val="nil"/>
            </w:tcBorders>
          </w:tcPr>
          <w:p w14:paraId="287D41BB" w14:textId="77777777" w:rsidR="001E49FB" w:rsidRPr="001E49FB" w:rsidRDefault="001E49FB" w:rsidP="001E49FB">
            <w:pPr>
              <w:spacing w:line="300" w:lineRule="auto"/>
              <w:rPr>
                <w:rFonts w:ascii="VWAG TheSans" w:hAnsi="VWAG TheSans" w:cs="VWText"/>
                <w:b/>
                <w:kern w:val="8"/>
                <w:sz w:val="18"/>
                <w:szCs w:val="19"/>
                <w:lang w:val="de-DE"/>
              </w:rPr>
            </w:pPr>
            <w:r w:rsidRPr="001E49FB">
              <w:rPr>
                <w:rFonts w:ascii="VWAG TheSans" w:hAnsi="VWAG TheSans" w:cs="VWText"/>
                <w:b/>
                <w:noProof/>
                <w:kern w:val="8"/>
                <w:sz w:val="18"/>
                <w:szCs w:val="19"/>
                <w:lang w:val="de-DE" w:eastAsia="zh-CN"/>
              </w:rPr>
              <w:drawing>
                <wp:inline distT="0" distB="0" distL="0" distR="0" wp14:anchorId="08F859AA" wp14:editId="3A948B4D">
                  <wp:extent cx="533400" cy="434340"/>
                  <wp:effectExtent l="0" t="0" r="0" b="0"/>
                  <wp:docPr id="8" name="Picture 1168339155" descr="Ein Bild, das Gebäude, Mann, Person, drauße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168339155" descr="Ein Bild, das Gebäude, Mann, Person, draußen enthält.&#10;&#10;Automatisch generierte Beschreibung"/>
                          <pic:cNvPicPr/>
                        </pic:nvPicPr>
                        <pic:blipFill>
                          <a:blip r:embed="rId11">
                            <a:extLst>
                              <a:ext uri="{28A0092B-C50C-407E-A947-70E740481C1C}">
                                <a14:useLocalDpi xmlns:a14="http://schemas.microsoft.com/office/drawing/2010/main" val="0"/>
                              </a:ext>
                            </a:extLst>
                          </a:blip>
                          <a:srcRect l="13580" r="17284"/>
                          <a:stretch>
                            <a:fillRect/>
                          </a:stretch>
                        </pic:blipFill>
                        <pic:spPr>
                          <a:xfrm>
                            <a:off x="0" y="0"/>
                            <a:ext cx="533400" cy="434340"/>
                          </a:xfrm>
                          <a:prstGeom prst="rect">
                            <a:avLst/>
                          </a:prstGeom>
                        </pic:spPr>
                      </pic:pic>
                    </a:graphicData>
                  </a:graphic>
                </wp:inline>
              </w:drawing>
            </w:r>
          </w:p>
        </w:tc>
        <w:tc>
          <w:tcPr>
            <w:tcW w:w="8845" w:type="dxa"/>
            <w:gridSpan w:val="3"/>
            <w:tcBorders>
              <w:top w:val="nil"/>
              <w:left w:val="nil"/>
              <w:bottom w:val="nil"/>
              <w:right w:val="nil"/>
            </w:tcBorders>
          </w:tcPr>
          <w:p w14:paraId="684F6804" w14:textId="77777777" w:rsidR="001E49FB" w:rsidRPr="001E49FB" w:rsidRDefault="001E49FB" w:rsidP="001E49FB">
            <w:pPr>
              <w:spacing w:line="300" w:lineRule="auto"/>
              <w:rPr>
                <w:rFonts w:ascii="VWAG TheSans" w:hAnsi="VWAG TheSans" w:cs="VWText"/>
                <w:b/>
                <w:kern w:val="8"/>
                <w:sz w:val="18"/>
                <w:szCs w:val="19"/>
                <w:lang w:val="en-GB"/>
              </w:rPr>
            </w:pPr>
            <w:r w:rsidRPr="001E49FB">
              <w:rPr>
                <w:rFonts w:ascii="VWAG TheSans" w:hAnsi="VWAG TheSans" w:cs="VWText"/>
                <w:b/>
                <w:kern w:val="8"/>
                <w:sz w:val="18"/>
                <w:szCs w:val="19"/>
                <w:lang w:val="en-GB"/>
              </w:rPr>
              <w:t>Volkswagen AG</w:t>
            </w:r>
          </w:p>
          <w:p w14:paraId="49564D6D" w14:textId="77777777" w:rsidR="001E49FB" w:rsidRPr="001E49FB" w:rsidRDefault="001E49FB" w:rsidP="001E49FB">
            <w:pPr>
              <w:spacing w:line="300" w:lineRule="auto"/>
              <w:rPr>
                <w:rFonts w:ascii="VWAG TheSans" w:hAnsi="VWAG TheSans" w:cs="VWText"/>
                <w:b/>
                <w:kern w:val="8"/>
                <w:sz w:val="18"/>
                <w:szCs w:val="19"/>
                <w:lang w:val="en-GB"/>
              </w:rPr>
            </w:pPr>
            <w:r w:rsidRPr="001E49FB">
              <w:rPr>
                <w:rFonts w:ascii="VWAG TheSans" w:hAnsi="VWAG TheSans" w:cs="VWText"/>
                <w:b/>
                <w:kern w:val="8"/>
                <w:sz w:val="18"/>
                <w:szCs w:val="19"/>
                <w:lang w:val="en-GB"/>
              </w:rPr>
              <w:t>Volkswagen Communications | Head of Strategy and Finance Communications</w:t>
            </w:r>
          </w:p>
          <w:p w14:paraId="0EE51EA0" w14:textId="77777777" w:rsidR="001E49FB" w:rsidRPr="001E49FB" w:rsidRDefault="001E49FB" w:rsidP="001E49FB">
            <w:pPr>
              <w:spacing w:line="300" w:lineRule="auto"/>
              <w:rPr>
                <w:rFonts w:ascii="VWAG TheSans" w:hAnsi="VWAG TheSans" w:cs="VWText"/>
                <w:b/>
                <w:kern w:val="8"/>
                <w:sz w:val="18"/>
                <w:szCs w:val="19"/>
                <w:lang w:val="en-GB"/>
              </w:rPr>
            </w:pPr>
            <w:r w:rsidRPr="001E49FB">
              <w:rPr>
                <w:rFonts w:ascii="VWAG TheSans" w:hAnsi="VWAG TheSans" w:cs="VWText"/>
                <w:b/>
                <w:kern w:val="8"/>
                <w:sz w:val="18"/>
                <w:szCs w:val="19"/>
                <w:lang w:val="en-GB"/>
              </w:rPr>
              <w:t xml:space="preserve">Contact </w:t>
            </w:r>
            <w:r w:rsidRPr="001E49FB">
              <w:rPr>
                <w:rFonts w:ascii="VWAG TheSans" w:hAnsi="VWAG TheSans" w:cs="VWText"/>
                <w:kern w:val="8"/>
                <w:sz w:val="18"/>
                <w:szCs w:val="19"/>
                <w:lang w:val="en-GB"/>
              </w:rPr>
              <w:t>Christopher Hauss</w:t>
            </w:r>
          </w:p>
          <w:p w14:paraId="06D4934E" w14:textId="77777777" w:rsidR="001E49FB" w:rsidRPr="001E49FB" w:rsidRDefault="001E49FB" w:rsidP="001E49FB">
            <w:pPr>
              <w:spacing w:line="300" w:lineRule="auto"/>
              <w:rPr>
                <w:rFonts w:ascii="VWAG TheSans" w:hAnsi="VWAG TheSans" w:cs="VWText"/>
                <w:b/>
                <w:kern w:val="8"/>
                <w:sz w:val="18"/>
                <w:szCs w:val="19"/>
                <w:lang w:val="en-GB"/>
              </w:rPr>
            </w:pPr>
            <w:r w:rsidRPr="001E49FB">
              <w:rPr>
                <w:rFonts w:ascii="VWAG TheSans" w:hAnsi="VWAG TheSans" w:cs="VWText"/>
                <w:b/>
                <w:kern w:val="8"/>
                <w:sz w:val="18"/>
                <w:szCs w:val="19"/>
                <w:lang w:val="en-GB"/>
              </w:rPr>
              <w:t xml:space="preserve">Phone </w:t>
            </w:r>
            <w:r w:rsidRPr="001E49FB">
              <w:rPr>
                <w:rFonts w:ascii="VWAG TheSans" w:hAnsi="VWAG TheSans" w:cs="VWText"/>
                <w:kern w:val="8"/>
                <w:sz w:val="18"/>
                <w:szCs w:val="18"/>
                <w:lang w:val="en-GB"/>
              </w:rPr>
              <w:t>0171 876 9225</w:t>
            </w:r>
          </w:p>
          <w:p w14:paraId="2423CD23" w14:textId="777966AD" w:rsidR="001E49FB" w:rsidRPr="001E49FB" w:rsidRDefault="001E49FB" w:rsidP="001E49FB">
            <w:pPr>
              <w:spacing w:line="300" w:lineRule="auto"/>
              <w:rPr>
                <w:rFonts w:ascii="VWAG TheSans" w:hAnsi="VWAG TheSans" w:cs="VWText"/>
                <w:color w:val="0563C1"/>
                <w:kern w:val="8"/>
                <w:sz w:val="18"/>
                <w:szCs w:val="19"/>
                <w:u w:val="single"/>
                <w:lang w:val="pt-BR"/>
              </w:rPr>
            </w:pPr>
            <w:r w:rsidRPr="001E49FB">
              <w:rPr>
                <w:rFonts w:ascii="VWAG TheSans" w:hAnsi="VWAG TheSans" w:cs="VWText"/>
                <w:b/>
                <w:kern w:val="8"/>
                <w:sz w:val="18"/>
                <w:szCs w:val="19"/>
                <w:lang w:val="pt-BR"/>
              </w:rPr>
              <w:t xml:space="preserve">E-mail </w:t>
            </w:r>
            <w:hyperlink r:id="rId12" w:history="1">
              <w:r w:rsidRPr="001E49FB">
                <w:rPr>
                  <w:rStyle w:val="Hyperlink"/>
                  <w:rFonts w:ascii="VWAG TheSans" w:hAnsi="VWAG TheSans" w:cs="VWText"/>
                  <w:kern w:val="8"/>
                  <w:sz w:val="18"/>
                  <w:szCs w:val="18"/>
                  <w:lang w:val="pt-BR"/>
                </w:rPr>
                <w:t>christopher.hauss@volkswagen.de</w:t>
              </w:r>
            </w:hyperlink>
            <w:r>
              <w:rPr>
                <w:rFonts w:ascii="VWAG TheSans" w:hAnsi="VWAG TheSans" w:cs="VWText"/>
                <w:kern w:val="8"/>
                <w:sz w:val="18"/>
                <w:szCs w:val="18"/>
                <w:lang w:val="pt-BR"/>
              </w:rPr>
              <w:t xml:space="preserve"> </w:t>
            </w:r>
            <w:r w:rsidRPr="001E49FB">
              <w:rPr>
                <w:rFonts w:cs="VWText"/>
                <w:kern w:val="8"/>
                <w:sz w:val="18"/>
                <w:szCs w:val="19"/>
                <w:lang w:val="pt-BR"/>
              </w:rPr>
              <w:t xml:space="preserve">| </w:t>
            </w:r>
            <w:hyperlink r:id="rId13" w:history="1">
              <w:r w:rsidRPr="001E49FB">
                <w:rPr>
                  <w:rFonts w:ascii="VWAG TheSans" w:eastAsia="DengXian Light" w:hAnsi="VWAG TheSans"/>
                  <w:color w:val="1F4E79"/>
                  <w:sz w:val="18"/>
                  <w:szCs w:val="19"/>
                  <w:u w:val="single"/>
                  <w:lang w:val="pt-BR"/>
                </w:rPr>
                <w:t>www.volkswagen-newsroom.com</w:t>
              </w:r>
            </w:hyperlink>
            <w:r w:rsidRPr="001E49FB">
              <w:rPr>
                <w:rFonts w:ascii="VWAG TheSans" w:hAnsi="VWAG TheSans" w:cs="VWText"/>
                <w:color w:val="0563C1"/>
                <w:kern w:val="8"/>
                <w:sz w:val="18"/>
                <w:szCs w:val="19"/>
                <w:u w:val="single"/>
                <w:lang w:val="pt-BR"/>
              </w:rPr>
              <w:t xml:space="preserve">  </w:t>
            </w:r>
          </w:p>
          <w:p w14:paraId="0C817B3B" w14:textId="77777777" w:rsidR="001E49FB" w:rsidRPr="001E49FB" w:rsidRDefault="001E49FB" w:rsidP="001E49FB">
            <w:pPr>
              <w:spacing w:line="300" w:lineRule="auto"/>
              <w:rPr>
                <w:rFonts w:ascii="VWAG TheSans" w:hAnsi="VWAG TheSans" w:cs="VWText"/>
                <w:b/>
                <w:kern w:val="8"/>
                <w:sz w:val="18"/>
                <w:szCs w:val="19"/>
                <w:lang w:val="pt-BR"/>
              </w:rPr>
            </w:pPr>
            <w:r w:rsidRPr="001E49FB">
              <w:rPr>
                <w:rFonts w:ascii="VWAG TheSans" w:hAnsi="VWAG TheSans" w:cs="VWText"/>
                <w:bCs/>
                <w:kern w:val="8"/>
                <w:sz w:val="18"/>
                <w:szCs w:val="19"/>
                <w:lang w:val="pt-BR"/>
              </w:rPr>
              <w:t xml:space="preserve">   </w:t>
            </w:r>
          </w:p>
        </w:tc>
      </w:tr>
      <w:tr w:rsidR="001E49FB" w:rsidRPr="001E49FB" w14:paraId="4DAE1B59" w14:textId="77777777" w:rsidTr="000E3DD7">
        <w:trPr>
          <w:gridAfter w:val="1"/>
          <w:wAfter w:w="3282" w:type="dxa"/>
          <w:cantSplit/>
          <w:trHeight w:val="23"/>
        </w:trPr>
        <w:tc>
          <w:tcPr>
            <w:tcW w:w="1219" w:type="dxa"/>
            <w:tcBorders>
              <w:top w:val="single" w:sz="2" w:space="0" w:color="auto"/>
              <w:left w:val="nil"/>
              <w:bottom w:val="nil"/>
              <w:right w:val="nil"/>
            </w:tcBorders>
          </w:tcPr>
          <w:p w14:paraId="510067F3" w14:textId="77777777" w:rsidR="001E49FB" w:rsidRPr="001E49FB" w:rsidRDefault="001E49FB" w:rsidP="001E49FB">
            <w:pPr>
              <w:keepNext/>
              <w:keepLines/>
              <w:spacing w:line="264" w:lineRule="auto"/>
              <w:rPr>
                <w:rFonts w:ascii="VWAG TheSans" w:hAnsi="VWAG TheSans" w:cs="Arial"/>
                <w:b/>
                <w:bCs/>
                <w:kern w:val="8"/>
                <w:sz w:val="12"/>
                <w:szCs w:val="12"/>
                <w:lang w:val="pt-BR"/>
              </w:rPr>
            </w:pPr>
          </w:p>
        </w:tc>
        <w:tc>
          <w:tcPr>
            <w:tcW w:w="567" w:type="dxa"/>
            <w:tcBorders>
              <w:top w:val="single" w:sz="2" w:space="0" w:color="auto"/>
              <w:left w:val="nil"/>
              <w:bottom w:val="nil"/>
              <w:right w:val="nil"/>
            </w:tcBorders>
          </w:tcPr>
          <w:p w14:paraId="17A0A6F4" w14:textId="77777777" w:rsidR="001E49FB" w:rsidRPr="001E49FB" w:rsidRDefault="001E49FB" w:rsidP="001E49FB">
            <w:pPr>
              <w:keepNext/>
              <w:keepLines/>
              <w:spacing w:line="264" w:lineRule="auto"/>
              <w:rPr>
                <w:rFonts w:ascii="VWAG TheSans" w:hAnsi="VWAG TheSans" w:cs="Arial"/>
                <w:b/>
                <w:bCs/>
                <w:kern w:val="8"/>
                <w:sz w:val="12"/>
                <w:szCs w:val="12"/>
                <w:lang w:val="pt-BR"/>
              </w:rPr>
            </w:pPr>
          </w:p>
        </w:tc>
        <w:tc>
          <w:tcPr>
            <w:tcW w:w="4996" w:type="dxa"/>
            <w:tcBorders>
              <w:top w:val="nil"/>
              <w:left w:val="nil"/>
              <w:bottom w:val="nil"/>
              <w:right w:val="nil"/>
            </w:tcBorders>
          </w:tcPr>
          <w:p w14:paraId="093191AC" w14:textId="77777777" w:rsidR="001E49FB" w:rsidRPr="001E49FB" w:rsidRDefault="001E49FB" w:rsidP="001E49FB">
            <w:pPr>
              <w:keepNext/>
              <w:keepLines/>
              <w:spacing w:line="264" w:lineRule="auto"/>
              <w:rPr>
                <w:rFonts w:ascii="VWAG TheSans" w:hAnsi="VWAG TheSans" w:cs="Arial"/>
                <w:b/>
                <w:bCs/>
                <w:kern w:val="8"/>
                <w:sz w:val="12"/>
                <w:szCs w:val="12"/>
                <w:lang w:val="pt-BR"/>
              </w:rPr>
            </w:pPr>
          </w:p>
        </w:tc>
      </w:tr>
      <w:tr w:rsidR="001E49FB" w:rsidRPr="001E49FB" w14:paraId="04FA14B0" w14:textId="77777777" w:rsidTr="000E3DD7">
        <w:trPr>
          <w:cantSplit/>
        </w:trPr>
        <w:tc>
          <w:tcPr>
            <w:tcW w:w="1219" w:type="dxa"/>
            <w:tcBorders>
              <w:top w:val="nil"/>
              <w:left w:val="nil"/>
              <w:bottom w:val="nil"/>
              <w:right w:val="nil"/>
            </w:tcBorders>
          </w:tcPr>
          <w:p w14:paraId="2B5BF116" w14:textId="77777777" w:rsidR="001E49FB" w:rsidRPr="001E49FB" w:rsidRDefault="001E49FB" w:rsidP="001E49FB">
            <w:pPr>
              <w:spacing w:line="300" w:lineRule="auto"/>
              <w:rPr>
                <w:rFonts w:ascii="VWAG TheSans" w:hAnsi="VWAG TheSans" w:cs="VWText"/>
                <w:b/>
                <w:kern w:val="8"/>
                <w:sz w:val="18"/>
                <w:szCs w:val="19"/>
                <w:lang w:val="de-DE"/>
              </w:rPr>
            </w:pPr>
            <w:r w:rsidRPr="001E49FB">
              <w:rPr>
                <w:rFonts w:ascii="VWAG TheSans" w:hAnsi="VWAG TheSans" w:cs="VWText"/>
                <w:b/>
                <w:noProof/>
                <w:kern w:val="8"/>
                <w:sz w:val="18"/>
                <w:szCs w:val="19"/>
                <w:lang w:val="de-DE" w:eastAsia="zh-CN"/>
              </w:rPr>
              <w:drawing>
                <wp:inline distT="0" distB="0" distL="0" distR="0" wp14:anchorId="6FB0D9D1" wp14:editId="766CEE25">
                  <wp:extent cx="563880" cy="434340"/>
                  <wp:effectExtent l="0" t="0" r="7620" b="3810"/>
                  <wp:docPr id="4" name="Picture 226304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26304296"/>
                          <pic:cNvPicPr/>
                        </pic:nvPicPr>
                        <pic:blipFill>
                          <a:blip r:embed="rId14">
                            <a:extLst>
                              <a:ext uri="{28A0092B-C50C-407E-A947-70E740481C1C}">
                                <a14:useLocalDpi xmlns:a14="http://schemas.microsoft.com/office/drawing/2010/main" val="0"/>
                              </a:ext>
                            </a:extLst>
                          </a:blip>
                          <a:srcRect l="6953" r="6953"/>
                          <a:stretch>
                            <a:fillRect/>
                          </a:stretch>
                        </pic:blipFill>
                        <pic:spPr>
                          <a:xfrm>
                            <a:off x="0" y="0"/>
                            <a:ext cx="563880" cy="434340"/>
                          </a:xfrm>
                          <a:prstGeom prst="rect">
                            <a:avLst/>
                          </a:prstGeom>
                        </pic:spPr>
                      </pic:pic>
                    </a:graphicData>
                  </a:graphic>
                </wp:inline>
              </w:drawing>
            </w:r>
          </w:p>
        </w:tc>
        <w:tc>
          <w:tcPr>
            <w:tcW w:w="8845" w:type="dxa"/>
            <w:gridSpan w:val="3"/>
            <w:tcBorders>
              <w:top w:val="nil"/>
              <w:left w:val="nil"/>
              <w:bottom w:val="nil"/>
              <w:right w:val="nil"/>
            </w:tcBorders>
          </w:tcPr>
          <w:p w14:paraId="013CA4F9" w14:textId="77777777" w:rsidR="001E49FB" w:rsidRPr="001E49FB" w:rsidRDefault="001E49FB" w:rsidP="001E49FB">
            <w:pPr>
              <w:spacing w:line="300" w:lineRule="auto"/>
              <w:rPr>
                <w:rFonts w:ascii="VWAG TheSans" w:hAnsi="VWAG TheSans" w:cs="VWText"/>
                <w:kern w:val="8"/>
                <w:sz w:val="18"/>
                <w:szCs w:val="19"/>
                <w:lang w:val="en-GB"/>
              </w:rPr>
            </w:pPr>
            <w:r w:rsidRPr="001E49FB">
              <w:rPr>
                <w:rFonts w:ascii="VWAG TheSans" w:hAnsi="VWAG TheSans" w:cs="VWText"/>
                <w:b/>
                <w:kern w:val="8"/>
                <w:sz w:val="18"/>
                <w:szCs w:val="19"/>
                <w:lang w:val="en-GB"/>
              </w:rPr>
              <w:t>Volkswagen AG</w:t>
            </w:r>
            <w:r w:rsidRPr="001E49FB">
              <w:rPr>
                <w:rFonts w:ascii="VWAG TheSans" w:hAnsi="VWAG TheSans" w:cs="VWText"/>
                <w:b/>
                <w:kern w:val="8"/>
                <w:sz w:val="18"/>
                <w:szCs w:val="19"/>
                <w:lang w:val="en-GB"/>
              </w:rPr>
              <w:br/>
              <w:t>Volkswagen Communications | Spokesperson, Finance and Sales</w:t>
            </w:r>
            <w:r w:rsidRPr="001E49FB">
              <w:rPr>
                <w:rFonts w:ascii="VWAG TheSans" w:hAnsi="VWAG TheSans" w:cs="VWText"/>
                <w:b/>
                <w:kern w:val="8"/>
                <w:sz w:val="18"/>
                <w:szCs w:val="19"/>
                <w:lang w:val="en-GB"/>
              </w:rPr>
              <w:br/>
              <w:t xml:space="preserve">Contact </w:t>
            </w:r>
            <w:r w:rsidRPr="001E49FB">
              <w:rPr>
                <w:rFonts w:ascii="VWAG TheSans" w:hAnsi="VWAG TheSans" w:cs="VWText"/>
                <w:kern w:val="8"/>
                <w:sz w:val="18"/>
                <w:szCs w:val="19"/>
                <w:lang w:val="en-GB"/>
              </w:rPr>
              <w:t>Christoph Oemisch</w:t>
            </w:r>
          </w:p>
          <w:p w14:paraId="0E919EFB" w14:textId="20FBF5FE" w:rsidR="001E49FB" w:rsidRPr="001E49FB" w:rsidRDefault="001E49FB" w:rsidP="001E49FB">
            <w:pPr>
              <w:spacing w:line="300" w:lineRule="auto"/>
              <w:rPr>
                <w:rFonts w:cs="VWText"/>
                <w:kern w:val="8"/>
                <w:sz w:val="18"/>
                <w:szCs w:val="19"/>
                <w:lang w:val="fr-FR"/>
              </w:rPr>
            </w:pPr>
            <w:r w:rsidRPr="001E49FB">
              <w:rPr>
                <w:rFonts w:ascii="VWAG TheSans" w:hAnsi="VWAG TheSans" w:cs="VWText"/>
                <w:b/>
                <w:kern w:val="8"/>
                <w:sz w:val="18"/>
                <w:szCs w:val="19"/>
                <w:lang w:val="fr-FR"/>
              </w:rPr>
              <w:t xml:space="preserve">Phone </w:t>
            </w:r>
            <w:r w:rsidRPr="001E49FB">
              <w:rPr>
                <w:rFonts w:cs="VWText"/>
                <w:kern w:val="8"/>
                <w:sz w:val="18"/>
                <w:szCs w:val="19"/>
                <w:lang w:val="fr-FR"/>
              </w:rPr>
              <w:t>+49-5361-9-18895</w:t>
            </w:r>
          </w:p>
          <w:p w14:paraId="038CB158" w14:textId="470CA59D" w:rsidR="001E49FB" w:rsidRDefault="001E49FB" w:rsidP="001E49FB">
            <w:pPr>
              <w:spacing w:line="300" w:lineRule="auto"/>
              <w:rPr>
                <w:rFonts w:ascii="VWAG TheSans" w:hAnsi="VWAG TheSans" w:cs="VWText"/>
                <w:color w:val="0563C1"/>
                <w:kern w:val="8"/>
                <w:sz w:val="18"/>
                <w:szCs w:val="19"/>
                <w:u w:val="single"/>
                <w:lang w:val="fr-FR"/>
              </w:rPr>
            </w:pPr>
            <w:proofErr w:type="gramStart"/>
            <w:r w:rsidRPr="001E49FB">
              <w:rPr>
                <w:rFonts w:ascii="VWAG TheSans" w:hAnsi="VWAG TheSans" w:cs="VWText"/>
                <w:b/>
                <w:kern w:val="8"/>
                <w:sz w:val="18"/>
                <w:szCs w:val="19"/>
                <w:lang w:val="fr-FR"/>
              </w:rPr>
              <w:t>E-mai</w:t>
            </w:r>
            <w:r w:rsidRPr="001E49FB">
              <w:rPr>
                <w:rFonts w:ascii="VWAG TheSans" w:eastAsia="DengXian Light" w:hAnsi="VWAG TheSans"/>
                <w:b/>
                <w:sz w:val="18"/>
                <w:szCs w:val="18"/>
                <w:lang w:val="fr-FR"/>
              </w:rPr>
              <w:t>l</w:t>
            </w:r>
            <w:proofErr w:type="gramEnd"/>
            <w:r w:rsidRPr="001E49FB">
              <w:rPr>
                <w:rFonts w:ascii="VWAG TheSans" w:eastAsia="DengXian Light" w:hAnsi="VWAG TheSans"/>
                <w:b/>
                <w:color w:val="1F4E79"/>
                <w:sz w:val="18"/>
                <w:szCs w:val="18"/>
                <w:lang w:val="fr-FR"/>
              </w:rPr>
              <w:t xml:space="preserve"> </w:t>
            </w:r>
            <w:hyperlink r:id="rId15" w:history="1">
              <w:r w:rsidRPr="001E49FB">
                <w:rPr>
                  <w:rStyle w:val="Hyperlink"/>
                  <w:rFonts w:ascii="VWAG TheSans" w:hAnsi="VWAG TheSans" w:cs="VWText"/>
                  <w:kern w:val="8"/>
                  <w:sz w:val="18"/>
                  <w:szCs w:val="18"/>
                  <w:lang w:val="fr-FR"/>
                </w:rPr>
                <w:t>christoph.oemisch@volkswagen.d</w:t>
              </w:r>
              <w:r w:rsidRPr="002D1DDD">
                <w:rPr>
                  <w:rStyle w:val="Hyperlink"/>
                  <w:rFonts w:ascii="VWAG TheSans" w:hAnsi="VWAG TheSans" w:cs="VWText"/>
                  <w:kern w:val="8"/>
                  <w:sz w:val="18"/>
                  <w:szCs w:val="18"/>
                  <w:lang w:val="fr-FR"/>
                </w:rPr>
                <w:t>e</w:t>
              </w:r>
            </w:hyperlink>
            <w:r>
              <w:rPr>
                <w:rFonts w:ascii="VWAG TheSans" w:hAnsi="VWAG TheSans" w:cs="VWText"/>
                <w:kern w:val="8"/>
                <w:sz w:val="18"/>
                <w:szCs w:val="18"/>
                <w:lang w:val="fr-FR"/>
              </w:rPr>
              <w:t xml:space="preserve"> </w:t>
            </w:r>
            <w:r w:rsidRPr="001E49FB">
              <w:rPr>
                <w:rFonts w:cs="VWText"/>
                <w:kern w:val="8"/>
                <w:sz w:val="18"/>
                <w:szCs w:val="19"/>
                <w:lang w:val="fr-FR"/>
              </w:rPr>
              <w:t xml:space="preserve">| </w:t>
            </w:r>
            <w:hyperlink r:id="rId16" w:history="1">
              <w:r w:rsidRPr="001E49FB">
                <w:rPr>
                  <w:rFonts w:ascii="VWAG TheSans" w:eastAsia="DengXian Light" w:hAnsi="VWAG TheSans"/>
                  <w:color w:val="1F4E79"/>
                  <w:sz w:val="18"/>
                  <w:szCs w:val="18"/>
                  <w:u w:val="single"/>
                  <w:lang w:val="fr-FR"/>
                </w:rPr>
                <w:t>www.volkswagen-newsroom.com</w:t>
              </w:r>
            </w:hyperlink>
            <w:r w:rsidRPr="001E49FB">
              <w:rPr>
                <w:rFonts w:ascii="VWAG TheSans" w:hAnsi="VWAG TheSans" w:cs="VWText"/>
                <w:color w:val="0563C1"/>
                <w:kern w:val="8"/>
                <w:sz w:val="18"/>
                <w:szCs w:val="19"/>
                <w:u w:val="single"/>
                <w:lang w:val="fr-FR"/>
              </w:rPr>
              <w:t xml:space="preserve">  </w:t>
            </w:r>
          </w:p>
          <w:p w14:paraId="4B3A5E29" w14:textId="77777777" w:rsidR="001E49FB" w:rsidRPr="001E49FB" w:rsidRDefault="001E49FB" w:rsidP="001E49FB">
            <w:pPr>
              <w:spacing w:line="300" w:lineRule="auto"/>
              <w:rPr>
                <w:rFonts w:ascii="VWAG TheSans" w:hAnsi="VWAG TheSans" w:cs="VWText"/>
                <w:color w:val="0563C1"/>
                <w:kern w:val="8"/>
                <w:sz w:val="18"/>
                <w:szCs w:val="19"/>
                <w:u w:val="single"/>
                <w:lang w:val="fr-FR"/>
              </w:rPr>
            </w:pPr>
          </w:p>
          <w:p w14:paraId="6A505783" w14:textId="77777777" w:rsidR="001E49FB" w:rsidRPr="003C6ED1" w:rsidRDefault="001E49FB" w:rsidP="001E49FB">
            <w:pPr>
              <w:pStyle w:val="ImpressumBold"/>
              <w:rPr>
                <w:rStyle w:val="Hyperlink"/>
                <w:rFonts w:ascii="VWAG TheSans Light" w:hAnsi="VWAG TheSans Light"/>
                <w:b w:val="0"/>
                <w:color w:val="auto"/>
                <w:szCs w:val="18"/>
                <w:u w:val="none"/>
              </w:rPr>
            </w:pPr>
            <w:r>
              <w:rPr>
                <w:rFonts w:ascii="VWAG TheSans Light" w:hAnsi="VWAG TheSans Light"/>
                <w:noProof/>
                <w:color w:val="000000"/>
                <w:szCs w:val="18"/>
                <w:lang w:val="de-DE" w:eastAsia="zh-CN"/>
              </w:rPr>
              <w:drawing>
                <wp:inline distT="0" distB="0" distL="0" distR="0" wp14:anchorId="273A2976" wp14:editId="7D556AC8">
                  <wp:extent cx="429260" cy="182880"/>
                  <wp:effectExtent l="0" t="0" r="8890" b="7620"/>
                  <wp:docPr id="17" name="Grafik 17" descr="https://www.volkswagen-media-services.com/documents/10541/2081081/YouTube_64.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https://www.volkswagen-media-services.com/documents/10541/2081081/YouTube_64.jp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 cy="182880"/>
                          </a:xfrm>
                          <a:prstGeom prst="rect">
                            <a:avLst/>
                          </a:prstGeom>
                          <a:noFill/>
                          <a:ln>
                            <a:noFill/>
                          </a:ln>
                        </pic:spPr>
                      </pic:pic>
                    </a:graphicData>
                  </a:graphic>
                </wp:inline>
              </w:drawing>
            </w:r>
            <w:r>
              <w:rPr>
                <w:rFonts w:ascii="VWAG TheSans Light" w:hAnsi="VWAG TheSans Light"/>
                <w:color w:val="333333"/>
                <w:szCs w:val="18"/>
              </w:rPr>
              <w:t>   </w:t>
            </w:r>
            <w:r>
              <w:rPr>
                <w:noProof/>
                <w:color w:val="000000"/>
                <w:lang w:val="de-DE" w:eastAsia="zh-CN"/>
              </w:rPr>
              <w:drawing>
                <wp:inline distT="0" distB="0" distL="0" distR="0" wp14:anchorId="50EE6F78" wp14:editId="66372F53">
                  <wp:extent cx="191135" cy="182880"/>
                  <wp:effectExtent l="0" t="0" r="0" b="7620"/>
                  <wp:docPr id="18" name="Grafik 18" descr="Bildergebnis für logo 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7" descr="Bildergebnis für logo 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Pr>
                <w:rFonts w:ascii="VWAG TheSans Light" w:hAnsi="VWAG TheSans Light"/>
                <w:color w:val="333333"/>
                <w:szCs w:val="18"/>
              </w:rPr>
              <w:t> </w:t>
            </w:r>
            <w:r>
              <w:rPr>
                <w:rFonts w:ascii="VWAG TheSans Light" w:hAnsi="VWAG TheSans Light"/>
                <w:szCs w:val="18"/>
              </w:rPr>
              <w:t xml:space="preserve">  </w:t>
            </w:r>
            <w:r>
              <w:rPr>
                <w:noProof/>
                <w:lang w:val="de-DE" w:eastAsia="zh-CN"/>
              </w:rPr>
              <w:drawing>
                <wp:inline distT="0" distB="0" distL="0" distR="0" wp14:anchorId="6E1F7018" wp14:editId="471C4CF8">
                  <wp:extent cx="198755" cy="198755"/>
                  <wp:effectExtent l="0" t="0" r="0" b="0"/>
                  <wp:docPr id="19" name="Grafik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noProof/>
                <w:lang w:val="de-DE" w:eastAsia="zh-CN"/>
              </w:rPr>
              <w:drawing>
                <wp:inline distT="0" distB="0" distL="0" distR="0" wp14:anchorId="23C19080" wp14:editId="53D14023">
                  <wp:extent cx="388339" cy="203982"/>
                  <wp:effectExtent l="0" t="0" r="0" b="5715"/>
                  <wp:docPr id="20" name="Grafik 3" descr="Logo&#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 descr="Logo&#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6390" cy="208211"/>
                          </a:xfrm>
                          <a:prstGeom prst="rect">
                            <a:avLst/>
                          </a:prstGeom>
                        </pic:spPr>
                      </pic:pic>
                    </a:graphicData>
                  </a:graphic>
                </wp:inline>
              </w:drawing>
            </w:r>
          </w:p>
          <w:p w14:paraId="477C37C0" w14:textId="77777777" w:rsidR="001E49FB" w:rsidRPr="001E49FB" w:rsidRDefault="001E49FB" w:rsidP="001E49FB">
            <w:pPr>
              <w:spacing w:line="300" w:lineRule="auto"/>
              <w:rPr>
                <w:rFonts w:ascii="VWAG TheSans" w:hAnsi="VWAG TheSans" w:cs="VWText"/>
                <w:color w:val="0563C1"/>
                <w:kern w:val="8"/>
                <w:sz w:val="18"/>
                <w:szCs w:val="19"/>
                <w:u w:val="single"/>
                <w:lang w:val="fr-FR"/>
              </w:rPr>
            </w:pPr>
          </w:p>
          <w:p w14:paraId="03739A7B" w14:textId="04AB4357" w:rsidR="001E49FB" w:rsidRPr="001E49FB" w:rsidRDefault="001E49FB" w:rsidP="001E49FB">
            <w:pPr>
              <w:spacing w:line="300" w:lineRule="auto"/>
              <w:rPr>
                <w:rFonts w:ascii="VWAG TheSans" w:hAnsi="VWAG TheSans" w:cs="VWText"/>
                <w:b/>
                <w:kern w:val="8"/>
                <w:sz w:val="18"/>
                <w:szCs w:val="19"/>
                <w:lang w:val="en-GB"/>
              </w:rPr>
            </w:pPr>
          </w:p>
        </w:tc>
      </w:tr>
    </w:tbl>
    <w:tbl>
      <w:tblPr>
        <w:tblpPr w:leftFromText="142" w:rightFromText="142" w:vertAnchor="page" w:horzAnchor="margin" w:tblpY="9646"/>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625F19" w:rsidRPr="00BA604E" w14:paraId="664809BF" w14:textId="77777777" w:rsidTr="00625F19">
        <w:tc>
          <w:tcPr>
            <w:tcW w:w="7058" w:type="dxa"/>
            <w:tcBorders>
              <w:top w:val="single" w:sz="2" w:space="0" w:color="auto"/>
              <w:left w:val="nil"/>
              <w:bottom w:val="single" w:sz="2" w:space="0" w:color="auto"/>
              <w:right w:val="nil"/>
            </w:tcBorders>
          </w:tcPr>
          <w:p w14:paraId="68436C36" w14:textId="77777777" w:rsidR="00625F19" w:rsidRPr="005A04EF" w:rsidRDefault="00625F19" w:rsidP="00625F19">
            <w:pPr>
              <w:spacing w:line="280" w:lineRule="exact"/>
              <w:rPr>
                <w:rFonts w:cs="Arial"/>
                <w:b/>
                <w:snapToGrid w:val="0"/>
                <w:kern w:val="8"/>
                <w:sz w:val="15"/>
                <w:szCs w:val="15"/>
              </w:rPr>
            </w:pPr>
            <w:r>
              <w:rPr>
                <w:b/>
                <w:snapToGrid w:val="0"/>
                <w:sz w:val="15"/>
              </w:rPr>
              <w:lastRenderedPageBreak/>
              <w:t>About the Volkswagen Group:</w:t>
            </w:r>
          </w:p>
          <w:p w14:paraId="7D9B431B" w14:textId="77777777" w:rsidR="00625F19" w:rsidRPr="005A04EF" w:rsidRDefault="00625F19" w:rsidP="00625F19">
            <w:pPr>
              <w:spacing w:line="280" w:lineRule="exact"/>
              <w:rPr>
                <w:snapToGrid w:val="0"/>
                <w:sz w:val="15"/>
              </w:rPr>
            </w:pPr>
            <w:r>
              <w:rPr>
                <w:snapToGrid w:val="0"/>
                <w:sz w:val="15"/>
              </w:rPr>
              <w:t xml:space="preserve">The Volkswagen Group, with its headquarters in Wolfsburg, is one of the world’s leading automobile manufacturers and the largest carmaker in Europe. The Group comprises ten core brands from seven European countries: Volkswagen Passenger Cars, Audi, SEAT, CUPRA, ŠKODA, Bentley, Lamborghini, Porsche, </w:t>
            </w:r>
            <w:proofErr w:type="gramStart"/>
            <w:r>
              <w:rPr>
                <w:snapToGrid w:val="0"/>
                <w:sz w:val="15"/>
              </w:rPr>
              <w:t>Ducati</w:t>
            </w:r>
            <w:proofErr w:type="gramEnd"/>
            <w:r>
              <w:rPr>
                <w:snapToGrid w:val="0"/>
                <w:sz w:val="15"/>
              </w:rPr>
              <w:t xml:space="preserve"> and Volkswagen Commercial Vehicles. The passenger car portfolio ranges from small cars all the way to luxury-class vehicles. Ducati offers motorcycles. In the light and heavy commercial vehicles sector, the products range from pick-ups to buses and heavy trucks. Every weekday, 672.800 employees around the globe are involved in vehicle-related services or work in other areas of business. The Volkswagen Group sells its vehicles in 153 countries.</w:t>
            </w:r>
          </w:p>
          <w:p w14:paraId="486A6DCD" w14:textId="77777777" w:rsidR="00625F19" w:rsidRPr="00E839C0" w:rsidRDefault="00625F19" w:rsidP="00625F19">
            <w:pPr>
              <w:spacing w:line="280" w:lineRule="exact"/>
              <w:rPr>
                <w:snapToGrid w:val="0"/>
                <w:sz w:val="15"/>
              </w:rPr>
            </w:pPr>
          </w:p>
          <w:p w14:paraId="36032937" w14:textId="77777777" w:rsidR="00625F19" w:rsidRDefault="00625F19" w:rsidP="00625F19">
            <w:pPr>
              <w:pStyle w:val="Funoten"/>
              <w:numPr>
                <w:ilvl w:val="0"/>
                <w:numId w:val="0"/>
              </w:numPr>
              <w:rPr>
                <w:rFonts w:ascii="VWAG TheSans Light" w:hAnsi="VWAG TheSans Light"/>
                <w:i w:val="0"/>
                <w:iCs/>
                <w:sz w:val="15"/>
              </w:rPr>
            </w:pPr>
            <w:r>
              <w:rPr>
                <w:rFonts w:ascii="VWAG TheSans Light" w:hAnsi="VWAG TheSans Light"/>
                <w:i w:val="0"/>
                <w:iCs/>
                <w:sz w:val="15"/>
              </w:rPr>
              <w:t>In 2021, the total number of vehicles delivered to customers by the Group globally was 8.9 million (2020: 9.3 million). Group sales revenue in 2021 totaled EUR 250.2 billion (2020: EUR 222.9 billion). Earnings after tax in 2021 amounted to EUR 15.4 billion (2020: EUR 8.8 billion).</w:t>
            </w:r>
          </w:p>
          <w:p w14:paraId="3250F15B" w14:textId="77777777" w:rsidR="00625F19" w:rsidRPr="00E520C1" w:rsidRDefault="00625F19" w:rsidP="00625F19">
            <w:pPr>
              <w:spacing w:line="280" w:lineRule="exact"/>
              <w:rPr>
                <w:snapToGrid w:val="0"/>
                <w:sz w:val="15"/>
              </w:rPr>
            </w:pPr>
          </w:p>
        </w:tc>
      </w:tr>
    </w:tbl>
    <w:p w14:paraId="22979DF8" w14:textId="77777777" w:rsidR="00417FD8" w:rsidRDefault="00417FD8" w:rsidP="00417FD8">
      <w:pPr>
        <w:jc w:val="center"/>
        <w:rPr>
          <w:b/>
          <w:lang w:eastAsia="en-US" w:bidi="en-US"/>
        </w:rPr>
      </w:pPr>
    </w:p>
    <w:p w14:paraId="520E0E8F" w14:textId="77777777" w:rsidR="00417FD8" w:rsidRDefault="00417FD8" w:rsidP="00417FD8">
      <w:pPr>
        <w:jc w:val="center"/>
        <w:rPr>
          <w:b/>
          <w:lang w:eastAsia="en-US" w:bidi="en-US"/>
        </w:rPr>
      </w:pPr>
    </w:p>
    <w:p w14:paraId="4DB89258" w14:textId="77777777" w:rsidR="00417FD8" w:rsidRDefault="00417FD8" w:rsidP="00417FD8">
      <w:pPr>
        <w:jc w:val="center"/>
        <w:rPr>
          <w:b/>
          <w:lang w:eastAsia="en-US" w:bidi="en-US"/>
        </w:rPr>
      </w:pPr>
    </w:p>
    <w:p w14:paraId="2E0D233F" w14:textId="36AD9B9E" w:rsidR="004D6962" w:rsidRPr="00035566" w:rsidRDefault="004D6962" w:rsidP="004D6962"/>
    <w:p w14:paraId="6264DB21" w14:textId="77777777" w:rsidR="004D6962" w:rsidRPr="004D6962" w:rsidRDefault="004D6962" w:rsidP="00DC05FD"/>
    <w:sectPr w:rsidR="004D6962" w:rsidRPr="004D6962" w:rsidSect="00A220F4">
      <w:headerReference w:type="default" r:id="rId25"/>
      <w:footerReference w:type="default" r:id="rId26"/>
      <w:headerReference w:type="first" r:id="rId27"/>
      <w:footerReference w:type="first" r:id="rId28"/>
      <w:pgSz w:w="12240" w:h="15840"/>
      <w:pgMar w:top="1440" w:right="1440" w:bottom="1440" w:left="1440" w:header="153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5EFD" w14:textId="77777777" w:rsidR="00F11662" w:rsidRDefault="00F11662" w:rsidP="000B0969">
      <w:pPr>
        <w:spacing w:line="240" w:lineRule="auto"/>
      </w:pPr>
      <w:r>
        <w:separator/>
      </w:r>
    </w:p>
  </w:endnote>
  <w:endnote w:type="continuationSeparator" w:id="0">
    <w:p w14:paraId="4CEA7977" w14:textId="77777777" w:rsidR="00F11662" w:rsidRDefault="00F11662" w:rsidP="000B0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AG TheSans Light">
    <w:altName w:val="Calibri"/>
    <w:panose1 w:val="020B0302050302020203"/>
    <w:charset w:val="00"/>
    <w:family w:val="swiss"/>
    <w:notTrueType/>
    <w:pitch w:val="variable"/>
    <w:sig w:usb0="A00002FF" w:usb1="50006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WAG TheSans">
    <w:panose1 w:val="020B0502050302020203"/>
    <w:charset w:val="00"/>
    <w:family w:val="swiss"/>
    <w:notTrueType/>
    <w:pitch w:val="variable"/>
    <w:sig w:usb0="A00002FF" w:usb1="5000605B" w:usb2="00000000" w:usb3="00000000" w:csb0="0000009F" w:csb1="00000000"/>
  </w:font>
  <w:font w:name="VWAG TheAntiqua">
    <w:altName w:val="Cambria"/>
    <w:panose1 w:val="020A0503070302020204"/>
    <w:charset w:val="00"/>
    <w:family w:val="roman"/>
    <w:notTrueType/>
    <w:pitch w:val="variable"/>
    <w:sig w:usb0="A00002FF" w:usb1="5000605B" w:usb2="00000000" w:usb3="00000000" w:csb0="0000009F" w:csb1="00000000"/>
  </w:font>
  <w:font w:name="VWAGTheAntiqua-Bold">
    <w:altName w:val="Cambria"/>
    <w:panose1 w:val="020A0803070302020204"/>
    <w:charset w:val="00"/>
    <w:family w:val="roman"/>
    <w:pitch w:val="variable"/>
    <w:sig w:usb0="A00002FF" w:usb1="5000605B" w:usb2="00000000" w:usb3="00000000" w:csb0="0000009F" w:csb1="00000000"/>
  </w:font>
  <w:font w:name="VWText">
    <w:altName w:val="Calibri"/>
    <w:panose1 w:val="020B0504040200000003"/>
    <w:charset w:val="00"/>
    <w:family w:val="swiss"/>
    <w:notTrueType/>
    <w:pitch w:val="variable"/>
    <w:sig w:usb0="A00002AF" w:usb1="5000207B" w:usb2="00000000" w:usb3="00000000" w:csb0="0000009F" w:csb1="00000000"/>
  </w:font>
  <w:font w:name="VW Text Office">
    <w:altName w:val="Calibri"/>
    <w:panose1 w:val="020B0504040200000003"/>
    <w:charset w:val="00"/>
    <w:family w:val="swiss"/>
    <w:pitch w:val="variable"/>
    <w:sig w:usb0="A00002AF" w:usb1="5000207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56E9" w14:textId="20C97F67" w:rsidR="00A220F4" w:rsidRDefault="00A220F4" w:rsidP="00A220F4">
    <w:pPr>
      <w:pStyle w:val="Fuzeile"/>
      <w:rPr>
        <w:sz w:val="12"/>
        <w:szCs w:val="12"/>
      </w:rPr>
    </w:pPr>
  </w:p>
  <w:p w14:paraId="5B62F478" w14:textId="77777777" w:rsidR="00A220F4" w:rsidRDefault="00A220F4" w:rsidP="00A220F4">
    <w:pPr>
      <w:pStyle w:val="Fuzeile"/>
      <w:rPr>
        <w:sz w:val="12"/>
        <w:szCs w:val="12"/>
      </w:rPr>
    </w:pPr>
  </w:p>
  <w:p w14:paraId="5CB683F6" w14:textId="46466CC9" w:rsidR="00DC05FD" w:rsidRPr="00577F5A" w:rsidRDefault="00DC05FD" w:rsidP="00DC05FD">
    <w:pPr>
      <w:pStyle w:val="Fuzeile"/>
      <w:rPr>
        <w:noProof/>
        <w:sz w:val="12"/>
        <w:szCs w:val="12"/>
      </w:rPr>
    </w:pPr>
    <w:r w:rsidRPr="00577F5A">
      <w:rPr>
        <w:sz w:val="12"/>
        <w:szCs w:val="12"/>
      </w:rPr>
      <w:t>P</w:t>
    </w:r>
    <w:r>
      <w:rPr>
        <w:sz w:val="12"/>
        <w:szCs w:val="12"/>
      </w:rPr>
      <w:t>AGE</w:t>
    </w:r>
    <w:r w:rsidRPr="00577F5A">
      <w:rPr>
        <w:sz w:val="12"/>
        <w:szCs w:val="12"/>
      </w:rPr>
      <w:t xml:space="preserve"> </w:t>
    </w:r>
    <w:r w:rsidRPr="00577F5A">
      <w:rPr>
        <w:rStyle w:val="Fett"/>
        <w:sz w:val="12"/>
        <w:szCs w:val="12"/>
      </w:rPr>
      <w:fldChar w:fldCharType="begin"/>
    </w:r>
    <w:r w:rsidRPr="00577F5A">
      <w:rPr>
        <w:rStyle w:val="Fett"/>
        <w:sz w:val="12"/>
        <w:szCs w:val="12"/>
      </w:rPr>
      <w:instrText xml:space="preserve"> PAGE  \* Arabic  \* MERGEFORMAT </w:instrText>
    </w:r>
    <w:r w:rsidRPr="00577F5A">
      <w:rPr>
        <w:rStyle w:val="Fett"/>
        <w:sz w:val="12"/>
        <w:szCs w:val="12"/>
      </w:rPr>
      <w:fldChar w:fldCharType="separate"/>
    </w:r>
    <w:r>
      <w:rPr>
        <w:rStyle w:val="Fett"/>
        <w:sz w:val="12"/>
        <w:szCs w:val="12"/>
      </w:rPr>
      <w:t>2</w:t>
    </w:r>
    <w:r w:rsidRPr="00577F5A">
      <w:rPr>
        <w:rStyle w:val="Fett"/>
        <w:sz w:val="12"/>
        <w:szCs w:val="12"/>
      </w:rPr>
      <w:fldChar w:fldCharType="end"/>
    </w:r>
    <w:r w:rsidRPr="00577F5A">
      <w:rPr>
        <w:sz w:val="12"/>
        <w:szCs w:val="12"/>
      </w:rPr>
      <w:t xml:space="preserve"> </w:t>
    </w:r>
    <w:r>
      <w:rPr>
        <w:sz w:val="12"/>
        <w:szCs w:val="12"/>
      </w:rPr>
      <w:t>OF</w:t>
    </w:r>
    <w:r w:rsidRPr="00577F5A">
      <w:rPr>
        <w:sz w:val="12"/>
        <w:szCs w:val="12"/>
      </w:rPr>
      <w:t xml:space="preserve"> </w:t>
    </w:r>
    <w:r w:rsidRPr="00577F5A">
      <w:rPr>
        <w:sz w:val="12"/>
        <w:szCs w:val="12"/>
      </w:rPr>
      <w:fldChar w:fldCharType="begin"/>
    </w:r>
    <w:r w:rsidRPr="00577F5A">
      <w:rPr>
        <w:sz w:val="12"/>
        <w:szCs w:val="12"/>
      </w:rPr>
      <w:instrText xml:space="preserve"> NUMPAGES  \* Arabic  \* MERGEFORMAT </w:instrText>
    </w:r>
    <w:r w:rsidRPr="00577F5A">
      <w:rPr>
        <w:sz w:val="12"/>
        <w:szCs w:val="12"/>
      </w:rPr>
      <w:fldChar w:fldCharType="separate"/>
    </w:r>
    <w:r>
      <w:rPr>
        <w:sz w:val="12"/>
        <w:szCs w:val="12"/>
      </w:rPr>
      <w:t>2</w:t>
    </w:r>
    <w:r w:rsidRPr="00577F5A">
      <w:rPr>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61D1" w14:textId="0786921F" w:rsidR="00DC05FD" w:rsidRPr="00577F5A" w:rsidRDefault="00DC05FD" w:rsidP="00DC05FD">
    <w:pPr>
      <w:pStyle w:val="Fuzeile"/>
      <w:rPr>
        <w:noProof/>
        <w:sz w:val="12"/>
        <w:szCs w:val="12"/>
      </w:rPr>
    </w:pPr>
    <w:r w:rsidRPr="00577F5A">
      <w:rPr>
        <w:sz w:val="12"/>
        <w:szCs w:val="12"/>
      </w:rPr>
      <w:t>P</w:t>
    </w:r>
    <w:r>
      <w:rPr>
        <w:sz w:val="12"/>
        <w:szCs w:val="12"/>
      </w:rPr>
      <w:t>AGE</w:t>
    </w:r>
    <w:r w:rsidRPr="00577F5A">
      <w:rPr>
        <w:sz w:val="12"/>
        <w:szCs w:val="12"/>
      </w:rPr>
      <w:t xml:space="preserve"> </w:t>
    </w:r>
    <w:r w:rsidRPr="00577F5A">
      <w:rPr>
        <w:rStyle w:val="Fett"/>
        <w:sz w:val="12"/>
        <w:szCs w:val="12"/>
      </w:rPr>
      <w:fldChar w:fldCharType="begin"/>
    </w:r>
    <w:r w:rsidRPr="00577F5A">
      <w:rPr>
        <w:rStyle w:val="Fett"/>
        <w:sz w:val="12"/>
        <w:szCs w:val="12"/>
      </w:rPr>
      <w:instrText xml:space="preserve"> PAGE  \* Arabic  \* MERGEFORMAT </w:instrText>
    </w:r>
    <w:r w:rsidRPr="00577F5A">
      <w:rPr>
        <w:rStyle w:val="Fett"/>
        <w:sz w:val="12"/>
        <w:szCs w:val="12"/>
      </w:rPr>
      <w:fldChar w:fldCharType="separate"/>
    </w:r>
    <w:r>
      <w:rPr>
        <w:rStyle w:val="Fett"/>
        <w:sz w:val="12"/>
        <w:szCs w:val="12"/>
      </w:rPr>
      <w:t>1</w:t>
    </w:r>
    <w:r w:rsidRPr="00577F5A">
      <w:rPr>
        <w:rStyle w:val="Fett"/>
        <w:sz w:val="12"/>
        <w:szCs w:val="12"/>
      </w:rPr>
      <w:fldChar w:fldCharType="end"/>
    </w:r>
    <w:r w:rsidRPr="00577F5A">
      <w:rPr>
        <w:sz w:val="12"/>
        <w:szCs w:val="12"/>
      </w:rPr>
      <w:t xml:space="preserve"> </w:t>
    </w:r>
    <w:r>
      <w:rPr>
        <w:sz w:val="12"/>
        <w:szCs w:val="12"/>
      </w:rPr>
      <w:t>OF</w:t>
    </w:r>
    <w:r w:rsidRPr="00577F5A">
      <w:rPr>
        <w:sz w:val="12"/>
        <w:szCs w:val="12"/>
      </w:rPr>
      <w:t xml:space="preserve"> </w:t>
    </w:r>
    <w:r w:rsidRPr="00577F5A">
      <w:rPr>
        <w:sz w:val="12"/>
        <w:szCs w:val="12"/>
      </w:rPr>
      <w:fldChar w:fldCharType="begin"/>
    </w:r>
    <w:r w:rsidRPr="00577F5A">
      <w:rPr>
        <w:sz w:val="12"/>
        <w:szCs w:val="12"/>
      </w:rPr>
      <w:instrText xml:space="preserve"> NUMPAGES  \* Arabic  \* MERGEFORMAT </w:instrText>
    </w:r>
    <w:r w:rsidRPr="00577F5A">
      <w:rPr>
        <w:sz w:val="12"/>
        <w:szCs w:val="12"/>
      </w:rPr>
      <w:fldChar w:fldCharType="separate"/>
    </w:r>
    <w:r>
      <w:rPr>
        <w:sz w:val="12"/>
        <w:szCs w:val="12"/>
      </w:rPr>
      <w:t>2</w:t>
    </w:r>
    <w:r w:rsidRPr="00577F5A">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AEF7" w14:textId="77777777" w:rsidR="00F11662" w:rsidRDefault="00F11662" w:rsidP="000B0969">
      <w:pPr>
        <w:spacing w:line="240" w:lineRule="auto"/>
      </w:pPr>
      <w:r>
        <w:separator/>
      </w:r>
    </w:p>
  </w:footnote>
  <w:footnote w:type="continuationSeparator" w:id="0">
    <w:p w14:paraId="02BD3B82" w14:textId="77777777" w:rsidR="00F11662" w:rsidRDefault="00F11662" w:rsidP="000B0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6F24" w14:textId="77777777" w:rsidR="000B0969" w:rsidRDefault="000B0969">
    <w:pPr>
      <w:pStyle w:val="Kopfzeile"/>
    </w:pPr>
    <w:r>
      <w:rPr>
        <w:noProof/>
        <w:lang w:val="de-DE" w:eastAsia="zh-CN"/>
      </w:rPr>
      <w:drawing>
        <wp:anchor distT="0" distB="0" distL="114300" distR="114300" simplePos="0" relativeHeight="251660288" behindDoc="0" locked="0" layoutInCell="1" allowOverlap="1" wp14:anchorId="5113C8FF" wp14:editId="7F12C942">
          <wp:simplePos x="0" y="0"/>
          <wp:positionH relativeFrom="margin">
            <wp:align>center</wp:align>
          </wp:positionH>
          <wp:positionV relativeFrom="paragraph">
            <wp:posOffset>-156584</wp:posOffset>
          </wp:positionV>
          <wp:extent cx="2407285" cy="49805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2407285" cy="498059"/>
                  </a:xfrm>
                  <a:prstGeom prst="rect">
                    <a:avLst/>
                  </a:prstGeom>
                </pic:spPr>
              </pic:pic>
            </a:graphicData>
          </a:graphic>
          <wp14:sizeRelH relativeFrom="margin">
            <wp14:pctWidth>0</wp14:pctWidth>
          </wp14:sizeRelH>
          <wp14:sizeRelV relativeFrom="margin">
            <wp14:pctHeight>0</wp14:pctHeight>
          </wp14:sizeRelV>
        </wp:anchor>
      </w:drawing>
    </w:r>
  </w:p>
  <w:p w14:paraId="778DB415" w14:textId="77777777" w:rsidR="000B0969" w:rsidRDefault="000B0969">
    <w:pPr>
      <w:pStyle w:val="Kopfzeile"/>
    </w:pPr>
  </w:p>
  <w:p w14:paraId="12427B26" w14:textId="77777777" w:rsidR="000B0969" w:rsidRDefault="000B0969">
    <w:pPr>
      <w:pStyle w:val="Kopfzeile"/>
    </w:pPr>
  </w:p>
  <w:p w14:paraId="1B7B1B7A" w14:textId="77777777" w:rsidR="000B0969" w:rsidRDefault="000B0969" w:rsidP="000B0969">
    <w:pPr>
      <w:pStyle w:val="Kopfzeile"/>
    </w:pPr>
    <w:r>
      <w:t>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9241" w14:textId="77777777" w:rsidR="00A220F4" w:rsidRDefault="00A220F4"/>
  <w:tbl>
    <w:tblPr>
      <w:tblStyle w:val="Tabellenraster"/>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8844"/>
    </w:tblGrid>
    <w:tr w:rsidR="00A220F4" w14:paraId="53FA463A" w14:textId="77777777" w:rsidTr="00A220F4">
      <w:trPr>
        <w:trHeight w:hRule="exact" w:val="567"/>
      </w:trPr>
      <w:tc>
        <w:tcPr>
          <w:tcW w:w="8844" w:type="dxa"/>
          <w:vAlign w:val="center"/>
        </w:tcPr>
        <w:p w14:paraId="6831A7AB" w14:textId="707D5B42" w:rsidR="009D2997" w:rsidRDefault="00020947" w:rsidP="00A220F4">
          <w:pPr>
            <w:pStyle w:val="Medieninformation"/>
          </w:pPr>
          <w:r>
            <w:t>Media information</w:t>
          </w:r>
        </w:p>
      </w:tc>
    </w:tr>
  </w:tbl>
  <w:p w14:paraId="4365099E" w14:textId="77777777" w:rsidR="000B0969" w:rsidRDefault="00A220F4">
    <w:pPr>
      <w:pStyle w:val="Kopfzeile"/>
    </w:pPr>
    <w:r>
      <w:rPr>
        <w:noProof/>
        <w:lang w:val="de-DE" w:eastAsia="zh-CN"/>
      </w:rPr>
      <w:drawing>
        <wp:anchor distT="0" distB="0" distL="114300" distR="114300" simplePos="0" relativeHeight="251662336" behindDoc="0" locked="0" layoutInCell="1" allowOverlap="1" wp14:anchorId="0EBFD507" wp14:editId="705C1E52">
          <wp:simplePos x="0" y="0"/>
          <wp:positionH relativeFrom="margin">
            <wp:align>center</wp:align>
          </wp:positionH>
          <wp:positionV relativeFrom="paragraph">
            <wp:posOffset>-1097280</wp:posOffset>
          </wp:positionV>
          <wp:extent cx="2407285" cy="498059"/>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2407285" cy="4980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C27"/>
    <w:multiLevelType w:val="hybridMultilevel"/>
    <w:tmpl w:val="69A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5ED3"/>
    <w:multiLevelType w:val="hybridMultilevel"/>
    <w:tmpl w:val="3A40F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C7959"/>
    <w:multiLevelType w:val="hybridMultilevel"/>
    <w:tmpl w:val="60B0B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9B440D"/>
    <w:multiLevelType w:val="hybridMultilevel"/>
    <w:tmpl w:val="F716A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5374D"/>
    <w:multiLevelType w:val="hybridMultilevel"/>
    <w:tmpl w:val="6AEEA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2C3236"/>
    <w:multiLevelType w:val="hybridMultilevel"/>
    <w:tmpl w:val="1CE03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3D417B"/>
    <w:multiLevelType w:val="hybridMultilevel"/>
    <w:tmpl w:val="33BCFF3E"/>
    <w:lvl w:ilvl="0" w:tplc="DDDE1BB4">
      <w:start w:val="1"/>
      <w:numFmt w:val="bullet"/>
      <w:pStyle w:val="Einleitung1Aufzhlung"/>
      <w:lvlText w:val=""/>
      <w:lvlJc w:val="left"/>
      <w:pPr>
        <w:ind w:left="360" w:hanging="360"/>
      </w:pPr>
      <w:rPr>
        <w:rFonts w:ascii="Symbol" w:hAnsi="Symbol" w:hint="default"/>
        <w:b w:val="0"/>
        <w:i w:val="0"/>
        <w:w w:val="100"/>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15:restartNumberingAfterBreak="0">
    <w:nsid w:val="7E6C4FD8"/>
    <w:multiLevelType w:val="multilevel"/>
    <w:tmpl w:val="A0DE0786"/>
    <w:lvl w:ilvl="0">
      <w:start w:val="1"/>
      <w:numFmt w:val="decimal"/>
      <w:suff w:val="nothing"/>
      <w:lvlText w:val="%1  "/>
      <w:lvlJc w:val="left"/>
      <w:pPr>
        <w:ind w:left="0" w:firstLine="0"/>
      </w:pPr>
      <w:rPr>
        <w:rFonts w:hint="default"/>
      </w:rPr>
    </w:lvl>
    <w:lvl w:ilvl="1">
      <w:start w:val="1"/>
      <w:numFmt w:val="decimal"/>
      <w:suff w:val="nothing"/>
      <w:lvlText w:val="%1.%2  "/>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95666825">
    <w:abstractNumId w:val="7"/>
  </w:num>
  <w:num w:numId="2" w16cid:durableId="1493445694">
    <w:abstractNumId w:val="0"/>
  </w:num>
  <w:num w:numId="3" w16cid:durableId="736825193">
    <w:abstractNumId w:val="3"/>
  </w:num>
  <w:num w:numId="4" w16cid:durableId="585892428">
    <w:abstractNumId w:val="8"/>
  </w:num>
  <w:num w:numId="5" w16cid:durableId="1475563243">
    <w:abstractNumId w:val="6"/>
  </w:num>
  <w:num w:numId="6" w16cid:durableId="598684013">
    <w:abstractNumId w:val="4"/>
  </w:num>
  <w:num w:numId="7" w16cid:durableId="262883984">
    <w:abstractNumId w:val="2"/>
  </w:num>
  <w:num w:numId="8" w16cid:durableId="82603651">
    <w:abstractNumId w:val="5"/>
  </w:num>
  <w:num w:numId="9" w16cid:durableId="1462188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69"/>
    <w:rsid w:val="000113CD"/>
    <w:rsid w:val="000169B3"/>
    <w:rsid w:val="00020947"/>
    <w:rsid w:val="00021FC6"/>
    <w:rsid w:val="00024B98"/>
    <w:rsid w:val="000336B2"/>
    <w:rsid w:val="00035566"/>
    <w:rsid w:val="00040946"/>
    <w:rsid w:val="00046299"/>
    <w:rsid w:val="000529E0"/>
    <w:rsid w:val="000534FC"/>
    <w:rsid w:val="000547F9"/>
    <w:rsid w:val="000732B0"/>
    <w:rsid w:val="000776C9"/>
    <w:rsid w:val="000800D3"/>
    <w:rsid w:val="00083F86"/>
    <w:rsid w:val="000A6696"/>
    <w:rsid w:val="000B0969"/>
    <w:rsid w:val="000B3B46"/>
    <w:rsid w:val="000B7F45"/>
    <w:rsid w:val="000C0EA6"/>
    <w:rsid w:val="000C11CD"/>
    <w:rsid w:val="000C70BB"/>
    <w:rsid w:val="000D1CFC"/>
    <w:rsid w:val="000D256B"/>
    <w:rsid w:val="000E2942"/>
    <w:rsid w:val="000F2F57"/>
    <w:rsid w:val="000F3252"/>
    <w:rsid w:val="000F4525"/>
    <w:rsid w:val="000F79FB"/>
    <w:rsid w:val="00105F48"/>
    <w:rsid w:val="00120D20"/>
    <w:rsid w:val="00122CB0"/>
    <w:rsid w:val="00130DD4"/>
    <w:rsid w:val="001344F1"/>
    <w:rsid w:val="00140269"/>
    <w:rsid w:val="001405DA"/>
    <w:rsid w:val="0016333B"/>
    <w:rsid w:val="0019594F"/>
    <w:rsid w:val="00195C35"/>
    <w:rsid w:val="001A5DE3"/>
    <w:rsid w:val="001A6B4C"/>
    <w:rsid w:val="001B09A1"/>
    <w:rsid w:val="001B1E3F"/>
    <w:rsid w:val="001C0DE0"/>
    <w:rsid w:val="001C3AD6"/>
    <w:rsid w:val="001D186A"/>
    <w:rsid w:val="001D2AB6"/>
    <w:rsid w:val="001D3C28"/>
    <w:rsid w:val="001E49FB"/>
    <w:rsid w:val="001E7B40"/>
    <w:rsid w:val="001F1A76"/>
    <w:rsid w:val="001F23D2"/>
    <w:rsid w:val="001F5DAE"/>
    <w:rsid w:val="001F7B5A"/>
    <w:rsid w:val="002025B5"/>
    <w:rsid w:val="0021291F"/>
    <w:rsid w:val="00212D7C"/>
    <w:rsid w:val="00215819"/>
    <w:rsid w:val="00222F8D"/>
    <w:rsid w:val="002309BC"/>
    <w:rsid w:val="00230C81"/>
    <w:rsid w:val="00235857"/>
    <w:rsid w:val="002453A1"/>
    <w:rsid w:val="00245A67"/>
    <w:rsid w:val="00246314"/>
    <w:rsid w:val="00247D8D"/>
    <w:rsid w:val="0025078D"/>
    <w:rsid w:val="00256692"/>
    <w:rsid w:val="002579A1"/>
    <w:rsid w:val="00260D34"/>
    <w:rsid w:val="00263A00"/>
    <w:rsid w:val="0026408A"/>
    <w:rsid w:val="002640F8"/>
    <w:rsid w:val="0027216F"/>
    <w:rsid w:val="002768C5"/>
    <w:rsid w:val="0028226F"/>
    <w:rsid w:val="002847CB"/>
    <w:rsid w:val="00284FC9"/>
    <w:rsid w:val="002A25A0"/>
    <w:rsid w:val="002A6C4F"/>
    <w:rsid w:val="002C3984"/>
    <w:rsid w:val="002D027A"/>
    <w:rsid w:val="002D532A"/>
    <w:rsid w:val="002D5BD5"/>
    <w:rsid w:val="002D5F82"/>
    <w:rsid w:val="002E0CE7"/>
    <w:rsid w:val="002E7CF7"/>
    <w:rsid w:val="002F381E"/>
    <w:rsid w:val="002F3822"/>
    <w:rsid w:val="002F39F5"/>
    <w:rsid w:val="002F4A85"/>
    <w:rsid w:val="002F68EE"/>
    <w:rsid w:val="00300797"/>
    <w:rsid w:val="003133D4"/>
    <w:rsid w:val="00317823"/>
    <w:rsid w:val="00327D09"/>
    <w:rsid w:val="00332C97"/>
    <w:rsid w:val="003340C8"/>
    <w:rsid w:val="003446A4"/>
    <w:rsid w:val="00345F03"/>
    <w:rsid w:val="00355425"/>
    <w:rsid w:val="00361B6E"/>
    <w:rsid w:val="003621D2"/>
    <w:rsid w:val="00362F3C"/>
    <w:rsid w:val="00367692"/>
    <w:rsid w:val="0036782A"/>
    <w:rsid w:val="00371200"/>
    <w:rsid w:val="003833B6"/>
    <w:rsid w:val="0038374C"/>
    <w:rsid w:val="00384AC6"/>
    <w:rsid w:val="003A1D28"/>
    <w:rsid w:val="003A46D3"/>
    <w:rsid w:val="003A511A"/>
    <w:rsid w:val="003B486C"/>
    <w:rsid w:val="003B664A"/>
    <w:rsid w:val="003C46C9"/>
    <w:rsid w:val="003C6ED1"/>
    <w:rsid w:val="003D3B09"/>
    <w:rsid w:val="003E17A1"/>
    <w:rsid w:val="003F3408"/>
    <w:rsid w:val="003F4A66"/>
    <w:rsid w:val="00406A52"/>
    <w:rsid w:val="00410CFA"/>
    <w:rsid w:val="004115C1"/>
    <w:rsid w:val="00411A09"/>
    <w:rsid w:val="00412AE2"/>
    <w:rsid w:val="00417B07"/>
    <w:rsid w:val="00417FD8"/>
    <w:rsid w:val="0042204D"/>
    <w:rsid w:val="004221CA"/>
    <w:rsid w:val="0045715C"/>
    <w:rsid w:val="004619FF"/>
    <w:rsid w:val="00474EBB"/>
    <w:rsid w:val="00482754"/>
    <w:rsid w:val="00485FA0"/>
    <w:rsid w:val="0048751A"/>
    <w:rsid w:val="00487EB8"/>
    <w:rsid w:val="00493481"/>
    <w:rsid w:val="00495149"/>
    <w:rsid w:val="004A33FF"/>
    <w:rsid w:val="004C77E3"/>
    <w:rsid w:val="004D10E5"/>
    <w:rsid w:val="004D6962"/>
    <w:rsid w:val="004E0435"/>
    <w:rsid w:val="004E3F36"/>
    <w:rsid w:val="004E521F"/>
    <w:rsid w:val="004F08AE"/>
    <w:rsid w:val="004F34FC"/>
    <w:rsid w:val="00515513"/>
    <w:rsid w:val="005230B0"/>
    <w:rsid w:val="00525010"/>
    <w:rsid w:val="00530A0C"/>
    <w:rsid w:val="005329A7"/>
    <w:rsid w:val="005363A4"/>
    <w:rsid w:val="00537987"/>
    <w:rsid w:val="00541FD9"/>
    <w:rsid w:val="00552004"/>
    <w:rsid w:val="0055261D"/>
    <w:rsid w:val="005627C4"/>
    <w:rsid w:val="0056555F"/>
    <w:rsid w:val="0057033F"/>
    <w:rsid w:val="0058025D"/>
    <w:rsid w:val="0058255D"/>
    <w:rsid w:val="005A04EF"/>
    <w:rsid w:val="005A3A31"/>
    <w:rsid w:val="005B0352"/>
    <w:rsid w:val="005B1ABD"/>
    <w:rsid w:val="005C49BA"/>
    <w:rsid w:val="005D5F88"/>
    <w:rsid w:val="005D7867"/>
    <w:rsid w:val="005E3689"/>
    <w:rsid w:val="005E3D45"/>
    <w:rsid w:val="005E460C"/>
    <w:rsid w:val="005F45AB"/>
    <w:rsid w:val="005F548C"/>
    <w:rsid w:val="005F5A42"/>
    <w:rsid w:val="005F77D0"/>
    <w:rsid w:val="00603EB0"/>
    <w:rsid w:val="00614E22"/>
    <w:rsid w:val="00616F24"/>
    <w:rsid w:val="00617051"/>
    <w:rsid w:val="00625247"/>
    <w:rsid w:val="00625F19"/>
    <w:rsid w:val="00635493"/>
    <w:rsid w:val="00636B73"/>
    <w:rsid w:val="00640E81"/>
    <w:rsid w:val="006452C2"/>
    <w:rsid w:val="00645A34"/>
    <w:rsid w:val="00654BA7"/>
    <w:rsid w:val="006561F4"/>
    <w:rsid w:val="006607CB"/>
    <w:rsid w:val="00661BEC"/>
    <w:rsid w:val="006657B3"/>
    <w:rsid w:val="00667627"/>
    <w:rsid w:val="006755A3"/>
    <w:rsid w:val="0067603F"/>
    <w:rsid w:val="00677B9E"/>
    <w:rsid w:val="00681FB2"/>
    <w:rsid w:val="00690455"/>
    <w:rsid w:val="006A2A63"/>
    <w:rsid w:val="006A507E"/>
    <w:rsid w:val="006B1FB8"/>
    <w:rsid w:val="006C2FC1"/>
    <w:rsid w:val="006C3340"/>
    <w:rsid w:val="006C7B79"/>
    <w:rsid w:val="006D364F"/>
    <w:rsid w:val="006D38DA"/>
    <w:rsid w:val="006D5911"/>
    <w:rsid w:val="006F2C0D"/>
    <w:rsid w:val="00700EB1"/>
    <w:rsid w:val="00704194"/>
    <w:rsid w:val="007063F3"/>
    <w:rsid w:val="00731F58"/>
    <w:rsid w:val="00742C5B"/>
    <w:rsid w:val="007459F0"/>
    <w:rsid w:val="00751709"/>
    <w:rsid w:val="00754B98"/>
    <w:rsid w:val="007552CD"/>
    <w:rsid w:val="007576E0"/>
    <w:rsid w:val="0076493C"/>
    <w:rsid w:val="007706AF"/>
    <w:rsid w:val="0077568F"/>
    <w:rsid w:val="007879E1"/>
    <w:rsid w:val="007928EE"/>
    <w:rsid w:val="0079536B"/>
    <w:rsid w:val="00796D3B"/>
    <w:rsid w:val="007A0F2E"/>
    <w:rsid w:val="007A6E06"/>
    <w:rsid w:val="007B4392"/>
    <w:rsid w:val="007C0E3C"/>
    <w:rsid w:val="007D7DF2"/>
    <w:rsid w:val="007E3387"/>
    <w:rsid w:val="007E5FD4"/>
    <w:rsid w:val="007F110E"/>
    <w:rsid w:val="007F1FD0"/>
    <w:rsid w:val="007F3471"/>
    <w:rsid w:val="007F395B"/>
    <w:rsid w:val="007F6227"/>
    <w:rsid w:val="008045FF"/>
    <w:rsid w:val="00805720"/>
    <w:rsid w:val="0081735C"/>
    <w:rsid w:val="008215F2"/>
    <w:rsid w:val="00823501"/>
    <w:rsid w:val="008262AC"/>
    <w:rsid w:val="008277DB"/>
    <w:rsid w:val="00844115"/>
    <w:rsid w:val="0085207B"/>
    <w:rsid w:val="00863BBC"/>
    <w:rsid w:val="00894DFD"/>
    <w:rsid w:val="008A6C11"/>
    <w:rsid w:val="008A7CB4"/>
    <w:rsid w:val="008B2F46"/>
    <w:rsid w:val="008B3EE4"/>
    <w:rsid w:val="008B3F41"/>
    <w:rsid w:val="008C1BF3"/>
    <w:rsid w:val="008D5702"/>
    <w:rsid w:val="008D7225"/>
    <w:rsid w:val="008D7AFC"/>
    <w:rsid w:val="008E3F78"/>
    <w:rsid w:val="008E51E7"/>
    <w:rsid w:val="008E7065"/>
    <w:rsid w:val="008F458D"/>
    <w:rsid w:val="008F4EE0"/>
    <w:rsid w:val="00905C41"/>
    <w:rsid w:val="00911ECE"/>
    <w:rsid w:val="0091630B"/>
    <w:rsid w:val="00926ACB"/>
    <w:rsid w:val="009350FF"/>
    <w:rsid w:val="0094192F"/>
    <w:rsid w:val="00942706"/>
    <w:rsid w:val="00947906"/>
    <w:rsid w:val="00954783"/>
    <w:rsid w:val="0095549D"/>
    <w:rsid w:val="0096691E"/>
    <w:rsid w:val="00970836"/>
    <w:rsid w:val="0097373E"/>
    <w:rsid w:val="009765DD"/>
    <w:rsid w:val="009826C4"/>
    <w:rsid w:val="0098403F"/>
    <w:rsid w:val="0098774F"/>
    <w:rsid w:val="009D13C0"/>
    <w:rsid w:val="009D1EC2"/>
    <w:rsid w:val="009D2997"/>
    <w:rsid w:val="009D76BD"/>
    <w:rsid w:val="009E4B7F"/>
    <w:rsid w:val="00A001AF"/>
    <w:rsid w:val="00A03B63"/>
    <w:rsid w:val="00A03DF8"/>
    <w:rsid w:val="00A0411C"/>
    <w:rsid w:val="00A06704"/>
    <w:rsid w:val="00A072A7"/>
    <w:rsid w:val="00A11C65"/>
    <w:rsid w:val="00A1267F"/>
    <w:rsid w:val="00A220F4"/>
    <w:rsid w:val="00A23B1A"/>
    <w:rsid w:val="00A30994"/>
    <w:rsid w:val="00A4373B"/>
    <w:rsid w:val="00A5193B"/>
    <w:rsid w:val="00A5388B"/>
    <w:rsid w:val="00A56131"/>
    <w:rsid w:val="00A574B3"/>
    <w:rsid w:val="00A629A1"/>
    <w:rsid w:val="00A76771"/>
    <w:rsid w:val="00A8345A"/>
    <w:rsid w:val="00A87E34"/>
    <w:rsid w:val="00A93904"/>
    <w:rsid w:val="00A95614"/>
    <w:rsid w:val="00AA3593"/>
    <w:rsid w:val="00AC6164"/>
    <w:rsid w:val="00AC63E8"/>
    <w:rsid w:val="00AC64E1"/>
    <w:rsid w:val="00AC7108"/>
    <w:rsid w:val="00AE2752"/>
    <w:rsid w:val="00AF301A"/>
    <w:rsid w:val="00B0173F"/>
    <w:rsid w:val="00B036DA"/>
    <w:rsid w:val="00B03768"/>
    <w:rsid w:val="00B05783"/>
    <w:rsid w:val="00B06B80"/>
    <w:rsid w:val="00B1712D"/>
    <w:rsid w:val="00B222BF"/>
    <w:rsid w:val="00B25CDA"/>
    <w:rsid w:val="00B26070"/>
    <w:rsid w:val="00B435E9"/>
    <w:rsid w:val="00B47DEA"/>
    <w:rsid w:val="00B502BE"/>
    <w:rsid w:val="00B5096E"/>
    <w:rsid w:val="00B50D92"/>
    <w:rsid w:val="00B54D8F"/>
    <w:rsid w:val="00B57312"/>
    <w:rsid w:val="00B574E7"/>
    <w:rsid w:val="00B57584"/>
    <w:rsid w:val="00B60F38"/>
    <w:rsid w:val="00B64231"/>
    <w:rsid w:val="00B728DB"/>
    <w:rsid w:val="00B75E61"/>
    <w:rsid w:val="00B762E2"/>
    <w:rsid w:val="00B773EB"/>
    <w:rsid w:val="00B8788E"/>
    <w:rsid w:val="00B87EE4"/>
    <w:rsid w:val="00B94149"/>
    <w:rsid w:val="00B967EA"/>
    <w:rsid w:val="00B96AB0"/>
    <w:rsid w:val="00B96C97"/>
    <w:rsid w:val="00B97E7F"/>
    <w:rsid w:val="00BA604E"/>
    <w:rsid w:val="00BA7119"/>
    <w:rsid w:val="00BB480A"/>
    <w:rsid w:val="00BC45D2"/>
    <w:rsid w:val="00BD2715"/>
    <w:rsid w:val="00BD3CFE"/>
    <w:rsid w:val="00BF68DD"/>
    <w:rsid w:val="00C07119"/>
    <w:rsid w:val="00C127CB"/>
    <w:rsid w:val="00C2473E"/>
    <w:rsid w:val="00C3165E"/>
    <w:rsid w:val="00C35087"/>
    <w:rsid w:val="00C3525B"/>
    <w:rsid w:val="00C3682D"/>
    <w:rsid w:val="00C36900"/>
    <w:rsid w:val="00C42AEB"/>
    <w:rsid w:val="00C57ECA"/>
    <w:rsid w:val="00C625CD"/>
    <w:rsid w:val="00C74BD9"/>
    <w:rsid w:val="00C8095E"/>
    <w:rsid w:val="00C84E96"/>
    <w:rsid w:val="00C91B53"/>
    <w:rsid w:val="00C95D27"/>
    <w:rsid w:val="00CA043C"/>
    <w:rsid w:val="00CB0E0B"/>
    <w:rsid w:val="00CB13D0"/>
    <w:rsid w:val="00CB720C"/>
    <w:rsid w:val="00CC387D"/>
    <w:rsid w:val="00CC4C6D"/>
    <w:rsid w:val="00CF49BA"/>
    <w:rsid w:val="00CF6130"/>
    <w:rsid w:val="00CF6AED"/>
    <w:rsid w:val="00D0129E"/>
    <w:rsid w:val="00D015FD"/>
    <w:rsid w:val="00D06722"/>
    <w:rsid w:val="00D10A86"/>
    <w:rsid w:val="00D127B6"/>
    <w:rsid w:val="00D23987"/>
    <w:rsid w:val="00D23B42"/>
    <w:rsid w:val="00D26E56"/>
    <w:rsid w:val="00D31C4A"/>
    <w:rsid w:val="00D31F0D"/>
    <w:rsid w:val="00D32705"/>
    <w:rsid w:val="00D34A2E"/>
    <w:rsid w:val="00D356FB"/>
    <w:rsid w:val="00D35ED0"/>
    <w:rsid w:val="00D42214"/>
    <w:rsid w:val="00D5379F"/>
    <w:rsid w:val="00D5569F"/>
    <w:rsid w:val="00D56D23"/>
    <w:rsid w:val="00D72F4E"/>
    <w:rsid w:val="00D73A3B"/>
    <w:rsid w:val="00D75E21"/>
    <w:rsid w:val="00D92D15"/>
    <w:rsid w:val="00DA1951"/>
    <w:rsid w:val="00DA6E3D"/>
    <w:rsid w:val="00DB1535"/>
    <w:rsid w:val="00DB7504"/>
    <w:rsid w:val="00DC05FD"/>
    <w:rsid w:val="00DC63CB"/>
    <w:rsid w:val="00DD1FA3"/>
    <w:rsid w:val="00DD40FB"/>
    <w:rsid w:val="00DD485D"/>
    <w:rsid w:val="00DD748D"/>
    <w:rsid w:val="00DE4530"/>
    <w:rsid w:val="00DE5B15"/>
    <w:rsid w:val="00DF1C1A"/>
    <w:rsid w:val="00DF3AA1"/>
    <w:rsid w:val="00DF3BED"/>
    <w:rsid w:val="00DF52AC"/>
    <w:rsid w:val="00E10301"/>
    <w:rsid w:val="00E14B8B"/>
    <w:rsid w:val="00E17762"/>
    <w:rsid w:val="00E207A2"/>
    <w:rsid w:val="00E22697"/>
    <w:rsid w:val="00E22A0D"/>
    <w:rsid w:val="00E24D55"/>
    <w:rsid w:val="00E24D7D"/>
    <w:rsid w:val="00E27B36"/>
    <w:rsid w:val="00E358A7"/>
    <w:rsid w:val="00E36FC8"/>
    <w:rsid w:val="00E407AB"/>
    <w:rsid w:val="00E4544A"/>
    <w:rsid w:val="00E50D98"/>
    <w:rsid w:val="00E520C1"/>
    <w:rsid w:val="00E5607B"/>
    <w:rsid w:val="00E611FA"/>
    <w:rsid w:val="00E61DC8"/>
    <w:rsid w:val="00E66F9C"/>
    <w:rsid w:val="00E67660"/>
    <w:rsid w:val="00E7681E"/>
    <w:rsid w:val="00E839C0"/>
    <w:rsid w:val="00E96B74"/>
    <w:rsid w:val="00EA2ADE"/>
    <w:rsid w:val="00EA601C"/>
    <w:rsid w:val="00EB27A9"/>
    <w:rsid w:val="00EB693D"/>
    <w:rsid w:val="00EC3709"/>
    <w:rsid w:val="00EC4A9E"/>
    <w:rsid w:val="00EC5FC4"/>
    <w:rsid w:val="00EC617D"/>
    <w:rsid w:val="00EC78BE"/>
    <w:rsid w:val="00ED43D7"/>
    <w:rsid w:val="00ED795D"/>
    <w:rsid w:val="00EE2571"/>
    <w:rsid w:val="00EE48B8"/>
    <w:rsid w:val="00EE4920"/>
    <w:rsid w:val="00EE5CBD"/>
    <w:rsid w:val="00EF7556"/>
    <w:rsid w:val="00F001FF"/>
    <w:rsid w:val="00F04C8D"/>
    <w:rsid w:val="00F11008"/>
    <w:rsid w:val="00F11662"/>
    <w:rsid w:val="00F135DF"/>
    <w:rsid w:val="00F14171"/>
    <w:rsid w:val="00F1513A"/>
    <w:rsid w:val="00F17D41"/>
    <w:rsid w:val="00F25EA9"/>
    <w:rsid w:val="00F35576"/>
    <w:rsid w:val="00F36C15"/>
    <w:rsid w:val="00F40DB1"/>
    <w:rsid w:val="00F410C7"/>
    <w:rsid w:val="00F45824"/>
    <w:rsid w:val="00F6262D"/>
    <w:rsid w:val="00F67F38"/>
    <w:rsid w:val="00F81BBE"/>
    <w:rsid w:val="00F82C9E"/>
    <w:rsid w:val="00F9743E"/>
    <w:rsid w:val="00F97DBE"/>
    <w:rsid w:val="00FA5C51"/>
    <w:rsid w:val="00FA5CB4"/>
    <w:rsid w:val="00FA5D72"/>
    <w:rsid w:val="00FA6FEE"/>
    <w:rsid w:val="00FB2961"/>
    <w:rsid w:val="00FC4B81"/>
    <w:rsid w:val="00FD1F95"/>
    <w:rsid w:val="00FD2217"/>
    <w:rsid w:val="00FD243F"/>
    <w:rsid w:val="00FD5AAC"/>
    <w:rsid w:val="00FE333F"/>
    <w:rsid w:val="00FE559F"/>
    <w:rsid w:val="00FE7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36A7C"/>
  <w15:docId w15:val="{B48C5A7D-FE29-1A45-87B9-D6C19DF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969"/>
    <w:rPr>
      <w:rFonts w:ascii="VWAG TheSans Light" w:eastAsia="Times New Roman" w:hAnsi="VWAG TheSans Light" w:cs="Times New Roman"/>
      <w:kern w:val="10"/>
      <w:sz w:val="21"/>
      <w:lang w:eastAsia="de-DE"/>
    </w:rPr>
  </w:style>
  <w:style w:type="paragraph" w:styleId="berschrift1">
    <w:name w:val="heading 1"/>
    <w:basedOn w:val="Standard"/>
    <w:next w:val="Standard"/>
    <w:link w:val="berschrift1Zchn"/>
    <w:uiPriority w:val="9"/>
    <w:qFormat/>
    <w:rsid w:val="000B09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B09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B096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B09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969"/>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0B0969"/>
  </w:style>
  <w:style w:type="paragraph" w:styleId="Fuzeile">
    <w:name w:val="footer"/>
    <w:basedOn w:val="Standard"/>
    <w:link w:val="FuzeileZchn"/>
    <w:uiPriority w:val="99"/>
    <w:unhideWhenUsed/>
    <w:rsid w:val="000B0969"/>
    <w:pPr>
      <w:tabs>
        <w:tab w:val="center" w:pos="4680"/>
        <w:tab w:val="right" w:pos="9360"/>
      </w:tabs>
      <w:spacing w:line="240" w:lineRule="auto"/>
    </w:pPr>
  </w:style>
  <w:style w:type="character" w:customStyle="1" w:styleId="FuzeileZchn">
    <w:name w:val="Fußzeile Zchn"/>
    <w:basedOn w:val="Absatz-Standardschriftart"/>
    <w:link w:val="Fuzeile"/>
    <w:uiPriority w:val="99"/>
    <w:rsid w:val="000B0969"/>
  </w:style>
  <w:style w:type="table" w:customStyle="1" w:styleId="Tabellenraster1">
    <w:name w:val="Tabellenraster1"/>
    <w:basedOn w:val="NormaleTabelle"/>
    <w:next w:val="Tabellenraster"/>
    <w:rsid w:val="000B096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qFormat/>
    <w:rsid w:val="000B0969"/>
    <w:pPr>
      <w:framePr w:vSpace="142" w:wrap="around" w:vAnchor="text" w:hAnchor="text" w:y="1"/>
      <w:spacing w:line="264" w:lineRule="auto"/>
      <w:suppressOverlap/>
    </w:pPr>
    <w:rPr>
      <w:rFonts w:ascii="VWAG TheSans" w:hAnsi="VWAG TheSans" w:cs="Arial"/>
      <w:b/>
      <w:bCs/>
      <w:kern w:val="8"/>
      <w:sz w:val="15"/>
      <w:szCs w:val="18"/>
    </w:rPr>
  </w:style>
  <w:style w:type="table" w:styleId="Tabellenraster">
    <w:name w:val="Table Grid"/>
    <w:basedOn w:val="NormaleTabelle"/>
    <w:rsid w:val="000B09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eninformation">
    <w:name w:val="Medieninformation"/>
    <w:basedOn w:val="Standard"/>
    <w:qFormat/>
    <w:rsid w:val="000B0969"/>
    <w:pPr>
      <w:spacing w:line="240" w:lineRule="auto"/>
    </w:pPr>
    <w:rPr>
      <w:rFonts w:ascii="VWAG TheAntiqua" w:hAnsi="VWAG TheAntiqua"/>
      <w:sz w:val="24"/>
      <w:szCs w:val="48"/>
    </w:rPr>
  </w:style>
  <w:style w:type="paragraph" w:customStyle="1" w:styleId="Headline">
    <w:name w:val="Headline"/>
    <w:basedOn w:val="Standard"/>
    <w:qFormat/>
    <w:rsid w:val="000B0969"/>
    <w:pPr>
      <w:spacing w:line="520" w:lineRule="exact"/>
    </w:pPr>
    <w:rPr>
      <w:rFonts w:ascii="VWAG TheAntiqua" w:hAnsi="VWAG TheAntiqua"/>
      <w:color w:val="A5A5A5" w:themeColor="accent3"/>
      <w:sz w:val="40"/>
      <w:szCs w:val="48"/>
    </w:rPr>
  </w:style>
  <w:style w:type="character" w:customStyle="1" w:styleId="berschrift2Zchn">
    <w:name w:val="Überschrift 2 Zchn"/>
    <w:basedOn w:val="Absatz-Standardschriftart"/>
    <w:link w:val="berschrift2"/>
    <w:uiPriority w:val="9"/>
    <w:rsid w:val="000B0969"/>
    <w:rPr>
      <w:rFonts w:asciiTheme="majorHAnsi" w:eastAsiaTheme="majorEastAsia" w:hAnsiTheme="majorHAnsi" w:cstheme="majorBidi"/>
      <w:color w:val="2E74B5" w:themeColor="accent1" w:themeShade="BF"/>
      <w:kern w:val="10"/>
      <w:sz w:val="26"/>
      <w:szCs w:val="26"/>
      <w:lang w:val="en-US" w:eastAsia="de-DE"/>
    </w:rPr>
  </w:style>
  <w:style w:type="character" w:customStyle="1" w:styleId="berschrift1Zchn">
    <w:name w:val="Überschrift 1 Zchn"/>
    <w:basedOn w:val="Absatz-Standardschriftart"/>
    <w:link w:val="berschrift1"/>
    <w:uiPriority w:val="9"/>
    <w:rsid w:val="000B0969"/>
    <w:rPr>
      <w:rFonts w:asciiTheme="majorHAnsi" w:eastAsiaTheme="majorEastAsia" w:hAnsiTheme="majorHAnsi" w:cstheme="majorBidi"/>
      <w:color w:val="2E74B5" w:themeColor="accent1" w:themeShade="BF"/>
      <w:kern w:val="10"/>
      <w:sz w:val="32"/>
      <w:szCs w:val="32"/>
      <w:lang w:val="en-US" w:eastAsia="de-DE"/>
    </w:rPr>
  </w:style>
  <w:style w:type="paragraph" w:customStyle="1" w:styleId="Einleitung1Aufzhlung">
    <w:name w:val="Einleitung_1_Aufzählung"/>
    <w:basedOn w:val="Standard"/>
    <w:qFormat/>
    <w:rsid w:val="000B0969"/>
    <w:pPr>
      <w:numPr>
        <w:numId w:val="1"/>
      </w:numPr>
      <w:spacing w:line="300" w:lineRule="exact"/>
      <w:ind w:left="170" w:hanging="170"/>
    </w:pPr>
    <w:rPr>
      <w:rFonts w:ascii="VWAG TheSans" w:hAnsi="VWAG TheSans"/>
      <w:b/>
      <w:color w:val="44546A" w:themeColor="text2"/>
    </w:rPr>
  </w:style>
  <w:style w:type="character" w:customStyle="1" w:styleId="berschrift3Zchn">
    <w:name w:val="Überschrift 3 Zchn"/>
    <w:basedOn w:val="Absatz-Standardschriftart"/>
    <w:link w:val="berschrift3"/>
    <w:uiPriority w:val="9"/>
    <w:rsid w:val="000B0969"/>
    <w:rPr>
      <w:rFonts w:asciiTheme="majorHAnsi" w:eastAsiaTheme="majorEastAsia" w:hAnsiTheme="majorHAnsi" w:cstheme="majorBidi"/>
      <w:color w:val="1F4D78" w:themeColor="accent1" w:themeShade="7F"/>
      <w:kern w:val="10"/>
      <w:sz w:val="24"/>
      <w:szCs w:val="24"/>
      <w:lang w:val="en-US" w:eastAsia="de-DE"/>
    </w:rPr>
  </w:style>
  <w:style w:type="character" w:customStyle="1" w:styleId="berschrift4Zchn">
    <w:name w:val="Überschrift 4 Zchn"/>
    <w:basedOn w:val="Absatz-Standardschriftart"/>
    <w:link w:val="berschrift4"/>
    <w:uiPriority w:val="9"/>
    <w:rsid w:val="000B0969"/>
    <w:rPr>
      <w:rFonts w:asciiTheme="majorHAnsi" w:eastAsiaTheme="majorEastAsia" w:hAnsiTheme="majorHAnsi" w:cstheme="majorBidi"/>
      <w:i/>
      <w:iCs/>
      <w:color w:val="2E74B5" w:themeColor="accent1" w:themeShade="BF"/>
      <w:kern w:val="10"/>
      <w:sz w:val="21"/>
      <w:lang w:val="en-US" w:eastAsia="de-DE"/>
    </w:rPr>
  </w:style>
  <w:style w:type="paragraph" w:customStyle="1" w:styleId="Einleitunf2">
    <w:name w:val="Einleitunf 2"/>
    <w:basedOn w:val="Standard"/>
    <w:qFormat/>
    <w:rsid w:val="000B0969"/>
    <w:pPr>
      <w:autoSpaceDE w:val="0"/>
      <w:autoSpaceDN w:val="0"/>
      <w:adjustRightInd w:val="0"/>
      <w:textAlignment w:val="center"/>
    </w:pPr>
    <w:rPr>
      <w:rFonts w:ascii="VWAG TheAntiqua" w:hAnsi="VWAG TheAntiqua" w:cs="VWAGTheAntiqua-Bold"/>
      <w:b/>
      <w:bCs/>
      <w:color w:val="000000"/>
      <w:kern w:val="21"/>
      <w:szCs w:val="21"/>
    </w:rPr>
  </w:style>
  <w:style w:type="paragraph" w:customStyle="1" w:styleId="ImpressumBold">
    <w:name w:val="Impressum Bold"/>
    <w:basedOn w:val="Standard"/>
    <w:qFormat/>
    <w:rsid w:val="00A220F4"/>
    <w:pPr>
      <w:spacing w:line="300" w:lineRule="auto"/>
    </w:pPr>
    <w:rPr>
      <w:rFonts w:ascii="VWAG TheSans" w:hAnsi="VWAG TheSans" w:cs="VWText"/>
      <w:b/>
      <w:kern w:val="8"/>
      <w:sz w:val="18"/>
      <w:szCs w:val="19"/>
    </w:rPr>
  </w:style>
  <w:style w:type="character" w:customStyle="1" w:styleId="Impressumlight">
    <w:name w:val="Impressum light"/>
    <w:basedOn w:val="Absatz-Standardschriftart"/>
    <w:uiPriority w:val="1"/>
    <w:qFormat/>
    <w:rsid w:val="00A220F4"/>
    <w:rPr>
      <w:rFonts w:ascii="VWAG TheSans Light" w:hAnsi="VWAG TheSans Light"/>
      <w:sz w:val="18"/>
    </w:rPr>
  </w:style>
  <w:style w:type="character" w:styleId="Hyperlink">
    <w:name w:val="Hyperlink"/>
    <w:basedOn w:val="Absatz-Standardschriftart"/>
    <w:unhideWhenUsed/>
    <w:rsid w:val="00A220F4"/>
    <w:rPr>
      <w:color w:val="0563C1" w:themeColor="hyperlink"/>
      <w:u w:val="single"/>
    </w:rPr>
  </w:style>
  <w:style w:type="paragraph" w:customStyle="1" w:styleId="Funoten">
    <w:name w:val="_Fußnoten"/>
    <w:basedOn w:val="Standard"/>
    <w:next w:val="Standard"/>
    <w:qFormat/>
    <w:rsid w:val="008B3EE4"/>
    <w:pPr>
      <w:numPr>
        <w:numId w:val="3"/>
      </w:numPr>
      <w:spacing w:line="280" w:lineRule="exact"/>
      <w:ind w:left="170" w:hanging="170"/>
    </w:pPr>
    <w:rPr>
      <w:rFonts w:ascii="VW Text Office" w:hAnsi="VW Text Office" w:cs="Arial"/>
      <w:i/>
      <w:snapToGrid w:val="0"/>
      <w:kern w:val="8"/>
      <w:sz w:val="22"/>
      <w:szCs w:val="19"/>
    </w:rPr>
  </w:style>
  <w:style w:type="paragraph" w:customStyle="1" w:styleId="SEITENZAHL">
    <w:name w:val="SEITENZAHL"/>
    <w:basedOn w:val="Standard"/>
    <w:qFormat/>
    <w:rsid w:val="00640E81"/>
    <w:rPr>
      <w:rFonts w:ascii="VWAG TheSans" w:hAnsi="VWAG TheSans"/>
      <w:b/>
      <w:caps/>
      <w:spacing w:val="10"/>
      <w:sz w:val="12"/>
      <w:szCs w:val="12"/>
    </w:rPr>
  </w:style>
  <w:style w:type="paragraph" w:customStyle="1" w:styleId="EinfAbs">
    <w:name w:val="[Einf. Abs.]"/>
    <w:basedOn w:val="Standard"/>
    <w:uiPriority w:val="99"/>
    <w:rsid w:val="00020947"/>
    <w:pPr>
      <w:autoSpaceDE w:val="0"/>
      <w:autoSpaceDN w:val="0"/>
      <w:adjustRightInd w:val="0"/>
      <w:textAlignment w:val="center"/>
    </w:pPr>
    <w:rPr>
      <w:rFonts w:ascii="MinionPro-Regular" w:hAnsi="MinionPro-Regular" w:cs="MinionPro-Regular"/>
      <w:color w:val="000000"/>
      <w:kern w:val="0"/>
      <w:sz w:val="24"/>
      <w:szCs w:val="24"/>
    </w:rPr>
  </w:style>
  <w:style w:type="paragraph" w:styleId="Beschriftung">
    <w:name w:val="caption"/>
    <w:basedOn w:val="Standard"/>
    <w:next w:val="Standard"/>
    <w:unhideWhenUsed/>
    <w:qFormat/>
    <w:rsid w:val="00FE333F"/>
    <w:pPr>
      <w:spacing w:line="264" w:lineRule="auto"/>
    </w:pPr>
    <w:rPr>
      <w:rFonts w:ascii="VW Text Office" w:hAnsi="VW Text Office" w:cs="Arial"/>
      <w:b/>
      <w:bCs/>
      <w:snapToGrid w:val="0"/>
      <w:kern w:val="8"/>
      <w:sz w:val="15"/>
      <w:szCs w:val="18"/>
    </w:rPr>
  </w:style>
  <w:style w:type="paragraph" w:styleId="Sprechblasentext">
    <w:name w:val="Balloon Text"/>
    <w:basedOn w:val="Standard"/>
    <w:link w:val="SprechblasentextZchn"/>
    <w:uiPriority w:val="99"/>
    <w:semiHidden/>
    <w:unhideWhenUsed/>
    <w:rsid w:val="008045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5FF"/>
    <w:rPr>
      <w:rFonts w:ascii="Tahoma" w:eastAsia="Times New Roman" w:hAnsi="Tahoma" w:cs="Tahoma"/>
      <w:kern w:val="10"/>
      <w:sz w:val="16"/>
      <w:szCs w:val="16"/>
      <w:lang w:val="en-US" w:eastAsia="de-DE"/>
    </w:rPr>
  </w:style>
  <w:style w:type="character" w:styleId="Kommentarzeichen">
    <w:name w:val="annotation reference"/>
    <w:basedOn w:val="Absatz-Standardschriftart"/>
    <w:uiPriority w:val="99"/>
    <w:semiHidden/>
    <w:unhideWhenUsed/>
    <w:rsid w:val="00E27B36"/>
    <w:rPr>
      <w:sz w:val="16"/>
      <w:szCs w:val="16"/>
    </w:rPr>
  </w:style>
  <w:style w:type="paragraph" w:styleId="Kommentartext">
    <w:name w:val="annotation text"/>
    <w:basedOn w:val="Standard"/>
    <w:link w:val="KommentartextZchn"/>
    <w:uiPriority w:val="99"/>
    <w:semiHidden/>
    <w:unhideWhenUsed/>
    <w:rsid w:val="00E27B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B36"/>
    <w:rPr>
      <w:rFonts w:ascii="VWAG TheSans Light" w:eastAsia="Times New Roman" w:hAnsi="VWAG TheSans Light" w:cs="Times New Roman"/>
      <w:kern w:val="10"/>
      <w:sz w:val="20"/>
      <w:szCs w:val="20"/>
      <w:lang w:val="en-US" w:eastAsia="de-DE"/>
    </w:rPr>
  </w:style>
  <w:style w:type="paragraph" w:styleId="Kommentarthema">
    <w:name w:val="annotation subject"/>
    <w:basedOn w:val="Kommentartext"/>
    <w:next w:val="Kommentartext"/>
    <w:link w:val="KommentarthemaZchn"/>
    <w:uiPriority w:val="99"/>
    <w:semiHidden/>
    <w:unhideWhenUsed/>
    <w:rsid w:val="00E27B36"/>
    <w:rPr>
      <w:b/>
      <w:bCs/>
    </w:rPr>
  </w:style>
  <w:style w:type="character" w:customStyle="1" w:styleId="KommentarthemaZchn">
    <w:name w:val="Kommentarthema Zchn"/>
    <w:basedOn w:val="KommentartextZchn"/>
    <w:link w:val="Kommentarthema"/>
    <w:uiPriority w:val="99"/>
    <w:semiHidden/>
    <w:rsid w:val="00E27B36"/>
    <w:rPr>
      <w:rFonts w:ascii="VWAG TheSans Light" w:eastAsia="Times New Roman" w:hAnsi="VWAG TheSans Light" w:cs="Times New Roman"/>
      <w:b/>
      <w:bCs/>
      <w:kern w:val="10"/>
      <w:sz w:val="20"/>
      <w:szCs w:val="20"/>
      <w:lang w:val="en-US" w:eastAsia="de-DE"/>
    </w:rPr>
  </w:style>
  <w:style w:type="paragraph" w:styleId="berarbeitung">
    <w:name w:val="Revision"/>
    <w:hidden/>
    <w:uiPriority w:val="99"/>
    <w:semiHidden/>
    <w:rsid w:val="002579A1"/>
    <w:pPr>
      <w:spacing w:line="240" w:lineRule="auto"/>
    </w:pPr>
    <w:rPr>
      <w:rFonts w:ascii="VWAG TheSans Light" w:eastAsia="Times New Roman" w:hAnsi="VWAG TheSans Light" w:cs="Times New Roman"/>
      <w:kern w:val="10"/>
      <w:sz w:val="21"/>
      <w:lang w:eastAsia="de-DE"/>
    </w:rPr>
  </w:style>
  <w:style w:type="character" w:customStyle="1" w:styleId="NichtaufgelsteErwhnung1">
    <w:name w:val="Nicht aufgelöste Erwähnung1"/>
    <w:basedOn w:val="Absatz-Standardschriftart"/>
    <w:uiPriority w:val="99"/>
    <w:semiHidden/>
    <w:unhideWhenUsed/>
    <w:rsid w:val="00D72F4E"/>
    <w:rPr>
      <w:color w:val="605E5C"/>
      <w:shd w:val="clear" w:color="auto" w:fill="E1DFDD"/>
    </w:rPr>
  </w:style>
  <w:style w:type="character" w:customStyle="1" w:styleId="markedcontent">
    <w:name w:val="markedcontent"/>
    <w:basedOn w:val="Absatz-Standardschriftart"/>
    <w:rsid w:val="00495149"/>
  </w:style>
  <w:style w:type="character" w:customStyle="1" w:styleId="NichtaufgelsteErwhnung2">
    <w:name w:val="Nicht aufgelöste Erwähnung2"/>
    <w:basedOn w:val="Absatz-Standardschriftart"/>
    <w:uiPriority w:val="99"/>
    <w:semiHidden/>
    <w:unhideWhenUsed/>
    <w:rsid w:val="000B7F45"/>
    <w:rPr>
      <w:color w:val="605E5C"/>
      <w:shd w:val="clear" w:color="auto" w:fill="E1DFDD"/>
    </w:rPr>
  </w:style>
  <w:style w:type="paragraph" w:styleId="StandardWeb">
    <w:name w:val="Normal (Web)"/>
    <w:basedOn w:val="Standard"/>
    <w:uiPriority w:val="99"/>
    <w:semiHidden/>
    <w:unhideWhenUsed/>
    <w:rsid w:val="009350FF"/>
    <w:pPr>
      <w:spacing w:before="100" w:beforeAutospacing="1" w:after="100" w:afterAutospacing="1" w:line="240" w:lineRule="auto"/>
    </w:pPr>
    <w:rPr>
      <w:rFonts w:ascii="Calibri" w:eastAsiaTheme="minorHAnsi" w:hAnsi="Calibri" w:cs="Calibri"/>
      <w:kern w:val="0"/>
      <w:sz w:val="22"/>
    </w:rPr>
  </w:style>
  <w:style w:type="character" w:customStyle="1" w:styleId="s16">
    <w:name w:val="s16"/>
    <w:basedOn w:val="Absatz-Standardschriftart"/>
    <w:rsid w:val="009350FF"/>
  </w:style>
  <w:style w:type="character" w:styleId="NichtaufgelsteErwhnung">
    <w:name w:val="Unresolved Mention"/>
    <w:basedOn w:val="Absatz-Standardschriftart"/>
    <w:uiPriority w:val="99"/>
    <w:semiHidden/>
    <w:unhideWhenUsed/>
    <w:rsid w:val="00DC05FD"/>
    <w:rPr>
      <w:color w:val="605E5C"/>
      <w:shd w:val="clear" w:color="auto" w:fill="E1DFDD"/>
    </w:rPr>
  </w:style>
  <w:style w:type="character" w:styleId="Fett">
    <w:name w:val="Strong"/>
    <w:basedOn w:val="Absatz-Standardschriftart"/>
    <w:uiPriority w:val="22"/>
    <w:qFormat/>
    <w:rsid w:val="00DC05FD"/>
    <w:rPr>
      <w:b/>
      <w:bCs/>
    </w:rPr>
  </w:style>
  <w:style w:type="paragraph" w:styleId="Textkrper">
    <w:name w:val="Body Text"/>
    <w:basedOn w:val="Standard"/>
    <w:link w:val="TextkrperZchn"/>
    <w:unhideWhenUsed/>
    <w:rsid w:val="001C0DE0"/>
    <w:pPr>
      <w:spacing w:after="120"/>
    </w:pPr>
    <w:rPr>
      <w:lang w:eastAsia="en-US" w:bidi="en-US"/>
    </w:rPr>
  </w:style>
  <w:style w:type="character" w:customStyle="1" w:styleId="TextkrperZchn">
    <w:name w:val="Textkörper Zchn"/>
    <w:basedOn w:val="Absatz-Standardschriftart"/>
    <w:link w:val="Textkrper"/>
    <w:rsid w:val="001C0DE0"/>
    <w:rPr>
      <w:rFonts w:ascii="VWAG TheSans Light" w:eastAsia="Times New Roman" w:hAnsi="VWAG TheSans Light" w:cs="Times New Roman"/>
      <w:kern w:val="10"/>
      <w:sz w:val="21"/>
      <w:lang w:bidi="en-US"/>
    </w:rPr>
  </w:style>
  <w:style w:type="table" w:customStyle="1" w:styleId="Tabellenraster2">
    <w:name w:val="Tabellenraster2"/>
    <w:basedOn w:val="NormaleTabelle"/>
    <w:next w:val="Tabellenraster"/>
    <w:rsid w:val="001C0DE0"/>
    <w:pPr>
      <w:spacing w:line="320" w:lineRule="atLeast"/>
      <w:ind w:left="57" w:right="57"/>
    </w:pPr>
    <w:rPr>
      <w:rFonts w:ascii="Arial" w:eastAsia="Times New Roman" w:hAnsi="Arial"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table" w:customStyle="1" w:styleId="Tabellenraster3">
    <w:name w:val="Tabellenraster3"/>
    <w:basedOn w:val="NormaleTabelle"/>
    <w:next w:val="Tabellenraster"/>
    <w:rsid w:val="001C0DE0"/>
    <w:pPr>
      <w:spacing w:line="320" w:lineRule="atLeast"/>
      <w:ind w:left="57" w:right="57"/>
    </w:pPr>
    <w:rPr>
      <w:rFonts w:ascii="Arial" w:eastAsia="Times New Roman" w:hAnsi="Arial"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table" w:customStyle="1" w:styleId="Tabellenraster4">
    <w:name w:val="Tabellenraster4"/>
    <w:basedOn w:val="NormaleTabelle"/>
    <w:next w:val="Tabellenraster"/>
    <w:rsid w:val="001C0DE0"/>
    <w:pPr>
      <w:spacing w:line="320" w:lineRule="atLeast"/>
      <w:ind w:left="57" w:right="57"/>
    </w:pPr>
    <w:rPr>
      <w:rFonts w:ascii="Arial" w:eastAsia="Times New Roman" w:hAnsi="Arial"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table" w:customStyle="1" w:styleId="Tabellenraster5">
    <w:name w:val="Tabellenraster5"/>
    <w:basedOn w:val="NormaleTabelle"/>
    <w:next w:val="Tabellenraster"/>
    <w:rsid w:val="001C0DE0"/>
    <w:pPr>
      <w:spacing w:line="320" w:lineRule="atLeast"/>
      <w:ind w:left="57" w:right="57"/>
    </w:pPr>
    <w:rPr>
      <w:rFonts w:ascii="Arial" w:eastAsia="Times New Roman" w:hAnsi="Arial"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paragraph" w:styleId="Listenabsatz">
    <w:name w:val="List Paragraph"/>
    <w:basedOn w:val="Standard"/>
    <w:uiPriority w:val="34"/>
    <w:qFormat/>
    <w:rsid w:val="001E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0274">
      <w:bodyDiv w:val="1"/>
      <w:marLeft w:val="0"/>
      <w:marRight w:val="0"/>
      <w:marTop w:val="0"/>
      <w:marBottom w:val="0"/>
      <w:divBdr>
        <w:top w:val="none" w:sz="0" w:space="0" w:color="auto"/>
        <w:left w:val="none" w:sz="0" w:space="0" w:color="auto"/>
        <w:bottom w:val="none" w:sz="0" w:space="0" w:color="auto"/>
        <w:right w:val="none" w:sz="0" w:space="0" w:color="auto"/>
      </w:divBdr>
    </w:div>
    <w:div w:id="382487922">
      <w:bodyDiv w:val="1"/>
      <w:marLeft w:val="0"/>
      <w:marRight w:val="0"/>
      <w:marTop w:val="0"/>
      <w:marBottom w:val="0"/>
      <w:divBdr>
        <w:top w:val="none" w:sz="0" w:space="0" w:color="auto"/>
        <w:left w:val="none" w:sz="0" w:space="0" w:color="auto"/>
        <w:bottom w:val="none" w:sz="0" w:space="0" w:color="auto"/>
        <w:right w:val="none" w:sz="0" w:space="0" w:color="auto"/>
      </w:divBdr>
    </w:div>
    <w:div w:id="595947259">
      <w:bodyDiv w:val="1"/>
      <w:marLeft w:val="0"/>
      <w:marRight w:val="0"/>
      <w:marTop w:val="0"/>
      <w:marBottom w:val="0"/>
      <w:divBdr>
        <w:top w:val="none" w:sz="0" w:space="0" w:color="auto"/>
        <w:left w:val="none" w:sz="0" w:space="0" w:color="auto"/>
        <w:bottom w:val="none" w:sz="0" w:space="0" w:color="auto"/>
        <w:right w:val="none" w:sz="0" w:space="0" w:color="auto"/>
      </w:divBdr>
    </w:div>
    <w:div w:id="937639610">
      <w:bodyDiv w:val="1"/>
      <w:marLeft w:val="0"/>
      <w:marRight w:val="0"/>
      <w:marTop w:val="0"/>
      <w:marBottom w:val="0"/>
      <w:divBdr>
        <w:top w:val="none" w:sz="0" w:space="0" w:color="auto"/>
        <w:left w:val="none" w:sz="0" w:space="0" w:color="auto"/>
        <w:bottom w:val="none" w:sz="0" w:space="0" w:color="auto"/>
        <w:right w:val="none" w:sz="0" w:space="0" w:color="auto"/>
      </w:divBdr>
      <w:divsChild>
        <w:div w:id="2127458283">
          <w:marLeft w:val="0"/>
          <w:marRight w:val="0"/>
          <w:marTop w:val="0"/>
          <w:marBottom w:val="0"/>
          <w:divBdr>
            <w:top w:val="none" w:sz="0" w:space="0" w:color="auto"/>
            <w:left w:val="none" w:sz="0" w:space="0" w:color="auto"/>
            <w:bottom w:val="none" w:sz="0" w:space="0" w:color="auto"/>
            <w:right w:val="none" w:sz="0" w:space="0" w:color="auto"/>
          </w:divBdr>
        </w:div>
      </w:divsChild>
    </w:div>
    <w:div w:id="1038703126">
      <w:bodyDiv w:val="1"/>
      <w:marLeft w:val="0"/>
      <w:marRight w:val="0"/>
      <w:marTop w:val="0"/>
      <w:marBottom w:val="0"/>
      <w:divBdr>
        <w:top w:val="none" w:sz="0" w:space="0" w:color="auto"/>
        <w:left w:val="none" w:sz="0" w:space="0" w:color="auto"/>
        <w:bottom w:val="none" w:sz="0" w:space="0" w:color="auto"/>
        <w:right w:val="none" w:sz="0" w:space="0" w:color="auto"/>
      </w:divBdr>
      <w:divsChild>
        <w:div w:id="1895922438">
          <w:marLeft w:val="0"/>
          <w:marRight w:val="0"/>
          <w:marTop w:val="0"/>
          <w:marBottom w:val="0"/>
          <w:divBdr>
            <w:top w:val="none" w:sz="0" w:space="0" w:color="auto"/>
            <w:left w:val="none" w:sz="0" w:space="0" w:color="auto"/>
            <w:bottom w:val="none" w:sz="0" w:space="0" w:color="auto"/>
            <w:right w:val="none" w:sz="0" w:space="0" w:color="auto"/>
          </w:divBdr>
        </w:div>
      </w:divsChild>
    </w:div>
    <w:div w:id="1617711529">
      <w:bodyDiv w:val="1"/>
      <w:marLeft w:val="0"/>
      <w:marRight w:val="0"/>
      <w:marTop w:val="0"/>
      <w:marBottom w:val="0"/>
      <w:divBdr>
        <w:top w:val="none" w:sz="0" w:space="0" w:color="auto"/>
        <w:left w:val="none" w:sz="0" w:space="0" w:color="auto"/>
        <w:bottom w:val="none" w:sz="0" w:space="0" w:color="auto"/>
        <w:right w:val="none" w:sz="0" w:space="0" w:color="auto"/>
      </w:divBdr>
    </w:div>
    <w:div w:id="20748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lkswagen-newsroom.com"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VWGroup" TargetMode="External"/><Relationship Id="rId7" Type="http://schemas.openxmlformats.org/officeDocument/2006/relationships/webSettings" Target="webSettings.xml"/><Relationship Id="rId12" Type="http://schemas.openxmlformats.org/officeDocument/2006/relationships/hyperlink" Target="mailto:christopher.hauss@volkswagen.de" TargetMode="External"/><Relationship Id="rId17" Type="http://schemas.openxmlformats.org/officeDocument/2006/relationships/hyperlink" Target="https://www.youtube.com/@volkswagena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olkswagen-newsroom.com"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mailto:christoph.oemisch@volkswagen.de" TargetMode="External"/><Relationship Id="rId23" Type="http://schemas.openxmlformats.org/officeDocument/2006/relationships/hyperlink" Target="https://www.tiktok.com/@newauto" TargetMode="External"/><Relationship Id="rId28" Type="http://schemas.openxmlformats.org/officeDocument/2006/relationships/footer" Target="footer2.xml"/><Relationship Id="rId10" Type="http://schemas.openxmlformats.org/officeDocument/2006/relationships/hyperlink" Target="https://amc.volkswagen-group.com/en" TargetMode="External"/><Relationship Id="rId19" Type="http://schemas.openxmlformats.org/officeDocument/2006/relationships/hyperlink" Target="https://de.linkedin.com/company/volkswagen-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CF91A-3713-4D18-B471-765D3075D0E2}">
  <ds:schemaRefs>
    <ds:schemaRef ds:uri="http://schemas.openxmlformats.org/officeDocument/2006/bibliography"/>
  </ds:schemaRefs>
</ds:datastoreItem>
</file>

<file path=customXml/itemProps2.xml><?xml version="1.0" encoding="utf-8"?>
<ds:datastoreItem xmlns:ds="http://schemas.openxmlformats.org/officeDocument/2006/customXml" ds:itemID="{51664B14-7B0B-432D-B53B-C034528ABFA2}">
  <ds:schemaRefs>
    <ds:schemaRef ds:uri="http://schemas.microsoft.com/sharepoint/v3/contenttype/forms"/>
  </ds:schemaRefs>
</ds:datastoreItem>
</file>

<file path=customXml/itemProps3.xml><?xml version="1.0" encoding="utf-8"?>
<ds:datastoreItem xmlns:ds="http://schemas.openxmlformats.org/officeDocument/2006/customXml" ds:itemID="{27159EB5-4076-4D79-A81B-EF079AA8C1B9}"/>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11674</Characters>
  <Application>Microsoft Office Word</Application>
  <DocSecurity>0</DocSecurity>
  <Lines>97</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Horstmann, Kai (K-GK-UH)</dc:creator>
  <cp:lastModifiedBy>Maximiliane Bučko</cp:lastModifiedBy>
  <cp:revision>6</cp:revision>
  <cp:lastPrinted>2022-12-19T13:39:00Z</cp:lastPrinted>
  <dcterms:created xsi:type="dcterms:W3CDTF">2023-03-13T13:54:00Z</dcterms:created>
  <dcterms:modified xsi:type="dcterms:W3CDTF">2023-03-13T14:23:00Z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2022-09-21T13:48:02Z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11bf9bdc-cc2d-493c-9be8-9524c1b93bff</vt:lpwstr>
  </property>
  <property fmtid="{D5CDD505-2E9C-101B-9397-08002B2CF9AE}" pid="8" name="MSIP_Label_a6b84135-ab90-4b03-a415-784f8f15a7f1_ContentBits">
    <vt:lpwstr>0</vt:lpwstr>
  </property>
  <property fmtid="{D5CDD505-2E9C-101B-9397-08002B2CF9AE}" pid="9" name="ContentTypeId">
    <vt:lpwstr>0x010100904214D2F775DE4FB197708375DA97A6</vt:lpwstr>
  </property>
</Properties>
</file>