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002">
      <w:pPr>
        <w:widowControl w:val="0"/>
        <w:spacing w:line="14.399999999999999"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Pr>
        <w:drawing>
          <wp:inline distB="0" distT="0" distL="0" distR="0">
            <wp:extent cx="1666875" cy="523869"/>
            <wp:effectExtent b="0" l="0" r="0" t="0"/>
            <wp:docPr descr="Logotipo, nombre de la empresa&#10;&#10;El contenido generado por IA puede ser incorrecto." id="1" name="image1.png"/>
            <a:graphic>
              <a:graphicData uri="http://schemas.openxmlformats.org/drawingml/2006/picture">
                <pic:pic>
                  <pic:nvPicPr>
                    <pic:cNvPr descr="Logotipo, nombre de la empresa&#10;&#10;El contenido generado por IA puede ser incorrecto." id="0" name="image1.png"/>
                    <pic:cNvPicPr preferRelativeResize="0"/>
                  </pic:nvPicPr>
                  <pic:blipFill>
                    <a:blip r:embed="rId6"/>
                    <a:srcRect b="24799" l="0" r="0" t="20054"/>
                    <a:stretch>
                      <a:fillRect/>
                    </a:stretch>
                  </pic:blipFill>
                  <pic:spPr>
                    <a:xfrm>
                      <a:off x="0" y="0"/>
                      <a:ext cx="1666875" cy="523869"/>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14.399999999999999"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4">
      <w:pPr>
        <w:spacing w:line="240" w:lineRule="auto"/>
        <w:ind w:left="720" w:firstLine="0"/>
        <w:jc w:val="center"/>
        <w:rPr>
          <w:b w:val="1"/>
          <w:bCs w:val="1"/>
          <w:sz w:val="28"/>
          <w:szCs w:val="28"/>
        </w:rPr>
      </w:pPr>
      <w:r w:rsidDel="00000000" w:rsidR="00000000" w:rsidRPr="00000000">
        <w:rPr>
          <w:rtl w:val="0"/>
        </w:rPr>
      </w:r>
    </w:p>
    <w:p w:rsidR="00000000" w:rsidDel="00000000" w:rsidP="00000000" w:rsidRDefault="00000000" w:rsidRPr="00000000" w14:paraId="00000005">
      <w:pPr>
        <w:spacing w:line="240" w:lineRule="auto"/>
        <w:ind w:left="720" w:firstLine="0"/>
        <w:jc w:val="center"/>
        <w:rPr>
          <w:b w:val="1"/>
          <w:bCs w:val="1"/>
          <w:sz w:val="28"/>
          <w:szCs w:val="28"/>
        </w:rPr>
      </w:pPr>
      <w:r w:rsidDel="00000000" w:rsidR="00000000" w:rsidRPr="00000000">
        <w:rPr>
          <w:b w:val="1"/>
          <w:bCs w:val="1"/>
          <w:sz w:val="28"/>
          <w:szCs w:val="28"/>
          <w:rtl w:val="0"/>
        </w:rPr>
        <w:t xml:space="preserve">Las empresas están midiendo la productividad de la IA, pero no el desgaste cognitivo que genera</w:t>
      </w:r>
    </w:p>
    <w:p w:rsidR="00000000" w:rsidDel="00000000" w:rsidP="00000000" w:rsidRDefault="00000000" w:rsidRPr="00000000" w14:paraId="00000006">
      <w:pPr>
        <w:spacing w:line="240" w:lineRule="auto"/>
        <w:ind w:left="720" w:firstLine="0"/>
        <w:jc w:val="center"/>
        <w:rPr>
          <w:sz w:val="20"/>
          <w:szCs w:val="20"/>
        </w:rPr>
      </w:pPr>
      <w:r w:rsidDel="00000000" w:rsidR="00000000" w:rsidRPr="00000000">
        <w:rPr>
          <w:rtl w:val="0"/>
        </w:rPr>
      </w:r>
    </w:p>
    <w:p w:rsidR="00000000" w:rsidDel="00000000" w:rsidP="00000000" w:rsidRDefault="00000000" w:rsidRPr="00000000" w14:paraId="00000007">
      <w:pPr>
        <w:spacing w:line="240" w:lineRule="auto"/>
        <w:ind w:left="720" w:firstLine="0"/>
        <w:jc w:val="center"/>
        <w:rPr>
          <w:sz w:val="20"/>
          <w:szCs w:val="20"/>
        </w:rPr>
      </w:pPr>
      <w:r w:rsidDel="00000000" w:rsidR="00000000" w:rsidRPr="00000000">
        <w:rPr>
          <w:sz w:val="20"/>
          <w:szCs w:val="20"/>
          <w:rtl w:val="0"/>
        </w:rPr>
        <w:t xml:space="preserve">Te damos cinco medidas para prevenir el AI Brain Fry y evitar que la adopción acelerada de inteligencia artificial afecte la capacidad de análisis, criterio y toma de decisiones de los equipos.</w:t>
      </w:r>
    </w:p>
    <w:p w:rsidR="00000000" w:rsidDel="00000000" w:rsidP="00000000" w:rsidRDefault="00000000" w:rsidRPr="00000000" w14:paraId="00000008">
      <w:pPr>
        <w:spacing w:line="240" w:lineRule="auto"/>
        <w:ind w:left="720" w:firstLine="0"/>
        <w:jc w:val="center"/>
        <w:rPr>
          <w:b w:val="1"/>
          <w:bCs w:val="1"/>
          <w:sz w:val="28"/>
          <w:szCs w:val="28"/>
        </w:rPr>
      </w:pPr>
      <w:r w:rsidDel="00000000" w:rsidR="00000000" w:rsidRPr="00000000">
        <w:rPr>
          <w:rtl w:val="0"/>
        </w:rPr>
      </w:r>
    </w:p>
    <w:p w:rsidR="00000000" w:rsidDel="00000000" w:rsidP="00000000" w:rsidRDefault="00000000" w:rsidRPr="00000000" w14:paraId="00000009">
      <w:pPr>
        <w:spacing w:line="240" w:lineRule="auto"/>
        <w:rPr>
          <w:b w:val="1"/>
          <w:bCs w:val="1"/>
        </w:rPr>
      </w:pPr>
      <w:r w:rsidDel="00000000" w:rsidR="00000000" w:rsidRPr="00000000">
        <w:rPr>
          <w:rtl w:val="0"/>
        </w:rPr>
      </w:r>
    </w:p>
    <w:p w:rsidR="00000000" w:rsidDel="00000000" w:rsidP="00000000" w:rsidRDefault="00000000" w:rsidRPr="00000000" w14:paraId="0000000A">
      <w:pPr>
        <w:spacing w:line="240" w:lineRule="auto"/>
        <w:jc w:val="both"/>
        <w:rPr/>
      </w:pPr>
      <w:r w:rsidDel="00000000" w:rsidR="00000000" w:rsidRPr="00000000">
        <w:rPr>
          <w:b w:val="1"/>
          <w:bCs w:val="1"/>
          <w:rtl w:val="0"/>
        </w:rPr>
        <w:t xml:space="preserve">Ciudad de México, junio de 2026 .–</w:t>
      </w:r>
      <w:r w:rsidDel="00000000" w:rsidR="00000000" w:rsidRPr="00000000">
        <w:rPr>
          <w:rtl w:val="0"/>
        </w:rPr>
        <w:t xml:space="preserve"> Mientras las empresas aceleran la adopción de inteligencia artificial, un nuevo fenómeno comienza a ganar relevancia dentro de las organizaciones. Se trata del AI Brain Fry, un término que describe el desgaste cognitivo asociado a la supervisión constante de sistemas de IA y que podría convertirse en uno de los desafíos emergentes de la transformación digital si las organizaciones continúan enfocándose únicamente en productividad y eficiencia.</w:t>
      </w:r>
    </w:p>
    <w:p w:rsidR="00000000" w:rsidDel="00000000" w:rsidP="00000000" w:rsidRDefault="00000000" w:rsidRPr="00000000" w14:paraId="0000000B">
      <w:pPr>
        <w:spacing w:line="240" w:lineRule="auto"/>
        <w:jc w:val="both"/>
        <w:rPr/>
      </w:pPr>
      <w:r w:rsidDel="00000000" w:rsidR="00000000" w:rsidRPr="00000000">
        <w:rPr>
          <w:rtl w:val="0"/>
        </w:rPr>
      </w:r>
    </w:p>
    <w:p w:rsidR="00000000" w:rsidDel="00000000" w:rsidP="00000000" w:rsidRDefault="00000000" w:rsidRPr="00000000" w14:paraId="0000000C">
      <w:pPr>
        <w:spacing w:line="240" w:lineRule="auto"/>
        <w:jc w:val="both"/>
        <w:rPr/>
      </w:pPr>
      <w:r w:rsidDel="00000000" w:rsidR="00000000" w:rsidRPr="00000000">
        <w:rPr>
          <w:rtl w:val="0"/>
        </w:rPr>
        <w:t xml:space="preserve">Después de años acompañando procesos de transformación cultural y adopción tecnológica en organizaciones globales, Celeste Torresi, Chief Culture Officer de Santex, observa una tendencia que comienza a hacerse evidente en distintos entornos laborales. Conforme la inteligencia artificial participa cada vez más en tareas críticas del negocio, aumenta también la demanda de atención, criterio y capacidad de análisis de quienes deben supervisar sus resultados.</w:t>
      </w:r>
    </w:p>
    <w:p w:rsidR="00000000" w:rsidDel="00000000" w:rsidP="00000000" w:rsidRDefault="00000000" w:rsidRPr="00000000" w14:paraId="0000000D">
      <w:pPr>
        <w:spacing w:line="240" w:lineRule="auto"/>
        <w:jc w:val="both"/>
        <w:rPr/>
      </w:pPr>
      <w:r w:rsidDel="00000000" w:rsidR="00000000" w:rsidRPr="00000000">
        <w:rPr>
          <w:rtl w:val="0"/>
        </w:rPr>
      </w:r>
    </w:p>
    <w:p w:rsidR="00000000" w:rsidDel="00000000" w:rsidP="00000000" w:rsidRDefault="00000000" w:rsidRPr="00000000" w14:paraId="0000000E">
      <w:pPr>
        <w:spacing w:line="240" w:lineRule="auto"/>
        <w:jc w:val="both"/>
        <w:rPr/>
      </w:pPr>
      <w:r w:rsidDel="00000000" w:rsidR="00000000" w:rsidRPr="00000000">
        <w:rPr>
          <w:i w:val="1"/>
          <w:iCs w:val="1"/>
          <w:rtl w:val="0"/>
        </w:rPr>
        <w:t xml:space="preserve">“Las organizaciones están adoptando herramientas de IA cada vez más rápido, mientras sus equipos todavía intentan comprender cómo funcionan realmente. Cada vez más personas revisan, corrigen o validan contenidos, análisis y recomendaciones generadas por inteligencia artificial sin entender del todo cómo se produjeron. Y los sistemas donde nadie cuestiona los resultados son los que suelen generar los errores más costosos”, </w:t>
      </w:r>
      <w:r w:rsidDel="00000000" w:rsidR="00000000" w:rsidRPr="00000000">
        <w:rPr>
          <w:rtl w:val="0"/>
        </w:rPr>
        <w:t xml:space="preserve">explica Torresi.</w:t>
      </w:r>
    </w:p>
    <w:p w:rsidR="00000000" w:rsidDel="00000000" w:rsidP="00000000" w:rsidRDefault="00000000" w:rsidRPr="00000000" w14:paraId="0000000F">
      <w:pPr>
        <w:spacing w:line="240" w:lineRule="auto"/>
        <w:jc w:val="both"/>
        <w:rPr/>
      </w:pPr>
      <w:r w:rsidDel="00000000" w:rsidR="00000000" w:rsidRPr="00000000">
        <w:rPr>
          <w:rtl w:val="0"/>
        </w:rPr>
      </w:r>
    </w:p>
    <w:p w:rsidR="00000000" w:rsidDel="00000000" w:rsidP="00000000" w:rsidRDefault="00000000" w:rsidRPr="00000000" w14:paraId="00000010">
      <w:pPr>
        <w:spacing w:line="240" w:lineRule="auto"/>
        <w:jc w:val="both"/>
        <w:rPr/>
      </w:pPr>
      <w:r w:rsidDel="00000000" w:rsidR="00000000" w:rsidRPr="00000000">
        <w:rPr>
          <w:rtl w:val="0"/>
        </w:rPr>
        <w:t xml:space="preserve">De acuerdo con la especialista, el riesgo no está en utilizar inteligencia artificial, sino en hacerlo sin desarrollar al mismo tiempo las capacidades necesarias para cuestionar, interpretar y validar sus resultados. Cuando esa supervisión se vuelve permanente, puede generar una carga mental sostenida que afecta la concentración, el análisis y la toma de decisiones.</w:t>
      </w:r>
    </w:p>
    <w:p w:rsidR="00000000" w:rsidDel="00000000" w:rsidP="00000000" w:rsidRDefault="00000000" w:rsidRPr="00000000" w14:paraId="00000011">
      <w:pPr>
        <w:spacing w:line="240" w:lineRule="auto"/>
        <w:jc w:val="both"/>
        <w:rPr/>
      </w:pPr>
      <w:r w:rsidDel="00000000" w:rsidR="00000000" w:rsidRPr="00000000">
        <w:rPr>
          <w:rtl w:val="0"/>
        </w:rPr>
      </w:r>
    </w:p>
    <w:p w:rsidR="00000000" w:rsidDel="00000000" w:rsidP="00000000" w:rsidRDefault="00000000" w:rsidRPr="00000000" w14:paraId="00000012">
      <w:pPr>
        <w:spacing w:line="240" w:lineRule="auto"/>
        <w:jc w:val="both"/>
        <w:rPr/>
      </w:pPr>
      <w:r w:rsidDel="00000000" w:rsidR="00000000" w:rsidRPr="00000000">
        <w:rPr>
          <w:rtl w:val="0"/>
        </w:rPr>
        <w:t xml:space="preserve">Aunque estas herramientas permiten reducir el tiempo destinado a tareas repetitivas, también exigen mayores niveles de atención y pensamiento crítico para garantizar que la información generada sea precisa, confiable y útil para el negocio.</w:t>
      </w:r>
    </w:p>
    <w:p w:rsidR="00000000" w:rsidDel="00000000" w:rsidP="00000000" w:rsidRDefault="00000000" w:rsidRPr="00000000" w14:paraId="00000013">
      <w:pPr>
        <w:spacing w:line="240" w:lineRule="auto"/>
        <w:jc w:val="both"/>
        <w:rPr/>
      </w:pPr>
      <w:r w:rsidDel="00000000" w:rsidR="00000000" w:rsidRPr="00000000">
        <w:rPr>
          <w:rtl w:val="0"/>
        </w:rPr>
      </w:r>
    </w:p>
    <w:p w:rsidR="00000000" w:rsidDel="00000000" w:rsidP="00000000" w:rsidRDefault="00000000" w:rsidRPr="00000000" w14:paraId="00000014">
      <w:pPr>
        <w:spacing w:line="240" w:lineRule="auto"/>
        <w:jc w:val="both"/>
        <w:rPr/>
      </w:pPr>
      <w:r w:rsidDel="00000000" w:rsidR="00000000" w:rsidRPr="00000000">
        <w:rPr>
          <w:i w:val="1"/>
          <w:iCs w:val="1"/>
          <w:rtl w:val="0"/>
        </w:rPr>
        <w:t xml:space="preserve">“La IA reduce el agotamiento asociado a tareas repetitivas, pero también puede incrementar la fatiga mental de quienes deben actuar como supervisores permanentes de estos sistemas. Es un fenómeno que las organizaciones deberán comenzar a entender y medir”, </w:t>
      </w:r>
      <w:r w:rsidDel="00000000" w:rsidR="00000000" w:rsidRPr="00000000">
        <w:rPr>
          <w:rtl w:val="0"/>
        </w:rPr>
        <w:t xml:space="preserve">señala Torresi.</w:t>
      </w:r>
    </w:p>
    <w:p w:rsidR="00000000" w:rsidDel="00000000" w:rsidP="00000000" w:rsidRDefault="00000000" w:rsidRPr="00000000" w14:paraId="00000015">
      <w:pPr>
        <w:spacing w:line="240" w:lineRule="auto"/>
        <w:jc w:val="both"/>
        <w:rPr/>
      </w:pPr>
      <w:r w:rsidDel="00000000" w:rsidR="00000000" w:rsidRPr="00000000">
        <w:rPr>
          <w:rtl w:val="0"/>
        </w:rPr>
      </w:r>
    </w:p>
    <w:p w:rsidR="00000000" w:rsidDel="00000000" w:rsidP="00000000" w:rsidRDefault="00000000" w:rsidRPr="00000000" w14:paraId="00000016">
      <w:pPr>
        <w:spacing w:line="240" w:lineRule="auto"/>
        <w:jc w:val="both"/>
        <w:rPr/>
      </w:pPr>
      <w:r w:rsidDel="00000000" w:rsidR="00000000" w:rsidRPr="00000000">
        <w:rPr>
          <w:rtl w:val="0"/>
        </w:rPr>
        <w:t xml:space="preserve">Más allá del bienestar de los colaboradores, el impacto puede reflejarse en la calidad de las decisiones, la capacidad de innovación y la ejecución de proyectos estratégicos. Diversos estudios internacionales han identificado que una gran parte de los proyectos de inteligencia artificial no fracasa por problemas tecnológicos, sino por factores relacionados con la adopción organizacional, la cultura empresarial y la preparación de los equipos para trabajar junto a estas herramientas.</w:t>
      </w:r>
    </w:p>
    <w:p w:rsidR="00000000" w:rsidDel="00000000" w:rsidP="00000000" w:rsidRDefault="00000000" w:rsidRPr="00000000" w14:paraId="00000017">
      <w:pPr>
        <w:spacing w:line="240" w:lineRule="auto"/>
        <w:jc w:val="both"/>
        <w:rPr/>
      </w:pPr>
      <w:r w:rsidDel="00000000" w:rsidR="00000000" w:rsidRPr="00000000">
        <w:rPr>
          <w:rtl w:val="0"/>
        </w:rPr>
      </w:r>
    </w:p>
    <w:p w:rsidR="00000000" w:rsidDel="00000000" w:rsidP="00000000" w:rsidRDefault="00000000" w:rsidRPr="00000000" w14:paraId="00000018">
      <w:pPr>
        <w:spacing w:line="240" w:lineRule="auto"/>
        <w:jc w:val="both"/>
        <w:rPr/>
      </w:pPr>
      <w:r w:rsidDel="00000000" w:rsidR="00000000" w:rsidRPr="00000000">
        <w:rPr>
          <w:rtl w:val="0"/>
        </w:rPr>
        <w:t xml:space="preserve">Para reducir el riesgo de AI Brain Fry dentro de las organizaciones, Torresi recomienda actuar en cinco frentes clave:</w:t>
      </w:r>
    </w:p>
    <w:p w:rsidR="00000000" w:rsidDel="00000000" w:rsidP="00000000" w:rsidRDefault="00000000" w:rsidRPr="00000000" w14:paraId="00000019">
      <w:pPr>
        <w:spacing w:line="240" w:lineRule="auto"/>
        <w:jc w:val="both"/>
        <w:rPr/>
      </w:pPr>
      <w:r w:rsidDel="00000000" w:rsidR="00000000" w:rsidRPr="00000000">
        <w:rPr>
          <w:rtl w:val="0"/>
        </w:rPr>
      </w:r>
    </w:p>
    <w:p w:rsidR="00000000" w:rsidDel="00000000" w:rsidP="00000000" w:rsidRDefault="00000000" w:rsidRPr="00000000" w14:paraId="0000001A">
      <w:pPr>
        <w:numPr>
          <w:ilvl w:val="0"/>
          <w:numId w:val="1"/>
        </w:numPr>
        <w:spacing w:after="240" w:before="240" w:line="240" w:lineRule="auto"/>
        <w:ind w:left="283.46456692913375" w:hanging="360"/>
        <w:rPr>
          <w:b w:val="1"/>
          <w:bCs w:val="1"/>
          <w:u w:val="none"/>
        </w:rPr>
      </w:pPr>
      <w:r w:rsidDel="00000000" w:rsidR="00000000" w:rsidRPr="00000000">
        <w:rPr>
          <w:b w:val="1"/>
          <w:bCs w:val="1"/>
          <w:rtl w:val="0"/>
        </w:rPr>
        <w:t xml:space="preserve">Detectar señales tempranas de desgaste cognitivo.</w:t>
      </w:r>
    </w:p>
    <w:p w:rsidR="00000000" w:rsidDel="00000000" w:rsidP="00000000" w:rsidRDefault="00000000" w:rsidRPr="00000000" w14:paraId="0000001B">
      <w:pPr>
        <w:spacing w:after="240" w:before="240" w:line="240" w:lineRule="auto"/>
        <w:jc w:val="both"/>
        <w:rPr/>
      </w:pPr>
      <w:r w:rsidDel="00000000" w:rsidR="00000000" w:rsidRPr="00000000">
        <w:rPr>
          <w:rtl w:val="0"/>
        </w:rPr>
        <w:t xml:space="preserve">Las organizaciones pueden comenzar a identificar indicios de fatiga mental a través de encuestas de bienestar, evaluaciones periódicas o conversaciones con líderes de equipo. Dificultades para concentrarse, dependencia excesiva de herramientas de IA o una menor capacidad para cuestionar resultados pueden ser algunas de las primeras señales de alerta.</w:t>
      </w:r>
    </w:p>
    <w:p w:rsidR="00000000" w:rsidDel="00000000" w:rsidP="00000000" w:rsidRDefault="00000000" w:rsidRPr="00000000" w14:paraId="0000001C">
      <w:pPr>
        <w:spacing w:after="240" w:before="240" w:line="240" w:lineRule="auto"/>
        <w:jc w:val="both"/>
        <w:rPr>
          <w:b w:val="1"/>
          <w:bCs w:val="1"/>
        </w:rPr>
      </w:pPr>
      <w:r w:rsidDel="00000000" w:rsidR="00000000" w:rsidRPr="00000000">
        <w:rPr>
          <w:b w:val="1"/>
          <w:bCs w:val="1"/>
          <w:rtl w:val="0"/>
        </w:rPr>
        <w:t xml:space="preserve">2. Medir el esfuerzo real que implica supervisar la IA.</w:t>
      </w:r>
    </w:p>
    <w:p w:rsidR="00000000" w:rsidDel="00000000" w:rsidP="00000000" w:rsidRDefault="00000000" w:rsidRPr="00000000" w14:paraId="0000001D">
      <w:pPr>
        <w:spacing w:after="240" w:before="240" w:line="240" w:lineRule="auto"/>
        <w:jc w:val="both"/>
        <w:rPr/>
      </w:pPr>
      <w:r w:rsidDel="00000000" w:rsidR="00000000" w:rsidRPr="00000000">
        <w:rPr>
          <w:rtl w:val="0"/>
        </w:rPr>
        <w:t xml:space="preserve">Aunque estas herramientas ahorran tiempo en tareas operativas, también demandan atención para revisar, validar y corregir la información que generan. Incorporar esta carga de trabajo en las métricas de desempeño permitiría comprender mejor el impacto real de la inteligencia artificial en la dinámica diaria de los equipos.</w:t>
      </w:r>
    </w:p>
    <w:p w:rsidR="00000000" w:rsidDel="00000000" w:rsidP="00000000" w:rsidRDefault="00000000" w:rsidRPr="00000000" w14:paraId="0000001E">
      <w:pPr>
        <w:spacing w:after="240" w:before="240" w:line="240" w:lineRule="auto"/>
        <w:jc w:val="both"/>
        <w:rPr>
          <w:b w:val="1"/>
          <w:bCs w:val="1"/>
        </w:rPr>
      </w:pPr>
      <w:r w:rsidDel="00000000" w:rsidR="00000000" w:rsidRPr="00000000">
        <w:rPr>
          <w:b w:val="1"/>
          <w:bCs w:val="1"/>
          <w:rtl w:val="0"/>
        </w:rPr>
        <w:t xml:space="preserve">3. Capacitar a los equipos antes de escalar la adopción.</w:t>
      </w:r>
    </w:p>
    <w:p w:rsidR="00000000" w:rsidDel="00000000" w:rsidP="00000000" w:rsidRDefault="00000000" w:rsidRPr="00000000" w14:paraId="0000001F">
      <w:pPr>
        <w:spacing w:after="240" w:before="240" w:line="240" w:lineRule="auto"/>
        <w:jc w:val="both"/>
        <w:rPr/>
      </w:pPr>
      <w:r w:rsidDel="00000000" w:rsidR="00000000" w:rsidRPr="00000000">
        <w:rPr>
          <w:rtl w:val="0"/>
        </w:rPr>
        <w:t xml:space="preserve">No todas las personas utilizan la inteligencia artificial con el mismo nivel de conocimiento o confianza. Antes de ampliar su uso dentro de la organización, resulta fundamental ofrecer capacitación que ayude a comprender cómo funcionan estas herramientas, cuáles son sus limitaciones y cómo aprovecharlas de manera crítica y responsable.</w:t>
      </w:r>
    </w:p>
    <w:p w:rsidR="00000000" w:rsidDel="00000000" w:rsidP="00000000" w:rsidRDefault="00000000" w:rsidRPr="00000000" w14:paraId="00000020">
      <w:pPr>
        <w:spacing w:after="240" w:before="240" w:line="240" w:lineRule="auto"/>
        <w:jc w:val="both"/>
        <w:rPr>
          <w:b w:val="1"/>
          <w:bCs w:val="1"/>
        </w:rPr>
      </w:pPr>
      <w:r w:rsidDel="00000000" w:rsidR="00000000" w:rsidRPr="00000000">
        <w:rPr>
          <w:b w:val="1"/>
          <w:bCs w:val="1"/>
          <w:rtl w:val="0"/>
        </w:rPr>
        <w:t xml:space="preserve">4. Fortalecer el pensamiento crítico y la capacidad de cuestionar resultados.</w:t>
      </w:r>
    </w:p>
    <w:p w:rsidR="00000000" w:rsidDel="00000000" w:rsidP="00000000" w:rsidRDefault="00000000" w:rsidRPr="00000000" w14:paraId="00000021">
      <w:pPr>
        <w:spacing w:after="240" w:before="240" w:line="240" w:lineRule="auto"/>
        <w:jc w:val="both"/>
        <w:rPr/>
      </w:pPr>
      <w:r w:rsidDel="00000000" w:rsidR="00000000" w:rsidRPr="00000000">
        <w:rPr>
          <w:rtl w:val="0"/>
        </w:rPr>
        <w:t xml:space="preserve">La supervisión humana seguirá siendo indispensable. Desarrollar habilidades para analizar información, contrastar fuentes y detectar posibles errores permitirá que las personas utilicen la IA como apoyo para la toma de decisiones, en lugar de asumir sus respuestas como verdades absolutas.</w:t>
      </w:r>
    </w:p>
    <w:p w:rsidR="00000000" w:rsidDel="00000000" w:rsidP="00000000" w:rsidRDefault="00000000" w:rsidRPr="00000000" w14:paraId="00000022">
      <w:pPr>
        <w:spacing w:after="240" w:before="240" w:line="240" w:lineRule="auto"/>
        <w:jc w:val="both"/>
        <w:rPr>
          <w:b w:val="1"/>
          <w:bCs w:val="1"/>
        </w:rPr>
      </w:pPr>
      <w:r w:rsidDel="00000000" w:rsidR="00000000" w:rsidRPr="00000000">
        <w:rPr>
          <w:b w:val="1"/>
          <w:bCs w:val="1"/>
          <w:rtl w:val="0"/>
        </w:rPr>
        <w:t xml:space="preserve">5. Rediseñar procesos antes de automatizarlos.</w:t>
      </w:r>
    </w:p>
    <w:p w:rsidR="00000000" w:rsidDel="00000000" w:rsidP="00000000" w:rsidRDefault="00000000" w:rsidRPr="00000000" w14:paraId="00000023">
      <w:pPr>
        <w:spacing w:after="240" w:before="240" w:line="240" w:lineRule="auto"/>
        <w:jc w:val="both"/>
        <w:rPr/>
      </w:pPr>
      <w:r w:rsidDel="00000000" w:rsidR="00000000" w:rsidRPr="00000000">
        <w:rPr>
          <w:rtl w:val="0"/>
        </w:rPr>
        <w:t xml:space="preserve">La incorporación de inteligencia artificial no siempre implica simplemente reemplazar tareas existentes. Revisar procesos, redefinir responsabilidades y distribuir adecuadamente las actividades de supervisión puede ayudar a evitar que la automatización termine trasladando nuevas cargas invisibles a los colaboradores.</w:t>
      </w:r>
    </w:p>
    <w:p w:rsidR="00000000" w:rsidDel="00000000" w:rsidP="00000000" w:rsidRDefault="00000000" w:rsidRPr="00000000" w14:paraId="00000024">
      <w:pPr>
        <w:spacing w:line="240" w:lineRule="auto"/>
        <w:jc w:val="both"/>
        <w:rPr/>
      </w:pPr>
      <w:r w:rsidDel="00000000" w:rsidR="00000000" w:rsidRPr="00000000">
        <w:rPr>
          <w:i w:val="1"/>
          <w:iCs w:val="1"/>
          <w:rtl w:val="0"/>
        </w:rPr>
        <w:t xml:space="preserve">“La ventaja competitiva del futuro no estará en quién tenga más herramientas de IA, sino en quién tenga mejores personas para cuestionarlas, interpretarlas y utilizarlas con criterio</w:t>
      </w:r>
      <w:r w:rsidDel="00000000" w:rsidR="00000000" w:rsidRPr="00000000">
        <w:rPr>
          <w:rtl w:val="0"/>
        </w:rPr>
        <w:t xml:space="preserve">”, afirma Torresi.</w:t>
      </w:r>
    </w:p>
    <w:p w:rsidR="00000000" w:rsidDel="00000000" w:rsidP="00000000" w:rsidRDefault="00000000" w:rsidRPr="00000000" w14:paraId="00000025">
      <w:pPr>
        <w:spacing w:line="240" w:lineRule="auto"/>
        <w:jc w:val="both"/>
        <w:rPr/>
      </w:pPr>
      <w:r w:rsidDel="00000000" w:rsidR="00000000" w:rsidRPr="00000000">
        <w:rPr>
          <w:rtl w:val="0"/>
        </w:rPr>
      </w:r>
    </w:p>
    <w:p w:rsidR="00000000" w:rsidDel="00000000" w:rsidP="00000000" w:rsidRDefault="00000000" w:rsidRPr="00000000" w14:paraId="00000026">
      <w:pPr>
        <w:spacing w:line="240" w:lineRule="auto"/>
        <w:jc w:val="both"/>
        <w:rPr/>
      </w:pPr>
      <w:r w:rsidDel="00000000" w:rsidR="00000000" w:rsidRPr="00000000">
        <w:rPr>
          <w:rtl w:val="0"/>
        </w:rPr>
        <w:t xml:space="preserve">La discusión sobre inteligencia artificial ha estado dominada por métricas de eficiencia y productividad. Sin embargo, el surgimiento del AI Brain Fry abre una conversación que muchas organizaciones todavía no están teniendo. Entender cómo estas herramientas influyen en la atención, el análisis y la toma de decisiones será tan importante como medir los beneficios que aportan al negocio.</w:t>
      </w:r>
      <w:r w:rsidDel="00000000" w:rsidR="00000000" w:rsidRPr="00000000">
        <w:rPr>
          <w:rtl w:val="0"/>
        </w:rPr>
      </w:r>
    </w:p>
    <w:p w:rsidR="00000000" w:rsidDel="00000000" w:rsidP="00000000" w:rsidRDefault="00000000" w:rsidRPr="00000000" w14:paraId="00000027">
      <w:pPr>
        <w:spacing w:line="240" w:lineRule="auto"/>
        <w:jc w:val="both"/>
        <w:rPr/>
      </w:pPr>
      <w:r w:rsidDel="00000000" w:rsidR="00000000" w:rsidRPr="00000000">
        <w:rPr>
          <w:rtl w:val="0"/>
        </w:rPr>
      </w:r>
    </w:p>
    <w:p w:rsidR="00000000" w:rsidDel="00000000" w:rsidP="00000000" w:rsidRDefault="00000000" w:rsidRPr="00000000" w14:paraId="00000028">
      <w:pPr>
        <w:spacing w:line="240" w:lineRule="auto"/>
        <w:jc w:val="both"/>
        <w:rPr/>
      </w:pPr>
      <w:hyperlink r:id="rId7">
        <w:r w:rsidDel="00000000" w:rsidR="00000000" w:rsidRPr="00000000">
          <w:rPr>
            <w:i w:val="1"/>
            <w:iCs w:val="1"/>
            <w:color w:val="1155cc"/>
            <w:sz w:val="20"/>
            <w:szCs w:val="20"/>
            <w:u w:val="single"/>
            <w:rtl w:val="0"/>
          </w:rPr>
          <w:t xml:space="preserve">santexgroup.com</w:t>
        </w:r>
      </w:hyperlink>
      <w:r w:rsidDel="00000000" w:rsidR="00000000" w:rsidRPr="00000000">
        <w:rPr>
          <w:i w:val="1"/>
          <w:iCs w:val="1"/>
          <w:sz w:val="20"/>
          <w:szCs w:val="20"/>
          <w:rtl w:val="0"/>
        </w:rPr>
        <w:t xml:space="preserve">  II  </w:t>
      </w:r>
      <w:hyperlink r:id="rId8">
        <w:r w:rsidDel="00000000" w:rsidR="00000000" w:rsidRPr="00000000">
          <w:rPr>
            <w:i w:val="1"/>
            <w:iCs w:val="1"/>
            <w:color w:val="1155cc"/>
            <w:sz w:val="20"/>
            <w:szCs w:val="20"/>
            <w:u w:val="single"/>
            <w:rtl w:val="0"/>
          </w:rPr>
          <w:t xml:space="preserve">linkedin.com/company/santexgroup</w:t>
        </w:r>
      </w:hyperlink>
      <w:r w:rsidDel="00000000" w:rsidR="00000000" w:rsidRPr="00000000">
        <w:rPr>
          <w:i w:val="1"/>
          <w:iCs w:val="1"/>
          <w:sz w:val="20"/>
          <w:szCs w:val="20"/>
          <w:rtl w:val="0"/>
        </w:rPr>
        <w:t xml:space="preserve"> II </w:t>
      </w:r>
      <w:hyperlink r:id="rId9">
        <w:r w:rsidDel="00000000" w:rsidR="00000000" w:rsidRPr="00000000">
          <w:rPr>
            <w:i w:val="1"/>
            <w:iCs w:val="1"/>
            <w:color w:val="1155cc"/>
            <w:sz w:val="20"/>
            <w:szCs w:val="20"/>
            <w:u w:val="single"/>
            <w:rtl w:val="0"/>
          </w:rPr>
          <w:t xml:space="preserve">instagram.com/thesantexteam/</w:t>
        </w:r>
      </w:hyperlink>
      <w:r w:rsidDel="00000000" w:rsidR="00000000" w:rsidRPr="00000000">
        <w:rPr>
          <w:i w:val="1"/>
          <w:iCs w:val="1"/>
          <w:sz w:val="20"/>
          <w:szCs w:val="20"/>
          <w:rtl w:val="0"/>
        </w:rPr>
        <w:t xml:space="preserve">  II </w:t>
      </w:r>
      <w:hyperlink r:id="rId10">
        <w:r w:rsidDel="00000000" w:rsidR="00000000" w:rsidRPr="00000000">
          <w:rPr>
            <w:i w:val="1"/>
            <w:iCs w:val="1"/>
            <w:color w:val="1155cc"/>
            <w:sz w:val="20"/>
            <w:szCs w:val="20"/>
            <w:u w:val="single"/>
            <w:rtl w:val="0"/>
          </w:rPr>
          <w:t xml:space="preserve">youtube.com/@TheSantexChannel</w:t>
        </w:r>
      </w:hyperlink>
      <w:r w:rsidDel="00000000" w:rsidR="00000000" w:rsidRPr="00000000">
        <w:rPr>
          <w:i w:val="1"/>
          <w:iCs w:val="1"/>
          <w:sz w:val="20"/>
          <w:szCs w:val="20"/>
          <w:rtl w:val="0"/>
        </w:rPr>
        <w:t xml:space="preserve"> </w:t>
      </w:r>
      <w:r w:rsidDel="00000000" w:rsidR="00000000" w:rsidRPr="00000000">
        <w:rPr>
          <w:rtl w:val="0"/>
        </w:rPr>
      </w:r>
    </w:p>
    <w:p w:rsidR="00000000" w:rsidDel="00000000" w:rsidP="00000000" w:rsidRDefault="00000000" w:rsidRPr="00000000" w14:paraId="00000029">
      <w:pPr>
        <w:spacing w:line="240" w:lineRule="auto"/>
        <w:jc w:val="both"/>
        <w:rPr/>
      </w:pPr>
      <w:r w:rsidDel="00000000" w:rsidR="00000000" w:rsidRPr="00000000">
        <w:rPr>
          <w:rtl w:val="0"/>
        </w:rPr>
      </w:r>
    </w:p>
    <w:p w:rsidR="00000000" w:rsidDel="00000000" w:rsidP="00000000" w:rsidRDefault="00000000" w:rsidRPr="00000000" w14:paraId="0000002A">
      <w:pPr>
        <w:spacing w:line="240" w:lineRule="auto"/>
        <w:jc w:val="both"/>
        <w:rPr/>
      </w:pPr>
      <w:r w:rsidDel="00000000" w:rsidR="00000000" w:rsidRPr="00000000">
        <w:rPr>
          <w:rtl w:val="0"/>
        </w:rPr>
      </w:r>
    </w:p>
    <w:p w:rsidR="00000000" w:rsidDel="00000000" w:rsidP="00000000" w:rsidRDefault="00000000" w:rsidRPr="00000000" w14:paraId="0000002B">
      <w:pPr>
        <w:spacing w:line="240" w:lineRule="auto"/>
        <w:jc w:val="center"/>
        <w:rPr>
          <w:b w:val="1"/>
          <w:bCs w:val="1"/>
          <w:i w:val="1"/>
          <w:iCs w:val="1"/>
        </w:rPr>
      </w:pPr>
      <w:r w:rsidDel="00000000" w:rsidR="00000000" w:rsidRPr="00000000">
        <w:rPr>
          <w:b w:val="1"/>
          <w:bCs w:val="1"/>
          <w:i w:val="1"/>
          <w:iCs w:val="1"/>
          <w:rtl w:val="0"/>
        </w:rPr>
        <w:t xml:space="preserve">ooOoo</w:t>
      </w:r>
    </w:p>
    <w:p w:rsidR="00000000" w:rsidDel="00000000" w:rsidP="00000000" w:rsidRDefault="00000000" w:rsidRPr="00000000" w14:paraId="0000002C">
      <w:pPr>
        <w:spacing w:line="240" w:lineRule="auto"/>
        <w:jc w:val="both"/>
        <w:rPr>
          <w:b w:val="1"/>
          <w:bCs w:val="1"/>
          <w:i w:val="1"/>
          <w:iCs w:val="1"/>
          <w:sz w:val="20"/>
          <w:szCs w:val="20"/>
        </w:rPr>
      </w:pPr>
      <w:r w:rsidDel="00000000" w:rsidR="00000000" w:rsidRPr="00000000">
        <w:rPr>
          <w:b w:val="1"/>
          <w:bCs w:val="1"/>
          <w:i w:val="1"/>
          <w:iCs w:val="1"/>
          <w:sz w:val="20"/>
          <w:szCs w:val="20"/>
          <w:rtl w:val="0"/>
        </w:rPr>
        <w:t xml:space="preserve">Sobre Santex</w:t>
      </w:r>
    </w:p>
    <w:p w:rsidR="00000000" w:rsidDel="00000000" w:rsidP="00000000" w:rsidRDefault="00000000" w:rsidRPr="00000000" w14:paraId="0000002D">
      <w:pPr>
        <w:spacing w:line="240" w:lineRule="auto"/>
        <w:jc w:val="both"/>
        <w:rPr>
          <w:i w:val="1"/>
          <w:iCs w:val="1"/>
          <w:sz w:val="20"/>
          <w:szCs w:val="20"/>
        </w:rPr>
      </w:pPr>
      <w:r w:rsidDel="00000000" w:rsidR="00000000" w:rsidRPr="00000000">
        <w:rPr>
          <w:i w:val="1"/>
          <w:iCs w:val="1"/>
          <w:sz w:val="20"/>
          <w:szCs w:val="20"/>
          <w:rtl w:val="0"/>
        </w:rPr>
        <w:t xml:space="preserve">Somos una compañía con sede en Estados Unidos y acceso a talento global. Fundada en 1999, Santex tiene equipos en California e Iowa (Estados Unidos), Córdoba (Argentina), Lima (Perú) y Londres (UK). </w:t>
      </w:r>
    </w:p>
    <w:p w:rsidR="00000000" w:rsidDel="00000000" w:rsidP="00000000" w:rsidRDefault="00000000" w:rsidRPr="00000000" w14:paraId="0000002E">
      <w:pPr>
        <w:spacing w:line="240" w:lineRule="auto"/>
        <w:jc w:val="both"/>
        <w:rPr>
          <w:i w:val="1"/>
          <w:iCs w:val="1"/>
          <w:sz w:val="20"/>
          <w:szCs w:val="20"/>
        </w:rPr>
      </w:pPr>
      <w:r w:rsidDel="00000000" w:rsidR="00000000" w:rsidRPr="00000000">
        <w:rPr>
          <w:i w:val="1"/>
          <w:iCs w:val="1"/>
          <w:sz w:val="20"/>
          <w:szCs w:val="20"/>
          <w:rtl w:val="0"/>
        </w:rPr>
        <w:t xml:space="preserve">Somos expertos en tecnología y trabajamos día a día para ayudar a las compañías a desarrollar su negocio de manera exponencial, al tiempo que construimos una organización sustentable que inspira a la gente a hacer su propósito realidad. Creemos en grandes desafíos. El coraje, la pasión y la confianza son nuestro motor para crear soluciones trascendentes.</w:t>
      </w:r>
    </w:p>
    <w:p w:rsidR="00000000" w:rsidDel="00000000" w:rsidP="00000000" w:rsidRDefault="00000000" w:rsidRPr="00000000" w14:paraId="0000002F">
      <w:pPr>
        <w:spacing w:line="240" w:lineRule="auto"/>
        <w:jc w:val="both"/>
        <w:rPr>
          <w:i w:val="1"/>
          <w:iCs w:val="1"/>
          <w:sz w:val="20"/>
          <w:szCs w:val="20"/>
        </w:rPr>
      </w:pPr>
      <w:r w:rsidDel="00000000" w:rsidR="00000000" w:rsidRPr="00000000">
        <w:rPr>
          <w:rtl w:val="0"/>
        </w:rPr>
      </w:r>
    </w:p>
    <w:p w:rsidR="00000000" w:rsidDel="00000000" w:rsidP="00000000" w:rsidRDefault="00000000" w:rsidRPr="00000000" w14:paraId="00000030">
      <w:pPr>
        <w:spacing w:line="240" w:lineRule="auto"/>
        <w:jc w:val="both"/>
        <w:rPr/>
      </w:pPr>
      <w:r w:rsidDel="00000000" w:rsidR="00000000" w:rsidRPr="00000000">
        <w:rPr>
          <w:rtl w:val="0"/>
        </w:rPr>
        <w:t xml:space="preserve">Para más información:</w:t>
      </w:r>
    </w:p>
    <w:p w:rsidR="00000000" w:rsidDel="00000000" w:rsidP="00000000" w:rsidRDefault="00000000" w:rsidRPr="00000000" w14:paraId="00000031">
      <w:pPr>
        <w:spacing w:line="240" w:lineRule="auto"/>
        <w:jc w:val="both"/>
        <w:rPr/>
      </w:pPr>
      <w:r w:rsidDel="00000000" w:rsidR="00000000" w:rsidRPr="00000000">
        <w:rPr>
          <w:rtl w:val="0"/>
        </w:rPr>
      </w:r>
    </w:p>
    <w:p w:rsidR="00000000" w:rsidDel="00000000" w:rsidP="00000000" w:rsidRDefault="00000000" w:rsidRPr="00000000" w14:paraId="00000032">
      <w:pPr>
        <w:spacing w:line="240" w:lineRule="auto"/>
        <w:jc w:val="both"/>
        <w:rPr/>
      </w:pPr>
      <w:r w:rsidDel="00000000" w:rsidR="00000000" w:rsidRPr="00000000">
        <w:rPr>
          <w:rtl w:val="0"/>
        </w:rPr>
        <w:t xml:space="preserve">Fernando Mercado</w:t>
      </w:r>
    </w:p>
    <w:p w:rsidR="00000000" w:rsidDel="00000000" w:rsidP="00000000" w:rsidRDefault="00000000" w:rsidRPr="00000000" w14:paraId="00000033">
      <w:pPr>
        <w:spacing w:line="240" w:lineRule="auto"/>
        <w:jc w:val="both"/>
        <w:rPr/>
      </w:pPr>
      <w:r w:rsidDel="00000000" w:rsidR="00000000" w:rsidRPr="00000000">
        <w:rPr>
          <w:rtl w:val="0"/>
        </w:rPr>
        <w:t xml:space="preserve">55 2742 5404</w:t>
      </w:r>
    </w:p>
    <w:p w:rsidR="00000000" w:rsidDel="00000000" w:rsidP="00000000" w:rsidRDefault="00000000" w:rsidRPr="00000000" w14:paraId="00000034">
      <w:pPr>
        <w:spacing w:line="240" w:lineRule="auto"/>
        <w:jc w:val="both"/>
        <w:rPr/>
      </w:pPr>
      <w:hyperlink r:id="rId11">
        <w:r w:rsidDel="00000000" w:rsidR="00000000" w:rsidRPr="00000000">
          <w:rPr>
            <w:color w:val="1155cc"/>
            <w:u w:val="single"/>
            <w:rtl w:val="0"/>
          </w:rPr>
          <w:t xml:space="preserve">fernando@fmercado.com.mx</w:t>
        </w:r>
      </w:hyperlink>
      <w:r w:rsidDel="00000000" w:rsidR="00000000" w:rsidRPr="00000000">
        <w:rPr>
          <w:rtl w:val="0"/>
        </w:rPr>
        <w:t xml:space="preserve"> I </w:t>
      </w:r>
      <w:hyperlink r:id="rId12">
        <w:r w:rsidDel="00000000" w:rsidR="00000000" w:rsidRPr="00000000">
          <w:rPr>
            <w:color w:val="1155cc"/>
            <w:u w:val="single"/>
            <w:rtl w:val="0"/>
          </w:rPr>
          <w:t xml:space="preserve">fmercadoh@gmail.com</w:t>
        </w:r>
      </w:hyperlink>
      <w:r w:rsidDel="00000000" w:rsidR="00000000" w:rsidRPr="00000000">
        <w:rPr>
          <w:rtl w:val="0"/>
        </w:rPr>
        <w:t xml:space="preserve"> </w:t>
      </w:r>
    </w:p>
    <w:p w:rsidR="00000000" w:rsidDel="00000000" w:rsidP="00000000" w:rsidRDefault="00000000" w:rsidRPr="00000000" w14:paraId="00000035">
      <w:pPr>
        <w:spacing w:line="240" w:lineRule="auto"/>
        <w:jc w:val="both"/>
        <w:rPr/>
      </w:pPr>
      <w:r w:rsidDel="00000000" w:rsidR="00000000" w:rsidRPr="00000000">
        <w:rPr>
          <w:rtl w:val="0"/>
        </w:rPr>
      </w:r>
    </w:p>
    <w:p w:rsidR="00000000" w:rsidDel="00000000" w:rsidP="00000000" w:rsidRDefault="00000000" w:rsidRPr="00000000" w14:paraId="00000036">
      <w:pPr>
        <w:spacing w:line="240" w:lineRule="auto"/>
        <w:rPr/>
      </w:pPr>
      <w:r w:rsidDel="00000000" w:rsidR="00000000" w:rsidRPr="00000000">
        <w:rPr>
          <w:rtl w:val="0"/>
        </w:rPr>
      </w:r>
    </w:p>
    <w:sectPr>
      <w:headerReference r:id="rId13"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MX"/>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mailto:fernando@fmercado.com.mx" TargetMode="External"/><Relationship Id="rId10" Type="http://schemas.openxmlformats.org/officeDocument/2006/relationships/hyperlink" Target="https://www.youtube.com/@TheSantexChannel" TargetMode="External"/><Relationship Id="rId13" Type="http://schemas.openxmlformats.org/officeDocument/2006/relationships/header" Target="header1.xml"/><Relationship Id="rId12" Type="http://schemas.openxmlformats.org/officeDocument/2006/relationships/hyperlink" Target="mailto:fmercadoh@gmail.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nstagram.com/thesantextea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santexgroup.com" TargetMode="External"/><Relationship Id="rId8" Type="http://schemas.openxmlformats.org/officeDocument/2006/relationships/hyperlink" Target="https://www.linkedin.com/company/santexgro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