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40" w:lineRule="auto"/>
        <w:ind w:right="-90"/>
        <w:contextualSpacing w:val="0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center"/>
        <w:rPr>
          <w:rFonts w:ascii="Helvetica Neue" w:cs="Helvetica Neue" w:eastAsia="Helvetica Neue" w:hAnsi="Helvetica Neue"/>
          <w:b w:val="1"/>
          <w:i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JASMINE SANDERS, LA EMBAJADORA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CURL COLLECTION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 DE MOROCCANOIL®, ASISTE 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2"/>
          <w:szCs w:val="32"/>
          <w:rtl w:val="0"/>
        </w:rPr>
        <w:t xml:space="preserve">THE DAILY FRONT ROW FASHION LOS ANGELES AWARDS</w:t>
      </w:r>
    </w:p>
    <w:p w:rsidR="00000000" w:rsidDel="00000000" w:rsidP="00000000" w:rsidRDefault="00000000" w:rsidRPr="00000000">
      <w:pPr>
        <w:pBdr/>
        <w:ind w:right="-90"/>
        <w:contextualSpacing w:val="0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Jasmine Sanders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quien es la imagen y embajadora de la colección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Curl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</w:t>
      </w:r>
      <w:hyperlink r:id="rId5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asistió a la tercera edición de los premios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Daily Front Row Fashion Los Angeles Awards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donde lució un peinado creado por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Kevin Hughes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director artístico de esta marca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líder mundial en productos de belleza de lujo a base de aceite de argán para el cabello.</w:t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Sanders, quien el año pasado engalanó las pasarelas durante la Semana de la Moda de París y ha ganado un estatus como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gracias a sus seguidores en las redes sociales, que en Instagram sobrepasan los más de 1.6 millones, portó un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look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fresco, glamoroso y moderno con ondas texturizadas.</w:t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lograrlo, Hughes utilizó 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Tratamiento regular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Crema moldeadora de rizos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Spray texturizante seco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Laca luminosa fuerte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Crema Moldeadora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Laca luminosa de fijación fuerte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Cepillo redondo de 55 milímetros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 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Peine de cola Moroccanoil.</w:t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más información acerca de la alianza entre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Moroccanoil®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 Jasmine Sanders, así como la nueva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Curl Collection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ingresa a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moroccanoil.com/mx/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Asimismo, </w:t>
      </w:r>
      <w:r w:rsidDel="00000000" w:rsidR="00000000" w:rsidRPr="00000000">
        <w:rPr>
          <w:rtl w:val="0"/>
        </w:rPr>
        <w:t xml:space="preserve">consigue éstos y otros productos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 en salones de belleza especializados.</w:t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pBdr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3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1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>
      <w:pPr>
        <w:widowControl w:val="1"/>
        <w:pBdr/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2057400" cy="990600"/>
          <wp:effectExtent b="0" l="0" r="0" t="0"/>
          <wp:docPr descr="Macintosh HD:Users:workroom:Desktop:M_Logotype_Blue_CMYK.tif" id="2" name="image07.png"/>
          <a:graphic>
            <a:graphicData uri="http://schemas.openxmlformats.org/drawingml/2006/picture">
              <pic:pic>
                <pic:nvPicPr>
                  <pic:cNvPr descr="Macintosh HD:Users:workroom:Desktop:M_Logotype_Blue_CMYK.tif" id="0" name="image0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4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Moroccanoil" TargetMode="External"/><Relationship Id="rId10" Type="http://schemas.openxmlformats.org/officeDocument/2006/relationships/hyperlink" Target="https://www.facebook.com/Moroccanoil" TargetMode="External"/><Relationship Id="rId13" Type="http://schemas.openxmlformats.org/officeDocument/2006/relationships/hyperlink" Target="https://www.twitter.com/Moroccanoil" TargetMode="External"/><Relationship Id="rId12" Type="http://schemas.openxmlformats.org/officeDocument/2006/relationships/image" Target="media/image09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1.jpg"/><Relationship Id="rId15" Type="http://schemas.openxmlformats.org/officeDocument/2006/relationships/hyperlink" Target="http://www.youtube.com/moroccanoil" TargetMode="External"/><Relationship Id="rId14" Type="http://schemas.openxmlformats.org/officeDocument/2006/relationships/image" Target="media/image08.jpg"/><Relationship Id="rId17" Type="http://schemas.openxmlformats.org/officeDocument/2006/relationships/hyperlink" Target="http://instagram.com/moroccanoil" TargetMode="External"/><Relationship Id="rId16" Type="http://schemas.openxmlformats.org/officeDocument/2006/relationships/image" Target="media/image10.jpg"/><Relationship Id="rId5" Type="http://schemas.openxmlformats.org/officeDocument/2006/relationships/hyperlink" Target="http://www.moroccanoil.com/" TargetMode="External"/><Relationship Id="rId19" Type="http://schemas.openxmlformats.org/officeDocument/2006/relationships/header" Target="header1.xml"/><Relationship Id="rId6" Type="http://schemas.openxmlformats.org/officeDocument/2006/relationships/hyperlink" Target="https://www.moroccanoil.com/mx/" TargetMode="External"/><Relationship Id="rId18" Type="http://schemas.openxmlformats.org/officeDocument/2006/relationships/image" Target="media/image06.png"/><Relationship Id="rId7" Type="http://schemas.openxmlformats.org/officeDocument/2006/relationships/hyperlink" Target="https://www.moroccanoil.com/mx/" TargetMode="External"/><Relationship Id="rId8" Type="http://schemas.openxmlformats.org/officeDocument/2006/relationships/hyperlink" Target="https://www.moroccanoil.com/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7.png"/></Relationships>
</file>