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A8" w:rsidRDefault="00CB41A8" w:rsidP="00401B6F">
      <w:pPr>
        <w:jc w:val="center"/>
        <w:rPr>
          <w:b/>
          <w:bCs/>
          <w:u w:val="single"/>
        </w:rPr>
      </w:pPr>
      <w:r w:rsidRPr="007E618C">
        <w:rPr>
          <w:bCs/>
          <w:noProof/>
          <w:lang w:eastAsia="fr-BE"/>
        </w:rPr>
        <w:drawing>
          <wp:inline distT="0" distB="0" distL="0" distR="0">
            <wp:extent cx="2816352" cy="2353056"/>
            <wp:effectExtent l="0" t="0" r="317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Squ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2353056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7E618C" w:rsidRDefault="007E618C" w:rsidP="00401B6F">
      <w:pPr>
        <w:jc w:val="center"/>
        <w:rPr>
          <w:b/>
          <w:bCs/>
          <w:u w:val="single"/>
        </w:rPr>
      </w:pPr>
    </w:p>
    <w:p w:rsidR="007E618C" w:rsidRDefault="007E618C" w:rsidP="00401B6F">
      <w:pPr>
        <w:jc w:val="center"/>
        <w:rPr>
          <w:b/>
          <w:bCs/>
          <w:u w:val="single"/>
        </w:rPr>
      </w:pPr>
      <w:bookmarkStart w:id="0" w:name="_GoBack"/>
      <w:bookmarkEnd w:id="0"/>
    </w:p>
    <w:p w:rsidR="005211A5" w:rsidRPr="007E618C" w:rsidRDefault="008034C5" w:rsidP="00401B6F">
      <w:pPr>
        <w:jc w:val="center"/>
        <w:rPr>
          <w:b/>
          <w:bCs/>
          <w:color w:val="595959" w:themeColor="text1" w:themeTint="A6"/>
          <w:u w:val="single"/>
        </w:rPr>
      </w:pPr>
      <w:r w:rsidRPr="007E618C">
        <w:rPr>
          <w:b/>
          <w:bCs/>
          <w:color w:val="595959" w:themeColor="text1" w:themeTint="A6"/>
          <w:u w:val="single"/>
        </w:rPr>
        <w:t>Communiqué de presse</w:t>
      </w:r>
      <w:r w:rsidR="005211A5" w:rsidRPr="007E618C">
        <w:rPr>
          <w:b/>
          <w:bCs/>
          <w:color w:val="595959" w:themeColor="text1" w:themeTint="A6"/>
          <w:u w:val="single"/>
        </w:rPr>
        <w:t xml:space="preserve"> M</w:t>
      </w:r>
      <w:r w:rsidR="0065426E" w:rsidRPr="007E618C">
        <w:rPr>
          <w:b/>
          <w:bCs/>
          <w:color w:val="595959" w:themeColor="text1" w:themeTint="A6"/>
          <w:u w:val="single"/>
        </w:rPr>
        <w:t>-</w:t>
      </w:r>
      <w:r w:rsidR="005211A5" w:rsidRPr="007E618C">
        <w:rPr>
          <w:b/>
          <w:bCs/>
          <w:color w:val="595959" w:themeColor="text1" w:themeTint="A6"/>
          <w:u w:val="single"/>
        </w:rPr>
        <w:t>Square</w:t>
      </w:r>
      <w:r w:rsidR="00401B6F" w:rsidRPr="007E618C">
        <w:rPr>
          <w:b/>
          <w:bCs/>
          <w:color w:val="595959" w:themeColor="text1" w:themeTint="A6"/>
          <w:u w:val="single"/>
        </w:rPr>
        <w:t xml:space="preserve"> – Annexes </w:t>
      </w:r>
    </w:p>
    <w:p w:rsidR="005211A5" w:rsidRPr="007E618C" w:rsidRDefault="005211A5" w:rsidP="005211A5">
      <w:pPr>
        <w:rPr>
          <w:b/>
          <w:bCs/>
          <w:color w:val="595959" w:themeColor="text1" w:themeTint="A6"/>
          <w:u w:val="single"/>
        </w:rPr>
      </w:pPr>
    </w:p>
    <w:p w:rsidR="00401B6F" w:rsidRPr="007E618C" w:rsidRDefault="00401B6F" w:rsidP="00401B6F">
      <w:pPr>
        <w:rPr>
          <w:b/>
          <w:bCs/>
          <w:color w:val="595959" w:themeColor="text1" w:themeTint="A6"/>
          <w:u w:val="single"/>
        </w:rPr>
      </w:pPr>
    </w:p>
    <w:p w:rsidR="00401B6F" w:rsidRPr="007E618C" w:rsidRDefault="006769B3" w:rsidP="008034C5">
      <w:pPr>
        <w:pStyle w:val="Paragraphedeliste"/>
        <w:numPr>
          <w:ilvl w:val="0"/>
          <w:numId w:val="9"/>
        </w:numPr>
        <w:rPr>
          <w:b/>
          <w:bCs/>
          <w:color w:val="595959" w:themeColor="text1" w:themeTint="A6"/>
          <w:u w:val="single"/>
        </w:rPr>
      </w:pPr>
      <w:r w:rsidRPr="007E618C">
        <w:rPr>
          <w:b/>
          <w:bCs/>
          <w:color w:val="595959" w:themeColor="text1" w:themeTint="A6"/>
          <w:u w:val="single"/>
        </w:rPr>
        <w:t>Présentation du projet</w:t>
      </w:r>
    </w:p>
    <w:p w:rsidR="00401B6F" w:rsidRPr="007E618C" w:rsidRDefault="00401B6F" w:rsidP="00401B6F">
      <w:pPr>
        <w:rPr>
          <w:b/>
          <w:bCs/>
          <w:color w:val="595959" w:themeColor="text1" w:themeTint="A6"/>
          <w:u w:val="single"/>
        </w:rPr>
      </w:pPr>
    </w:p>
    <w:p w:rsidR="006769B3" w:rsidRPr="007E618C" w:rsidRDefault="006769B3" w:rsidP="00CB41A8">
      <w:pPr>
        <w:jc w:val="both"/>
        <w:rPr>
          <w:b/>
          <w:bCs/>
          <w:color w:val="595959" w:themeColor="text1" w:themeTint="A6"/>
          <w:u w:val="single"/>
        </w:rPr>
      </w:pPr>
      <w:r w:rsidRPr="007E618C">
        <w:rPr>
          <w:color w:val="595959" w:themeColor="text1" w:themeTint="A6"/>
        </w:rPr>
        <w:t xml:space="preserve">La société Thomas &amp; Piron Bâtiment et la société Burco ont acquis un droit de superficie de </w:t>
      </w:r>
      <w:proofErr w:type="spellStart"/>
      <w:r w:rsidRPr="007E618C">
        <w:rPr>
          <w:color w:val="595959" w:themeColor="text1" w:themeTint="A6"/>
        </w:rPr>
        <w:t>Federale</w:t>
      </w:r>
      <w:proofErr w:type="spellEnd"/>
      <w:r w:rsidRPr="007E618C">
        <w:rPr>
          <w:color w:val="595959" w:themeColor="text1" w:themeTint="A6"/>
        </w:rPr>
        <w:t xml:space="preserve"> Real </w:t>
      </w:r>
      <w:proofErr w:type="spellStart"/>
      <w:r w:rsidRPr="007E618C">
        <w:rPr>
          <w:color w:val="595959" w:themeColor="text1" w:themeTint="A6"/>
        </w:rPr>
        <w:t>Estate</w:t>
      </w:r>
      <w:proofErr w:type="spellEnd"/>
      <w:r w:rsidRPr="007E618C">
        <w:rPr>
          <w:color w:val="595959" w:themeColor="text1" w:themeTint="A6"/>
        </w:rPr>
        <w:t xml:space="preserve">  (filiale immobilière de </w:t>
      </w:r>
      <w:proofErr w:type="spellStart"/>
      <w:r w:rsidRPr="007E618C">
        <w:rPr>
          <w:color w:val="595959" w:themeColor="text1" w:themeTint="A6"/>
        </w:rPr>
        <w:t>Federale</w:t>
      </w:r>
      <w:proofErr w:type="spellEnd"/>
      <w:r w:rsidRPr="007E618C">
        <w:rPr>
          <w:color w:val="595959" w:themeColor="text1" w:themeTint="A6"/>
        </w:rPr>
        <w:t xml:space="preserve"> Assurances), propriétaire d’un terrain sis à l’angle du Boulevard Mettewie et de l’Avenue du Condor à </w:t>
      </w:r>
      <w:proofErr w:type="spellStart"/>
      <w:r w:rsidRPr="007E618C">
        <w:rPr>
          <w:color w:val="595959" w:themeColor="text1" w:themeTint="A6"/>
        </w:rPr>
        <w:t>Molenbeek</w:t>
      </w:r>
      <w:proofErr w:type="spellEnd"/>
      <w:r w:rsidRPr="007E618C">
        <w:rPr>
          <w:color w:val="595959" w:themeColor="text1" w:themeTint="A6"/>
        </w:rPr>
        <w:t>, en vue d’un développement résidentiel visant à terme la construction de 250 appartements, d’une maison de repos et de soins et d’une crèche.</w:t>
      </w:r>
      <w:r w:rsidR="00401B6F" w:rsidRPr="007E618C">
        <w:rPr>
          <w:color w:val="595959" w:themeColor="text1" w:themeTint="A6"/>
        </w:rPr>
        <w:t xml:space="preserve"> Ce projet d’une superficie de pl</w:t>
      </w:r>
      <w:r w:rsidR="008034C5" w:rsidRPr="007E618C">
        <w:rPr>
          <w:color w:val="595959" w:themeColor="text1" w:themeTint="A6"/>
        </w:rPr>
        <w:t xml:space="preserve">us de 30.000 m² bruts hors sol s’inscrit dans la création d’un  nouveau quartier ouvert sur l’extérieur et traversable (liaison </w:t>
      </w:r>
      <w:r w:rsidR="007E618C" w:rsidRPr="007E618C">
        <w:rPr>
          <w:color w:val="595959" w:themeColor="text1" w:themeTint="A6"/>
        </w:rPr>
        <w:t>piétonne</w:t>
      </w:r>
      <w:r w:rsidR="008034C5" w:rsidRPr="007E618C">
        <w:rPr>
          <w:color w:val="595959" w:themeColor="text1" w:themeTint="A6"/>
        </w:rPr>
        <w:t xml:space="preserve"> et cyclable entre le Bd </w:t>
      </w:r>
      <w:proofErr w:type="spellStart"/>
      <w:r w:rsidR="008034C5" w:rsidRPr="007E618C">
        <w:rPr>
          <w:color w:val="595959" w:themeColor="text1" w:themeTint="A6"/>
        </w:rPr>
        <w:t>Mettewie</w:t>
      </w:r>
      <w:proofErr w:type="spellEnd"/>
      <w:r w:rsidR="008034C5" w:rsidRPr="007E618C">
        <w:rPr>
          <w:color w:val="595959" w:themeColor="text1" w:themeTint="A6"/>
        </w:rPr>
        <w:t xml:space="preserve"> et l’avenue du Condor. </w:t>
      </w:r>
    </w:p>
    <w:p w:rsidR="006769B3" w:rsidRPr="007E618C" w:rsidRDefault="006769B3" w:rsidP="006769B3">
      <w:pPr>
        <w:rPr>
          <w:color w:val="595959" w:themeColor="text1" w:themeTint="A6"/>
        </w:rPr>
      </w:pPr>
    </w:p>
    <w:p w:rsidR="005211A5" w:rsidRPr="007E618C" w:rsidRDefault="008034C5" w:rsidP="008034C5">
      <w:pPr>
        <w:pStyle w:val="Paragraphedeliste"/>
        <w:numPr>
          <w:ilvl w:val="0"/>
          <w:numId w:val="9"/>
        </w:numPr>
        <w:rPr>
          <w:b/>
          <w:color w:val="595959" w:themeColor="text1" w:themeTint="A6"/>
          <w:u w:val="single"/>
        </w:rPr>
      </w:pPr>
      <w:r w:rsidRPr="007E618C">
        <w:rPr>
          <w:b/>
          <w:color w:val="595959" w:themeColor="text1" w:themeTint="A6"/>
          <w:u w:val="single"/>
        </w:rPr>
        <w:t>Historique du dossier</w:t>
      </w:r>
    </w:p>
    <w:p w:rsidR="00401B6F" w:rsidRPr="007E618C" w:rsidRDefault="00401B6F" w:rsidP="006769B3">
      <w:pPr>
        <w:rPr>
          <w:b/>
          <w:color w:val="595959" w:themeColor="text1" w:themeTint="A6"/>
          <w:u w:val="single"/>
        </w:rPr>
      </w:pPr>
    </w:p>
    <w:p w:rsidR="005211A5" w:rsidRPr="007E618C" w:rsidRDefault="00401B6F" w:rsidP="00CB41A8">
      <w:pPr>
        <w:jc w:val="both"/>
        <w:rPr>
          <w:color w:val="595959" w:themeColor="text1" w:themeTint="A6"/>
        </w:rPr>
      </w:pPr>
      <w:r w:rsidRPr="007E618C">
        <w:rPr>
          <w:color w:val="595959" w:themeColor="text1" w:themeTint="A6"/>
        </w:rPr>
        <w:t>Ce projet fait l’objet d’une c</w:t>
      </w:r>
      <w:r w:rsidR="005211A5" w:rsidRPr="007E618C">
        <w:rPr>
          <w:color w:val="595959" w:themeColor="text1" w:themeTint="A6"/>
        </w:rPr>
        <w:t>ollaboration depuis 2012 entre les autorités urbanistiques (</w:t>
      </w:r>
      <w:r w:rsidR="0065426E" w:rsidRPr="007E618C">
        <w:rPr>
          <w:color w:val="595959" w:themeColor="text1" w:themeTint="A6"/>
        </w:rPr>
        <w:t>BDU</w:t>
      </w:r>
      <w:r w:rsidR="005211A5" w:rsidRPr="007E618C">
        <w:rPr>
          <w:color w:val="595959" w:themeColor="text1" w:themeTint="A6"/>
        </w:rPr>
        <w:t xml:space="preserve">, Commune) et Burco/Thomas &amp; Piron </w:t>
      </w:r>
      <w:r w:rsidR="0065426E" w:rsidRPr="007E618C">
        <w:rPr>
          <w:color w:val="595959" w:themeColor="text1" w:themeTint="A6"/>
        </w:rPr>
        <w:t xml:space="preserve">Bâtiment </w:t>
      </w:r>
      <w:r w:rsidR="005211A5" w:rsidRPr="007E618C">
        <w:rPr>
          <w:color w:val="595959" w:themeColor="text1" w:themeTint="A6"/>
        </w:rPr>
        <w:t xml:space="preserve">pour la révision du PPAS : </w:t>
      </w:r>
    </w:p>
    <w:p w:rsidR="006769B3" w:rsidRPr="007E618C" w:rsidRDefault="006769B3" w:rsidP="00CB41A8">
      <w:pPr>
        <w:jc w:val="both"/>
        <w:rPr>
          <w:color w:val="595959" w:themeColor="text1" w:themeTint="A6"/>
        </w:rPr>
      </w:pPr>
    </w:p>
    <w:p w:rsidR="005211A5" w:rsidRPr="007E618C" w:rsidRDefault="005211A5" w:rsidP="00CB41A8">
      <w:pPr>
        <w:jc w:val="both"/>
        <w:rPr>
          <w:color w:val="595959" w:themeColor="text1" w:themeTint="A6"/>
        </w:rPr>
      </w:pPr>
      <w:r w:rsidRPr="007E618C">
        <w:rPr>
          <w:color w:val="595959" w:themeColor="text1" w:themeTint="A6"/>
        </w:rPr>
        <w:t>Le PPAS </w:t>
      </w:r>
      <w:r w:rsidR="00401B6F" w:rsidRPr="007E618C">
        <w:rPr>
          <w:color w:val="595959" w:themeColor="text1" w:themeTint="A6"/>
        </w:rPr>
        <w:t xml:space="preserve">initialement </w:t>
      </w:r>
      <w:r w:rsidRPr="007E618C">
        <w:rPr>
          <w:color w:val="595959" w:themeColor="text1" w:themeTint="A6"/>
        </w:rPr>
        <w:t>en vigueur sur le site prévoyait un urbanisme hérité des années ’70 : bâtiments hauts, zones non constructibles appartenant à la Commune (frais d’entretien élevés pour un usage minime)</w:t>
      </w:r>
    </w:p>
    <w:p w:rsidR="00401B6F" w:rsidRPr="007E618C" w:rsidRDefault="00401B6F" w:rsidP="00CB41A8">
      <w:pPr>
        <w:jc w:val="both"/>
        <w:rPr>
          <w:color w:val="595959" w:themeColor="text1" w:themeTint="A6"/>
        </w:rPr>
      </w:pPr>
    </w:p>
    <w:p w:rsidR="005211A5" w:rsidRPr="007E618C" w:rsidRDefault="008034C5" w:rsidP="00CB41A8">
      <w:pPr>
        <w:jc w:val="both"/>
        <w:rPr>
          <w:color w:val="595959" w:themeColor="text1" w:themeTint="A6"/>
        </w:rPr>
      </w:pPr>
      <w:r w:rsidRPr="007E618C">
        <w:rPr>
          <w:color w:val="595959" w:themeColor="text1" w:themeTint="A6"/>
        </w:rPr>
        <w:t>Le PPAS 8A Ter m</w:t>
      </w:r>
      <w:r w:rsidR="00401B6F" w:rsidRPr="007E618C">
        <w:rPr>
          <w:color w:val="595959" w:themeColor="text1" w:themeTint="A6"/>
        </w:rPr>
        <w:t xml:space="preserve">odifié prévoit désormais des </w:t>
      </w:r>
      <w:r w:rsidR="005211A5" w:rsidRPr="007E618C">
        <w:rPr>
          <w:color w:val="595959" w:themeColor="text1" w:themeTint="A6"/>
        </w:rPr>
        <w:t xml:space="preserve"> bâtiment</w:t>
      </w:r>
      <w:r w:rsidR="00401B6F" w:rsidRPr="007E618C">
        <w:rPr>
          <w:color w:val="595959" w:themeColor="text1" w:themeTint="A6"/>
        </w:rPr>
        <w:t>s</w:t>
      </w:r>
      <w:r w:rsidR="005211A5" w:rsidRPr="007E618C">
        <w:rPr>
          <w:color w:val="595959" w:themeColor="text1" w:themeTint="A6"/>
        </w:rPr>
        <w:t xml:space="preserve"> et zone</w:t>
      </w:r>
      <w:r w:rsidR="00401B6F" w:rsidRPr="007E618C">
        <w:rPr>
          <w:color w:val="595959" w:themeColor="text1" w:themeTint="A6"/>
        </w:rPr>
        <w:t>s</w:t>
      </w:r>
      <w:r w:rsidR="005211A5" w:rsidRPr="007E618C">
        <w:rPr>
          <w:color w:val="595959" w:themeColor="text1" w:themeTint="A6"/>
        </w:rPr>
        <w:t xml:space="preserve"> d’intérêt paysager à taille humaine, </w:t>
      </w:r>
      <w:r w:rsidR="00401B6F" w:rsidRPr="007E618C">
        <w:rPr>
          <w:color w:val="595959" w:themeColor="text1" w:themeTint="A6"/>
        </w:rPr>
        <w:t xml:space="preserve">et une </w:t>
      </w:r>
      <w:r w:rsidR="005211A5" w:rsidRPr="007E618C">
        <w:rPr>
          <w:color w:val="595959" w:themeColor="text1" w:themeTint="A6"/>
        </w:rPr>
        <w:t>liaison douce entre les immeubles élevés (Mettewie) et les immeubles de gabarit beaucoup plus limité (Condor)</w:t>
      </w:r>
    </w:p>
    <w:p w:rsidR="00401B6F" w:rsidRPr="007E618C" w:rsidRDefault="00401B6F" w:rsidP="00CB41A8">
      <w:pPr>
        <w:pStyle w:val="Commentaire"/>
        <w:jc w:val="both"/>
        <w:rPr>
          <w:color w:val="595959" w:themeColor="text1" w:themeTint="A6"/>
        </w:rPr>
      </w:pPr>
    </w:p>
    <w:p w:rsidR="006769B3" w:rsidRPr="007E618C" w:rsidRDefault="006769B3" w:rsidP="00CB41A8">
      <w:pPr>
        <w:pStyle w:val="Commentaire"/>
        <w:jc w:val="both"/>
        <w:rPr>
          <w:color w:val="595959" w:themeColor="text1" w:themeTint="A6"/>
          <w:sz w:val="22"/>
          <w:szCs w:val="22"/>
        </w:rPr>
      </w:pPr>
      <w:r w:rsidRPr="007E618C">
        <w:rPr>
          <w:color w:val="595959" w:themeColor="text1" w:themeTint="A6"/>
          <w:sz w:val="22"/>
          <w:szCs w:val="22"/>
        </w:rPr>
        <w:t>La modification du  PPAS provoque une rupture avec l’urbanisation des années 1970 : rupture urbanistique (au niveau de l’implantation et du gabarit des immeubles) ; rupture architecturale et rupture paysagère (grande préoccupation dans la mise en valeur de l’aménagement paysager aux pieds d’immeuble : on épouse le relief naturel du terrain, biodiversité, plantations d’espèces indigènes,… en rupture avec les pelouses aux pieds des immeubles environnants).</w:t>
      </w:r>
    </w:p>
    <w:p w:rsidR="006769B3" w:rsidRDefault="006769B3" w:rsidP="006769B3">
      <w:pPr>
        <w:pStyle w:val="Commentaire"/>
        <w:rPr>
          <w:color w:val="595959" w:themeColor="text1" w:themeTint="A6"/>
        </w:rPr>
      </w:pPr>
    </w:p>
    <w:p w:rsidR="007E618C" w:rsidRDefault="007E618C" w:rsidP="006769B3">
      <w:pPr>
        <w:pStyle w:val="Commentaire"/>
        <w:rPr>
          <w:color w:val="595959" w:themeColor="text1" w:themeTint="A6"/>
        </w:rPr>
      </w:pPr>
    </w:p>
    <w:p w:rsidR="007E618C" w:rsidRDefault="007E618C" w:rsidP="006769B3">
      <w:pPr>
        <w:pStyle w:val="Commentaire"/>
        <w:rPr>
          <w:color w:val="595959" w:themeColor="text1" w:themeTint="A6"/>
        </w:rPr>
      </w:pPr>
    </w:p>
    <w:p w:rsidR="007E618C" w:rsidRPr="007E618C" w:rsidRDefault="007E618C" w:rsidP="006769B3">
      <w:pPr>
        <w:pStyle w:val="Commentaire"/>
        <w:rPr>
          <w:color w:val="595959" w:themeColor="text1" w:themeTint="A6"/>
        </w:rPr>
      </w:pPr>
    </w:p>
    <w:p w:rsidR="008034C5" w:rsidRPr="007E618C" w:rsidRDefault="008034C5" w:rsidP="005211A5">
      <w:pPr>
        <w:jc w:val="both"/>
        <w:rPr>
          <w:color w:val="595959" w:themeColor="text1" w:themeTint="A6"/>
        </w:rPr>
      </w:pPr>
    </w:p>
    <w:p w:rsidR="008034C5" w:rsidRPr="007E618C" w:rsidRDefault="008034C5" w:rsidP="008034C5">
      <w:pPr>
        <w:pStyle w:val="Paragraphedeliste"/>
        <w:numPr>
          <w:ilvl w:val="0"/>
          <w:numId w:val="9"/>
        </w:numPr>
        <w:rPr>
          <w:b/>
          <w:color w:val="595959" w:themeColor="text1" w:themeTint="A6"/>
          <w:u w:val="single"/>
        </w:rPr>
      </w:pPr>
      <w:r w:rsidRPr="007E618C">
        <w:rPr>
          <w:b/>
          <w:color w:val="595959" w:themeColor="text1" w:themeTint="A6"/>
          <w:u w:val="single"/>
        </w:rPr>
        <w:t xml:space="preserve">Début des travaux </w:t>
      </w:r>
    </w:p>
    <w:p w:rsidR="008034C5" w:rsidRPr="007E618C" w:rsidRDefault="008034C5" w:rsidP="008034C5">
      <w:pPr>
        <w:pStyle w:val="Paragraphedeliste"/>
        <w:rPr>
          <w:b/>
          <w:color w:val="595959" w:themeColor="text1" w:themeTint="A6"/>
          <w:u w:val="single"/>
        </w:rPr>
      </w:pPr>
    </w:p>
    <w:p w:rsidR="006769B3" w:rsidRPr="007E618C" w:rsidRDefault="005211A5" w:rsidP="005211A5">
      <w:pPr>
        <w:jc w:val="both"/>
        <w:rPr>
          <w:color w:val="595959" w:themeColor="text1" w:themeTint="A6"/>
        </w:rPr>
      </w:pPr>
      <w:r w:rsidRPr="007E618C">
        <w:rPr>
          <w:color w:val="595959" w:themeColor="text1" w:themeTint="A6"/>
        </w:rPr>
        <w:t xml:space="preserve">La première phase (lot C), dont les travaux de construction ont débuté en août 2015, comprend 63 appartements. Le permis d’urbanisme autorisant la construction des lots D et E (phase 2 et 3), comprenant chacun 65 appartements, devraient être délivrés dans les semaines à venir, la date de la commission de concertation devant être fixée incessamment. </w:t>
      </w:r>
    </w:p>
    <w:p w:rsidR="005211A5" w:rsidRPr="007E618C" w:rsidRDefault="005211A5" w:rsidP="005211A5">
      <w:pPr>
        <w:jc w:val="both"/>
        <w:rPr>
          <w:color w:val="595959" w:themeColor="text1" w:themeTint="A6"/>
        </w:rPr>
      </w:pPr>
      <w:r w:rsidRPr="007E618C">
        <w:rPr>
          <w:color w:val="595959" w:themeColor="text1" w:themeTint="A6"/>
        </w:rPr>
        <w:t>Les travaux de construction du Lot D pourraient débuter au printemps prochain.</w:t>
      </w:r>
    </w:p>
    <w:p w:rsidR="005211A5" w:rsidRPr="007E618C" w:rsidRDefault="005211A5" w:rsidP="008034C5">
      <w:pPr>
        <w:jc w:val="both"/>
        <w:rPr>
          <w:color w:val="595959" w:themeColor="text1" w:themeTint="A6"/>
        </w:rPr>
      </w:pPr>
      <w:r w:rsidRPr="007E618C">
        <w:rPr>
          <w:color w:val="595959" w:themeColor="text1" w:themeTint="A6"/>
        </w:rPr>
        <w:t>Une demande de permis pour la maison de repos et de soins sera introduite d’ici la fin de cette année.</w:t>
      </w:r>
      <w:r w:rsidR="008034C5" w:rsidRPr="007E618C">
        <w:rPr>
          <w:color w:val="595959" w:themeColor="text1" w:themeTint="A6"/>
        </w:rPr>
        <w:t xml:space="preserve"> </w:t>
      </w:r>
      <w:r w:rsidRPr="007E618C">
        <w:rPr>
          <w:color w:val="595959" w:themeColor="text1" w:themeTint="A6"/>
        </w:rPr>
        <w:t>Dans la mesure où tous les permis nécessitent un rapport d’incidences, ils sont instruits par l</w:t>
      </w:r>
      <w:r w:rsidR="0065426E" w:rsidRPr="007E618C">
        <w:rPr>
          <w:color w:val="595959" w:themeColor="text1" w:themeTint="A6"/>
        </w:rPr>
        <w:t>a</w:t>
      </w:r>
      <w:r w:rsidRPr="007E618C">
        <w:rPr>
          <w:color w:val="595959" w:themeColor="text1" w:themeTint="A6"/>
        </w:rPr>
        <w:t xml:space="preserve"> Région. </w:t>
      </w:r>
    </w:p>
    <w:p w:rsidR="005211A5" w:rsidRPr="007E618C" w:rsidRDefault="005211A5" w:rsidP="005211A5">
      <w:pPr>
        <w:rPr>
          <w:color w:val="595959" w:themeColor="text1" w:themeTint="A6"/>
        </w:rPr>
      </w:pPr>
    </w:p>
    <w:p w:rsidR="008034C5" w:rsidRPr="007E618C" w:rsidRDefault="008034C5" w:rsidP="008034C5">
      <w:pPr>
        <w:pStyle w:val="Paragraphedeliste"/>
        <w:numPr>
          <w:ilvl w:val="0"/>
          <w:numId w:val="9"/>
        </w:numPr>
        <w:rPr>
          <w:b/>
          <w:color w:val="595959" w:themeColor="text1" w:themeTint="A6"/>
          <w:u w:val="single"/>
        </w:rPr>
      </w:pPr>
      <w:r w:rsidRPr="007E618C">
        <w:rPr>
          <w:b/>
          <w:color w:val="595959" w:themeColor="text1" w:themeTint="A6"/>
          <w:u w:val="single"/>
        </w:rPr>
        <w:t>Partenaires</w:t>
      </w:r>
    </w:p>
    <w:p w:rsidR="008034C5" w:rsidRPr="007E618C" w:rsidRDefault="008034C5" w:rsidP="008034C5">
      <w:pPr>
        <w:rPr>
          <w:b/>
          <w:color w:val="595959" w:themeColor="text1" w:themeTint="A6"/>
          <w:u w:val="single"/>
        </w:rPr>
      </w:pP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proofErr w:type="spellStart"/>
      <w:r w:rsidRPr="007E618C">
        <w:rPr>
          <w:color w:val="595959" w:themeColor="text1" w:themeTint="A6"/>
        </w:rPr>
        <w:t>Federal</w:t>
      </w:r>
      <w:proofErr w:type="spellEnd"/>
      <w:r w:rsidRPr="007E618C">
        <w:rPr>
          <w:color w:val="595959" w:themeColor="text1" w:themeTint="A6"/>
        </w:rPr>
        <w:t xml:space="preserve"> Real </w:t>
      </w:r>
      <w:proofErr w:type="spellStart"/>
      <w:r w:rsidRPr="007E618C">
        <w:rPr>
          <w:color w:val="595959" w:themeColor="text1" w:themeTint="A6"/>
        </w:rPr>
        <w:t>Estate</w:t>
      </w:r>
      <w:proofErr w:type="spellEnd"/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Commune de Molenbeek-Saint-Jean</w:t>
      </w: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BDU (Bruxelles Développement urbain)</w:t>
      </w: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Sociétés de logement public Volonté de partenariat pour les 9 appartements conventionnés</w:t>
      </w: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proofErr w:type="spellStart"/>
      <w:r w:rsidRPr="007E618C">
        <w:rPr>
          <w:color w:val="595959" w:themeColor="text1" w:themeTint="A6"/>
        </w:rPr>
        <w:t>Trevi</w:t>
      </w:r>
      <w:proofErr w:type="spellEnd"/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proofErr w:type="spellStart"/>
      <w:r w:rsidRPr="007E618C">
        <w:rPr>
          <w:color w:val="595959" w:themeColor="text1" w:themeTint="A6"/>
        </w:rPr>
        <w:t>Vulpia</w:t>
      </w:r>
      <w:proofErr w:type="spellEnd"/>
    </w:p>
    <w:p w:rsidR="008034C5" w:rsidRPr="007E618C" w:rsidRDefault="008034C5" w:rsidP="008034C5">
      <w:pPr>
        <w:pStyle w:val="Paragraphedeliste"/>
        <w:ind w:left="1440"/>
        <w:rPr>
          <w:color w:val="595959" w:themeColor="text1" w:themeTint="A6"/>
        </w:rPr>
      </w:pPr>
    </w:p>
    <w:p w:rsidR="008034C5" w:rsidRPr="007E618C" w:rsidRDefault="008034C5" w:rsidP="008034C5">
      <w:pPr>
        <w:pStyle w:val="Paragraphedeliste"/>
        <w:numPr>
          <w:ilvl w:val="0"/>
          <w:numId w:val="9"/>
        </w:numPr>
        <w:rPr>
          <w:b/>
          <w:color w:val="595959" w:themeColor="text1" w:themeTint="A6"/>
          <w:u w:val="single"/>
        </w:rPr>
      </w:pPr>
      <w:r w:rsidRPr="007E618C">
        <w:rPr>
          <w:b/>
          <w:color w:val="595959" w:themeColor="text1" w:themeTint="A6"/>
          <w:u w:val="single"/>
        </w:rPr>
        <w:t>Auteurs de projet</w:t>
      </w:r>
    </w:p>
    <w:p w:rsidR="008034C5" w:rsidRPr="007E618C" w:rsidRDefault="008034C5" w:rsidP="008034C5">
      <w:pPr>
        <w:rPr>
          <w:b/>
          <w:color w:val="595959" w:themeColor="text1" w:themeTint="A6"/>
          <w:u w:val="single"/>
        </w:rPr>
      </w:pP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Maître d’ouvrage : Société momentanée Burco et Thomas &amp; Piron Bâtiment</w:t>
      </w: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Entrepreneur général : Thomas &amp; Piron Bâtiment</w:t>
      </w: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Architectes : DDS (et Archi 2000 pour la maison de repos et de soins)</w:t>
      </w: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Bureau d’étude en stabilité : Mc Carré</w:t>
      </w: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Bureau d’étude en techniques spéciales et PEB : Six Engineering</w:t>
      </w:r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 xml:space="preserve">Contrôle technique : </w:t>
      </w:r>
      <w:proofErr w:type="spellStart"/>
      <w:r w:rsidRPr="007E618C">
        <w:rPr>
          <w:color w:val="595959" w:themeColor="text1" w:themeTint="A6"/>
        </w:rPr>
        <w:t>Seco</w:t>
      </w:r>
      <w:proofErr w:type="spellEnd"/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 xml:space="preserve">Acousticien : </w:t>
      </w:r>
      <w:proofErr w:type="spellStart"/>
      <w:r w:rsidRPr="007E618C">
        <w:rPr>
          <w:color w:val="595959" w:themeColor="text1" w:themeTint="A6"/>
        </w:rPr>
        <w:t>Venac</w:t>
      </w:r>
      <w:proofErr w:type="spellEnd"/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 xml:space="preserve">Coordinateur sécurité santé : </w:t>
      </w:r>
      <w:proofErr w:type="spellStart"/>
      <w:r w:rsidRPr="007E618C">
        <w:rPr>
          <w:color w:val="595959" w:themeColor="text1" w:themeTint="A6"/>
        </w:rPr>
        <w:t>Sixco</w:t>
      </w:r>
      <w:proofErr w:type="spellEnd"/>
    </w:p>
    <w:p w:rsidR="008034C5" w:rsidRPr="007E618C" w:rsidRDefault="008034C5" w:rsidP="008034C5">
      <w:pPr>
        <w:pStyle w:val="Paragraphedeliste"/>
        <w:numPr>
          <w:ilvl w:val="0"/>
          <w:numId w:val="6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Paysagiste : Esprit jardin</w:t>
      </w:r>
    </w:p>
    <w:p w:rsidR="008034C5" w:rsidRPr="007E618C" w:rsidRDefault="008034C5" w:rsidP="008034C5">
      <w:pPr>
        <w:pStyle w:val="Paragraphedeliste"/>
        <w:spacing w:after="200" w:line="276" w:lineRule="auto"/>
        <w:rPr>
          <w:color w:val="595959" w:themeColor="text1" w:themeTint="A6"/>
        </w:rPr>
      </w:pPr>
    </w:p>
    <w:p w:rsidR="005211A5" w:rsidRPr="007E618C" w:rsidRDefault="008034C5" w:rsidP="008034C5">
      <w:pPr>
        <w:pStyle w:val="Paragraphedeliste"/>
        <w:numPr>
          <w:ilvl w:val="0"/>
          <w:numId w:val="9"/>
        </w:numPr>
        <w:rPr>
          <w:b/>
          <w:color w:val="595959" w:themeColor="text1" w:themeTint="A6"/>
          <w:u w:val="single"/>
        </w:rPr>
      </w:pPr>
      <w:r w:rsidRPr="007E618C">
        <w:rPr>
          <w:b/>
          <w:color w:val="595959" w:themeColor="text1" w:themeTint="A6"/>
          <w:u w:val="single"/>
        </w:rPr>
        <w:t>Note technique </w:t>
      </w:r>
    </w:p>
    <w:p w:rsidR="008034C5" w:rsidRPr="007E618C" w:rsidRDefault="008034C5" w:rsidP="008034C5">
      <w:pPr>
        <w:pStyle w:val="Paragraphedeliste"/>
        <w:rPr>
          <w:b/>
          <w:color w:val="595959" w:themeColor="text1" w:themeTint="A6"/>
          <w:u w:val="single"/>
        </w:rPr>
      </w:pPr>
    </w:p>
    <w:p w:rsidR="005211A5" w:rsidRPr="007E618C" w:rsidRDefault="005211A5" w:rsidP="005211A5">
      <w:pPr>
        <w:pStyle w:val="Paragraphedeliste"/>
        <w:numPr>
          <w:ilvl w:val="0"/>
          <w:numId w:val="2"/>
        </w:numPr>
        <w:rPr>
          <w:color w:val="595959" w:themeColor="text1" w:themeTint="A6"/>
        </w:rPr>
      </w:pPr>
      <w:r w:rsidRPr="007E618C">
        <w:rPr>
          <w:color w:val="595959" w:themeColor="text1" w:themeTint="A6"/>
        </w:rPr>
        <w:t>Surface total à construire : environ 30.000 m²</w:t>
      </w:r>
    </w:p>
    <w:p w:rsidR="005211A5" w:rsidRPr="007E618C" w:rsidRDefault="008034C5" w:rsidP="005211A5">
      <w:pPr>
        <w:pStyle w:val="Paragraphedeliste"/>
        <w:numPr>
          <w:ilvl w:val="0"/>
          <w:numId w:val="2"/>
        </w:numPr>
        <w:rPr>
          <w:b/>
          <w:i/>
          <w:iCs/>
          <w:color w:val="595959" w:themeColor="text1" w:themeTint="A6"/>
        </w:rPr>
      </w:pPr>
      <w:r w:rsidRPr="007E618C">
        <w:rPr>
          <w:b/>
          <w:i/>
          <w:iCs/>
          <w:color w:val="595959" w:themeColor="text1" w:themeTint="A6"/>
        </w:rPr>
        <w:t xml:space="preserve">Lot C (Phase 1) – appartements  </w:t>
      </w:r>
      <w:r w:rsidRPr="007E618C">
        <w:rPr>
          <w:b/>
          <w:i/>
          <w:iCs/>
          <w:color w:val="595959" w:themeColor="text1" w:themeTint="A6"/>
        </w:rPr>
        <w:tab/>
        <w:t xml:space="preserve">En cours 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Surface brute 6.000 m² hors-sol et 2.500 m² sous-sol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63 appartements (du studio au 3 </w:t>
      </w:r>
      <w:proofErr w:type="spellStart"/>
      <w:r w:rsidRPr="007E618C">
        <w:rPr>
          <w:i/>
          <w:iCs/>
          <w:color w:val="595959" w:themeColor="text1" w:themeTint="A6"/>
        </w:rPr>
        <w:t>ch</w:t>
      </w:r>
      <w:proofErr w:type="spellEnd"/>
      <w:r w:rsidRPr="007E618C">
        <w:rPr>
          <w:i/>
          <w:iCs/>
          <w:color w:val="595959" w:themeColor="text1" w:themeTint="A6"/>
        </w:rPr>
        <w:t>)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64 emplacements de parking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63 caves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126 emplacements vélo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Stade d’avancement :</w:t>
      </w:r>
      <w:r w:rsidR="008310EF" w:rsidRPr="007E618C">
        <w:rPr>
          <w:i/>
          <w:iCs/>
          <w:color w:val="595959" w:themeColor="text1" w:themeTint="A6"/>
        </w:rPr>
        <w:t> Construction</w:t>
      </w:r>
      <w:r w:rsidRPr="007E618C">
        <w:rPr>
          <w:i/>
          <w:iCs/>
          <w:color w:val="595959" w:themeColor="text1" w:themeTint="A6"/>
        </w:rPr>
        <w:t xml:space="preserve"> 10/08/2015 au 10/06/2017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Prix moyen : 2.250 €/m²</w:t>
      </w:r>
    </w:p>
    <w:p w:rsidR="005211A5" w:rsidRPr="007E618C" w:rsidRDefault="005211A5" w:rsidP="005211A5">
      <w:pPr>
        <w:pStyle w:val="Paragraphedeliste"/>
        <w:numPr>
          <w:ilvl w:val="0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Lot D (Phase 2) – appartements: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Surface brute 6.000 m² hors-sol et 2.600 m² sous-sol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65 appartements (du studio au 3 </w:t>
      </w:r>
      <w:proofErr w:type="spellStart"/>
      <w:r w:rsidRPr="007E618C">
        <w:rPr>
          <w:i/>
          <w:iCs/>
          <w:color w:val="595959" w:themeColor="text1" w:themeTint="A6"/>
        </w:rPr>
        <w:t>ch</w:t>
      </w:r>
      <w:proofErr w:type="spellEnd"/>
      <w:r w:rsidRPr="007E618C">
        <w:rPr>
          <w:i/>
          <w:iCs/>
          <w:color w:val="595959" w:themeColor="text1" w:themeTint="A6"/>
        </w:rPr>
        <w:t>)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65 emplacements de parking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65 caves</w:t>
      </w:r>
    </w:p>
    <w:p w:rsidR="005211A5" w:rsidRPr="007E618C" w:rsidRDefault="001C37CB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65 </w:t>
      </w:r>
      <w:r w:rsidR="005211A5" w:rsidRPr="007E618C">
        <w:rPr>
          <w:i/>
          <w:iCs/>
          <w:color w:val="595959" w:themeColor="text1" w:themeTint="A6"/>
        </w:rPr>
        <w:t>emplacements vélo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Stade d’avancement :</w:t>
      </w:r>
      <w:proofErr w:type="gramStart"/>
      <w:r w:rsidRPr="007E618C">
        <w:rPr>
          <w:i/>
          <w:iCs/>
          <w:color w:val="595959" w:themeColor="text1" w:themeTint="A6"/>
        </w:rPr>
        <w:t>  en</w:t>
      </w:r>
      <w:proofErr w:type="gramEnd"/>
      <w:r w:rsidRPr="007E618C">
        <w:rPr>
          <w:i/>
          <w:iCs/>
          <w:color w:val="595959" w:themeColor="text1" w:themeTint="A6"/>
        </w:rPr>
        <w:t xml:space="preserve"> attente réception de permis (PU introduit le 17/11/2015)</w:t>
      </w:r>
    </w:p>
    <w:p w:rsidR="005211A5" w:rsidRPr="007E618C" w:rsidRDefault="005211A5" w:rsidP="005211A5">
      <w:pPr>
        <w:pStyle w:val="Paragraphedeliste"/>
        <w:numPr>
          <w:ilvl w:val="0"/>
          <w:numId w:val="2"/>
        </w:numPr>
        <w:rPr>
          <w:i/>
          <w:iCs/>
          <w:color w:val="595959" w:themeColor="text1" w:themeTint="A6"/>
          <w:lang w:val="en-GB"/>
        </w:rPr>
      </w:pPr>
      <w:r w:rsidRPr="007E618C">
        <w:rPr>
          <w:i/>
          <w:iCs/>
          <w:color w:val="595959" w:themeColor="text1" w:themeTint="A6"/>
        </w:rPr>
        <w:t>Lot E (Phase 3) – appartements</w:t>
      </w:r>
      <w:r w:rsidRPr="007E618C">
        <w:rPr>
          <w:i/>
          <w:iCs/>
          <w:color w:val="595959" w:themeColor="text1" w:themeTint="A6"/>
          <w:lang w:val="en-GB"/>
        </w:rPr>
        <w:t>: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Surface brute 6.000 m² hors-sol et 2.600 m² sous-sol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65 appartements (du studio au 3 </w:t>
      </w:r>
      <w:proofErr w:type="spellStart"/>
      <w:r w:rsidRPr="007E618C">
        <w:rPr>
          <w:i/>
          <w:iCs/>
          <w:color w:val="595959" w:themeColor="text1" w:themeTint="A6"/>
        </w:rPr>
        <w:t>ch</w:t>
      </w:r>
      <w:proofErr w:type="spellEnd"/>
      <w:r w:rsidRPr="007E618C">
        <w:rPr>
          <w:i/>
          <w:iCs/>
          <w:color w:val="595959" w:themeColor="text1" w:themeTint="A6"/>
        </w:rPr>
        <w:t>)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65 emplacements de parking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65 caves</w:t>
      </w:r>
    </w:p>
    <w:p w:rsidR="005211A5" w:rsidRPr="007E618C" w:rsidRDefault="001C37CB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65 </w:t>
      </w:r>
      <w:r w:rsidR="005211A5" w:rsidRPr="007E618C">
        <w:rPr>
          <w:i/>
          <w:iCs/>
          <w:color w:val="595959" w:themeColor="text1" w:themeTint="A6"/>
        </w:rPr>
        <w:t>emplacements vélo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Stade d’avancement :</w:t>
      </w:r>
      <w:proofErr w:type="gramStart"/>
      <w:r w:rsidRPr="007E618C">
        <w:rPr>
          <w:i/>
          <w:iCs/>
          <w:color w:val="595959" w:themeColor="text1" w:themeTint="A6"/>
        </w:rPr>
        <w:t>  en</w:t>
      </w:r>
      <w:proofErr w:type="gramEnd"/>
      <w:r w:rsidRPr="007E618C">
        <w:rPr>
          <w:i/>
          <w:iCs/>
          <w:color w:val="595959" w:themeColor="text1" w:themeTint="A6"/>
        </w:rPr>
        <w:t xml:space="preserve"> attente réception de permis (PU introduit le 17/11/2015)</w:t>
      </w:r>
    </w:p>
    <w:p w:rsidR="005211A5" w:rsidRPr="007E618C" w:rsidRDefault="005211A5" w:rsidP="005211A5">
      <w:pPr>
        <w:pStyle w:val="Paragraphedeliste"/>
        <w:numPr>
          <w:ilvl w:val="0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Lot B (Phase 4) – Maison de repos et de soins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Surface brute 8.000 m² hors-sol et 3.000 m² sous-sol</w:t>
      </w:r>
    </w:p>
    <w:p w:rsidR="005211A5" w:rsidRPr="007E618C" w:rsidRDefault="0065426E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117 </w:t>
      </w:r>
      <w:r w:rsidR="005211A5" w:rsidRPr="007E618C">
        <w:rPr>
          <w:i/>
          <w:iCs/>
          <w:color w:val="595959" w:themeColor="text1" w:themeTint="A6"/>
        </w:rPr>
        <w:t>chambres</w:t>
      </w:r>
    </w:p>
    <w:p w:rsidR="005211A5" w:rsidRPr="007E618C" w:rsidRDefault="0065426E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24</w:t>
      </w:r>
      <w:r w:rsidR="005211A5" w:rsidRPr="007E618C">
        <w:rPr>
          <w:i/>
          <w:iCs/>
          <w:color w:val="595959" w:themeColor="text1" w:themeTint="A6"/>
        </w:rPr>
        <w:t xml:space="preserve"> suites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30 emplacements de parking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Stade d’avancement :   introduction du PU prévue pour fin novembre 2015</w:t>
      </w:r>
    </w:p>
    <w:p w:rsidR="005211A5" w:rsidRPr="007E618C" w:rsidRDefault="005211A5" w:rsidP="005211A5">
      <w:pPr>
        <w:pStyle w:val="Paragraphedeliste"/>
        <w:numPr>
          <w:ilvl w:val="0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Lot A (Phase 5) – appartements et crèche: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Surface brute 2.750 m² hors-sol 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20 appartements (du studio au 3 </w:t>
      </w:r>
      <w:proofErr w:type="spellStart"/>
      <w:r w:rsidRPr="007E618C">
        <w:rPr>
          <w:i/>
          <w:iCs/>
          <w:color w:val="595959" w:themeColor="text1" w:themeTint="A6"/>
        </w:rPr>
        <w:t>ch</w:t>
      </w:r>
      <w:proofErr w:type="spellEnd"/>
      <w:r w:rsidRPr="007E618C">
        <w:rPr>
          <w:i/>
          <w:iCs/>
          <w:color w:val="595959" w:themeColor="text1" w:themeTint="A6"/>
        </w:rPr>
        <w:t>)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1 crèche au </w:t>
      </w:r>
      <w:proofErr w:type="spellStart"/>
      <w:r w:rsidRPr="007E618C">
        <w:rPr>
          <w:i/>
          <w:iCs/>
          <w:color w:val="595959" w:themeColor="text1" w:themeTint="A6"/>
        </w:rPr>
        <w:t>rdc</w:t>
      </w:r>
      <w:proofErr w:type="spellEnd"/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Stade d’avancement :</w:t>
      </w:r>
      <w:proofErr w:type="gramStart"/>
      <w:r w:rsidRPr="007E618C">
        <w:rPr>
          <w:i/>
          <w:iCs/>
          <w:color w:val="595959" w:themeColor="text1" w:themeTint="A6"/>
        </w:rPr>
        <w:t>  En</w:t>
      </w:r>
      <w:proofErr w:type="gramEnd"/>
      <w:r w:rsidRPr="007E618C">
        <w:rPr>
          <w:i/>
          <w:iCs/>
          <w:color w:val="595959" w:themeColor="text1" w:themeTint="A6"/>
        </w:rPr>
        <w:t xml:space="preserve"> attente</w:t>
      </w:r>
    </w:p>
    <w:p w:rsidR="005211A5" w:rsidRPr="007E618C" w:rsidRDefault="005211A5" w:rsidP="005211A5">
      <w:pPr>
        <w:pStyle w:val="Paragraphedeliste"/>
        <w:numPr>
          <w:ilvl w:val="0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Lot G (Phase 6) – appartements: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Surface brute 2.750 m² hors-sol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 xml:space="preserve">25 appartements (du studio au 3 </w:t>
      </w:r>
      <w:proofErr w:type="spellStart"/>
      <w:r w:rsidRPr="007E618C">
        <w:rPr>
          <w:i/>
          <w:iCs/>
          <w:color w:val="595959" w:themeColor="text1" w:themeTint="A6"/>
        </w:rPr>
        <w:t>ch</w:t>
      </w:r>
      <w:proofErr w:type="spellEnd"/>
      <w:r w:rsidRPr="007E618C">
        <w:rPr>
          <w:i/>
          <w:iCs/>
          <w:color w:val="595959" w:themeColor="text1" w:themeTint="A6"/>
        </w:rPr>
        <w:t>)</w:t>
      </w:r>
    </w:p>
    <w:p w:rsidR="005211A5" w:rsidRPr="007E618C" w:rsidRDefault="005211A5" w:rsidP="005211A5">
      <w:pPr>
        <w:pStyle w:val="Paragraphedeliste"/>
        <w:numPr>
          <w:ilvl w:val="1"/>
          <w:numId w:val="2"/>
        </w:numPr>
        <w:rPr>
          <w:i/>
          <w:iCs/>
          <w:color w:val="595959" w:themeColor="text1" w:themeTint="A6"/>
        </w:rPr>
      </w:pPr>
      <w:r w:rsidRPr="007E618C">
        <w:rPr>
          <w:i/>
          <w:iCs/>
          <w:color w:val="595959" w:themeColor="text1" w:themeTint="A6"/>
        </w:rPr>
        <w:t>Stade d’avancement :</w:t>
      </w:r>
      <w:proofErr w:type="gramStart"/>
      <w:r w:rsidRPr="007E618C">
        <w:rPr>
          <w:i/>
          <w:iCs/>
          <w:color w:val="595959" w:themeColor="text1" w:themeTint="A6"/>
        </w:rPr>
        <w:t>  En</w:t>
      </w:r>
      <w:proofErr w:type="gramEnd"/>
      <w:r w:rsidRPr="007E618C">
        <w:rPr>
          <w:i/>
          <w:iCs/>
          <w:color w:val="595959" w:themeColor="text1" w:themeTint="A6"/>
        </w:rPr>
        <w:t xml:space="preserve"> attente</w:t>
      </w:r>
    </w:p>
    <w:p w:rsidR="005211A5" w:rsidRPr="007E618C" w:rsidRDefault="005211A5" w:rsidP="005211A5">
      <w:pPr>
        <w:rPr>
          <w:color w:val="595959" w:themeColor="text1" w:themeTint="A6"/>
        </w:rPr>
      </w:pPr>
    </w:p>
    <w:p w:rsidR="001B406B" w:rsidRPr="007E618C" w:rsidRDefault="001B406B">
      <w:pPr>
        <w:rPr>
          <w:color w:val="595959" w:themeColor="text1" w:themeTint="A6"/>
        </w:rPr>
      </w:pPr>
    </w:p>
    <w:sectPr w:rsidR="001B406B" w:rsidRPr="007E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274"/>
    <w:multiLevelType w:val="hybridMultilevel"/>
    <w:tmpl w:val="9B78F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424"/>
    <w:multiLevelType w:val="hybridMultilevel"/>
    <w:tmpl w:val="20967B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10A7"/>
    <w:multiLevelType w:val="hybridMultilevel"/>
    <w:tmpl w:val="148A45EE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D6568A"/>
    <w:multiLevelType w:val="hybridMultilevel"/>
    <w:tmpl w:val="52AAB9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2964"/>
    <w:multiLevelType w:val="hybridMultilevel"/>
    <w:tmpl w:val="2E0C12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620A"/>
    <w:multiLevelType w:val="hybridMultilevel"/>
    <w:tmpl w:val="DB3E6D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78D8"/>
    <w:multiLevelType w:val="hybridMultilevel"/>
    <w:tmpl w:val="E3560E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6210B"/>
    <w:multiLevelType w:val="hybridMultilevel"/>
    <w:tmpl w:val="94343B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2914"/>
    <w:multiLevelType w:val="hybridMultilevel"/>
    <w:tmpl w:val="3CA059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A5"/>
    <w:rsid w:val="001B406B"/>
    <w:rsid w:val="001C37CB"/>
    <w:rsid w:val="00401B6F"/>
    <w:rsid w:val="00503015"/>
    <w:rsid w:val="005211A5"/>
    <w:rsid w:val="0065426E"/>
    <w:rsid w:val="006769B3"/>
    <w:rsid w:val="0077486D"/>
    <w:rsid w:val="007E618C"/>
    <w:rsid w:val="008034C5"/>
    <w:rsid w:val="008250E7"/>
    <w:rsid w:val="008310EF"/>
    <w:rsid w:val="00CB41A8"/>
    <w:rsid w:val="00C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A2E-4AAD-40E1-A610-D10B4105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A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1A5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6542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542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426E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2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26E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8ED8-EA25-42D4-9162-6F2F316F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Dumortier</dc:creator>
  <cp:lastModifiedBy>Cécile Namur</cp:lastModifiedBy>
  <cp:revision>4</cp:revision>
  <cp:lastPrinted>2015-11-04T08:38:00Z</cp:lastPrinted>
  <dcterms:created xsi:type="dcterms:W3CDTF">2015-11-10T08:40:00Z</dcterms:created>
  <dcterms:modified xsi:type="dcterms:W3CDTF">2015-11-19T08:49:00Z</dcterms:modified>
</cp:coreProperties>
</file>