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center"/>
        <w:rPr>
          <w:b w:val="1"/>
          <w:sz w:val="26"/>
          <w:szCs w:val="26"/>
        </w:rPr>
      </w:pPr>
      <w:r w:rsidDel="00000000" w:rsidR="00000000" w:rsidRPr="00000000">
        <w:rPr>
          <w:b w:val="1"/>
          <w:sz w:val="26"/>
          <w:szCs w:val="26"/>
          <w:rtl w:val="0"/>
        </w:rPr>
        <w:t xml:space="preserve">SEC Newgate Group recibe el premio a la agencia global de asuntos públicos y comunicaciones corporativas del año de PRovoke media</w:t>
      </w:r>
    </w:p>
    <w:p w:rsidR="00000000" w:rsidDel="00000000" w:rsidP="00000000" w:rsidRDefault="00000000" w:rsidRPr="00000000" w14:paraId="00000002">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3">
      <w:pPr>
        <w:widowControl w:val="0"/>
        <w:numPr>
          <w:ilvl w:val="0"/>
          <w:numId w:val="1"/>
        </w:numPr>
        <w:spacing w:line="276" w:lineRule="auto"/>
        <w:ind w:left="720" w:hanging="360"/>
        <w:jc w:val="both"/>
        <w:rPr>
          <w:i w:val="1"/>
          <w:sz w:val="20"/>
          <w:szCs w:val="20"/>
        </w:rPr>
      </w:pPr>
      <w:r w:rsidDel="00000000" w:rsidR="00000000" w:rsidRPr="00000000">
        <w:rPr>
          <w:i w:val="1"/>
          <w:sz w:val="20"/>
          <w:szCs w:val="20"/>
          <w:rtl w:val="0"/>
        </w:rPr>
        <w:t xml:space="preserve">El grupo global de SEC Newgate recibió el premio a la agencia de asuntos públicos y comunicaciones corporativas del año.</w:t>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Esta es la primera vez que SEC Newgate Group recibe este destacado premio de </w:t>
      </w:r>
      <w:r w:rsidDel="00000000" w:rsidR="00000000" w:rsidRPr="00000000">
        <w:rPr>
          <w:i w:val="1"/>
          <w:sz w:val="20"/>
          <w:szCs w:val="20"/>
          <w:rtl w:val="0"/>
        </w:rPr>
        <w:t xml:space="preserve">PRovoke </w:t>
      </w:r>
      <w:r w:rsidDel="00000000" w:rsidR="00000000" w:rsidRPr="00000000">
        <w:rPr>
          <w:i w:val="1"/>
          <w:sz w:val="20"/>
          <w:szCs w:val="20"/>
          <w:rtl w:val="0"/>
        </w:rPr>
        <w:t xml:space="preserve">como Agencia Global de Asuntos Públicos / Comunicaciones Corporativas del año.</w:t>
      </w:r>
    </w:p>
    <w:p w:rsidR="00000000" w:rsidDel="00000000" w:rsidP="00000000" w:rsidRDefault="00000000" w:rsidRPr="00000000" w14:paraId="00000005">
      <w:pPr>
        <w:widowControl w:val="0"/>
        <w:spacing w:line="276" w:lineRule="auto"/>
        <w:jc w:val="left"/>
        <w:rPr>
          <w:b w:val="1"/>
        </w:rPr>
      </w:pPr>
      <w:r w:rsidDel="00000000" w:rsidR="00000000" w:rsidRPr="00000000">
        <w:rPr>
          <w:rtl w:val="0"/>
        </w:rPr>
      </w:r>
    </w:p>
    <w:p w:rsidR="00000000" w:rsidDel="00000000" w:rsidP="00000000" w:rsidRDefault="00000000" w:rsidRPr="00000000" w14:paraId="00000006">
      <w:pPr>
        <w:widowControl w:val="0"/>
        <w:spacing w:line="276" w:lineRule="auto"/>
        <w:jc w:val="both"/>
        <w:rPr/>
      </w:pPr>
      <w:r w:rsidDel="00000000" w:rsidR="00000000" w:rsidRPr="00000000">
        <w:rPr>
          <w:b w:val="1"/>
          <w:rtl w:val="0"/>
        </w:rPr>
        <w:t xml:space="preserve">Ciudad de México, 30 de noviembre de 2023. – SEC Newgate Group </w:t>
      </w:r>
      <w:r w:rsidDel="00000000" w:rsidR="00000000" w:rsidRPr="00000000">
        <w:rPr>
          <w:rtl w:val="0"/>
        </w:rPr>
        <w:t xml:space="preserve">recibió el premio a la Agencia Global de Asuntos Públicos y Comunicaciones Corporativas del año otorgado por PRovoke media. </w:t>
      </w:r>
    </w:p>
    <w:p w:rsidR="00000000" w:rsidDel="00000000" w:rsidP="00000000" w:rsidRDefault="00000000" w:rsidRPr="00000000" w14:paraId="00000007">
      <w:pPr>
        <w:widowControl w:val="0"/>
        <w:spacing w:line="276" w:lineRule="auto"/>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Desde la ciudad de Washington D.C., en Estados Unidos, el grupo global recibió dicho galardón en manos del CEO, Fiorenzo Tagliabue, quien compartió la celebración con una delegación de colegas de SEC Newgate Group y su socio Jim Papa de Global Strategy Group, Irene Ferrario (Senior Marketing Manager de SEC Newgate) y Jade Floyd (SVP Comms and Public Affairs, Global Strategy Group).</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"Este es un logro realmente destacado para nosotros y un maravilloso reconocimiento al trabajo excepcional de nuestros equipos compuestos por 1.300 colegas en las oficinas de SEC Newgate Group, desde Nueva York hasta Milán, desde Londres hasta Bogotá, desde París hasta Sídney. Aunque hemos sido finalistas en varias categorías a lo largo de los años, esta es la primera vez que SEC Newgate Group recibe este destacado premio como Agencia Global de Asuntos Públicos / Comunicaciones Corporativas del año por PRovoke Media"</w:t>
      </w:r>
      <w:r w:rsidDel="00000000" w:rsidR="00000000" w:rsidRPr="00000000">
        <w:rPr>
          <w:rtl w:val="0"/>
        </w:rPr>
        <w:t xml:space="preserve">, comentó Fiorenzo Tagliabue, CEO de SEC Newgate.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distinción se extiende a todas las entidades del grupo global que conforma SEC Newgate, incluyendo Global Strategy Group, SEC Newgate UK, SEC Newgate Australia, SEC Newgate Italia, la agencia de comunicación estratégica </w:t>
      </w:r>
      <w:r w:rsidDel="00000000" w:rsidR="00000000" w:rsidRPr="00000000">
        <w:rPr>
          <w:b w:val="1"/>
          <w:i w:val="1"/>
          <w:rtl w:val="0"/>
        </w:rPr>
        <w:t xml:space="preserve">another</w:t>
      </w:r>
      <w:r w:rsidDel="00000000" w:rsidR="00000000" w:rsidRPr="00000000">
        <w:rPr>
          <w:i w:val="1"/>
          <w:rtl w:val="0"/>
        </w:rPr>
        <w:t xml:space="preserve"> </w:t>
      </w:r>
      <w:r w:rsidDel="00000000" w:rsidR="00000000" w:rsidRPr="00000000">
        <w:rPr>
          <w:rtl w:val="0"/>
        </w:rPr>
        <w:t xml:space="preserve">que tiene la mayor oferta en América Latina</w:t>
      </w:r>
      <w:r w:rsidDel="00000000" w:rsidR="00000000" w:rsidRPr="00000000">
        <w:rPr>
          <w:i w:val="1"/>
          <w:rtl w:val="0"/>
        </w:rPr>
        <w:t xml:space="preserve">,</w:t>
      </w:r>
      <w:r w:rsidDel="00000000" w:rsidR="00000000" w:rsidRPr="00000000">
        <w:rPr>
          <w:rtl w:val="0"/>
        </w:rPr>
        <w:t xml:space="preserve"> CLAI - Miembro de SEC Newgate, SEC Newgate EU, SEC Newgate Colombia, ORCA Affairs GmbH, SEC Newgate Deutschland GmbH, SEC Newgate Greater China, SEC Newgate Middle East, SEC Newgate CEE, SEC Newgate Singapore, SEC Newgate Spain Consultores de Comunicación y Wepublic.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"Queremos felicitar a todos nuestros compañeros de SEC Newgate y, en especial, a nuestro CEO, Fiorenzo Tagliabue"</w:t>
      </w:r>
      <w:r w:rsidDel="00000000" w:rsidR="00000000" w:rsidRPr="00000000">
        <w:rPr>
          <w:rtl w:val="0"/>
        </w:rPr>
        <w:t xml:space="preserve">, dijo </w:t>
      </w:r>
      <w:r w:rsidDel="00000000" w:rsidR="00000000" w:rsidRPr="00000000">
        <w:rPr>
          <w:b w:val="1"/>
          <w:rtl w:val="0"/>
        </w:rPr>
        <w:t xml:space="preserve">Jaspar Eyears, CEO de</w:t>
      </w:r>
      <w:r w:rsidDel="00000000" w:rsidR="00000000" w:rsidRPr="00000000">
        <w:rPr>
          <w:rtl w:val="0"/>
        </w:rPr>
        <w:t xml:space="preserve"> </w:t>
      </w:r>
      <w:r w:rsidDel="00000000" w:rsidR="00000000" w:rsidRPr="00000000">
        <w:rPr>
          <w:b w:val="1"/>
          <w:i w:val="1"/>
          <w:rtl w:val="0"/>
        </w:rPr>
        <w:t xml:space="preserve">another</w:t>
      </w:r>
      <w:r w:rsidDel="00000000" w:rsidR="00000000" w:rsidRPr="00000000">
        <w:rPr>
          <w:rtl w:val="0"/>
        </w:rPr>
        <w:t xml:space="preserve">, la agencia de comunicación estratégica que se asoció con SEC Newgate el año pasado.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sz w:val="24"/>
          <w:szCs w:val="24"/>
        </w:rPr>
      </w:pPr>
      <w:r w:rsidDel="00000000" w:rsidR="00000000" w:rsidRPr="00000000">
        <w:rPr>
          <w:rtl w:val="0"/>
        </w:rPr>
        <w:t xml:space="preserve">La asociación entre another y SEC Newgate, establecida el año pasado, representa una oportunidad significativa para ambos grupos al abrir nuevos mercados y servicios, brindando posibilidades de expansión y crecimiento en los próximos años.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Este reconocimiento refleja el compromiso continuo de SEC Newgate con la excelencia en asuntos públicos y comunicaciones corporativas a nivel global, consolidando su posición como líder en la industria.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w:t>
      </w:r>
    </w:p>
    <w:p w:rsidR="00000000" w:rsidDel="00000000" w:rsidP="00000000" w:rsidRDefault="00000000" w:rsidRPr="00000000" w14:paraId="00000015">
      <w:pPr>
        <w:widowControl w:val="0"/>
        <w:spacing w:line="276" w:lineRule="auto"/>
        <w:jc w:val="both"/>
        <w:rPr/>
      </w:pPr>
      <w:r w:rsidDel="00000000" w:rsidR="00000000" w:rsidRPr="00000000">
        <w:rPr>
          <w:rtl w:val="0"/>
        </w:rPr>
      </w:r>
    </w:p>
    <w:p w:rsidR="00000000" w:rsidDel="00000000" w:rsidP="00000000" w:rsidRDefault="00000000" w:rsidRPr="00000000" w14:paraId="00000016">
      <w:pPr>
        <w:jc w:val="both"/>
        <w:rPr>
          <w:b w:val="1"/>
          <w:sz w:val="18"/>
          <w:szCs w:val="18"/>
        </w:rPr>
      </w:pPr>
      <w:r w:rsidDel="00000000" w:rsidR="00000000" w:rsidRPr="00000000">
        <w:rPr>
          <w:b w:val="1"/>
          <w:sz w:val="18"/>
          <w:szCs w:val="18"/>
          <w:rtl w:val="0"/>
        </w:rPr>
        <w:t xml:space="preserve">Acerca del Grupo SEC Newgate:</w:t>
      </w:r>
    </w:p>
    <w:p w:rsidR="00000000" w:rsidDel="00000000" w:rsidP="00000000" w:rsidRDefault="00000000" w:rsidRPr="00000000" w14:paraId="00000017">
      <w:pPr>
        <w:jc w:val="both"/>
        <w:rPr>
          <w:sz w:val="18"/>
          <w:szCs w:val="18"/>
        </w:rPr>
      </w:pP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SEC Newgate es un grupo global de comunicaciones estratégicas y gestión de reputación impulsado por insights e investigación, con sede en Milán, Italia. Opera en la intersección de los negocios, la política, las comunidades, los mercados y los medios para brindar resultados positivos a clientes y comunidades en un mundo conectado, donde las empresas necesitan cada vez más socios de comunicación con raíces locales sólidas, alcance global y un verdadero espíritu emprendedor, impulsado por personas talentosas.</w:t>
      </w:r>
    </w:p>
    <w:p w:rsidR="00000000" w:rsidDel="00000000" w:rsidP="00000000" w:rsidRDefault="00000000" w:rsidRPr="00000000" w14:paraId="00000019">
      <w:pPr>
        <w:jc w:val="both"/>
        <w:rPr>
          <w:sz w:val="18"/>
          <w:szCs w:val="18"/>
        </w:rPr>
      </w:pPr>
      <w:r w:rsidDel="00000000" w:rsidR="00000000" w:rsidRPr="00000000">
        <w:rPr>
          <w:rtl w:val="0"/>
        </w:rPr>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El equipo de SEC Newgate opera de manera fluida en cinco continentes, ayudando a los clientes a demostrar claramente su propósito y valor, brindando asesoramiento y apoyo las 24 horas del día, implementando campañas a nivel local, nacional e internacional.</w:t>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Más información está disponible en el sitio web del Grupo:</w:t>
      </w:r>
      <w:hyperlink r:id="rId6">
        <w:r w:rsidDel="00000000" w:rsidR="00000000" w:rsidRPr="00000000">
          <w:rPr>
            <w:color w:val="1155cc"/>
            <w:sz w:val="18"/>
            <w:szCs w:val="18"/>
            <w:u w:val="single"/>
            <w:rtl w:val="0"/>
          </w:rPr>
          <w:t xml:space="preserve"> www.secnewgate.com</w:t>
        </w:r>
      </w:hyperlink>
      <w:r w:rsidDel="00000000" w:rsidR="00000000" w:rsidRPr="00000000">
        <w:rPr>
          <w:sz w:val="18"/>
          <w:szCs w:val="18"/>
          <w:rtl w:val="0"/>
        </w:rPr>
        <w:t xml:space="preserve"> </w:t>
      </w:r>
    </w:p>
    <w:p w:rsidR="00000000" w:rsidDel="00000000" w:rsidP="00000000" w:rsidRDefault="00000000" w:rsidRPr="00000000" w14:paraId="0000001D">
      <w:pPr>
        <w:jc w:val="both"/>
        <w:rPr>
          <w:color w:val="d1d5db"/>
          <w:sz w:val="18"/>
          <w:szCs w:val="18"/>
        </w:rPr>
      </w:pPr>
      <w:r w:rsidDel="00000000" w:rsidR="00000000" w:rsidRPr="00000000">
        <w:rPr>
          <w:sz w:val="18"/>
          <w:szCs w:val="18"/>
          <w:rtl w:val="0"/>
        </w:rPr>
        <w:t xml:space="preserve">Sigue a SEC Newgate en  </w:t>
      </w:r>
      <w:hyperlink r:id="rId7">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 </w:t>
      </w:r>
      <w:hyperlink r:id="rId8">
        <w:r w:rsidDel="00000000" w:rsidR="00000000" w:rsidRPr="00000000">
          <w:rPr>
            <w:color w:val="16093e"/>
            <w:sz w:val="18"/>
            <w:szCs w:val="18"/>
            <w:u w:val="single"/>
            <w:rtl w:val="0"/>
          </w:rPr>
          <w:t xml:space="preserve">Twitter</w:t>
        </w:r>
      </w:hyperlink>
      <w:r w:rsidDel="00000000" w:rsidR="00000000" w:rsidRPr="00000000">
        <w:rPr>
          <w:sz w:val="18"/>
          <w:szCs w:val="18"/>
          <w:rtl w:val="0"/>
        </w:rPr>
        <w:t xml:space="preserve"> / </w:t>
      </w:r>
      <w:hyperlink r:id="rId9">
        <w:r w:rsidDel="00000000" w:rsidR="00000000" w:rsidRPr="00000000">
          <w:rPr>
            <w:color w:val="0000ff"/>
            <w:sz w:val="18"/>
            <w:szCs w:val="18"/>
            <w:u w:val="single"/>
            <w:rtl w:val="0"/>
          </w:rPr>
          <w:t xml:space="preserve">Instagram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widowControl w:val="0"/>
        <w:spacing w:line="276" w:lineRule="auto"/>
        <w:jc w:val="both"/>
        <w:rPr>
          <w:b w:val="1"/>
          <w:sz w:val="18"/>
          <w:szCs w:val="18"/>
        </w:rPr>
      </w:pPr>
      <w:r w:rsidDel="00000000" w:rsidR="00000000" w:rsidRPr="00000000">
        <w:rPr>
          <w:b w:val="1"/>
          <w:sz w:val="18"/>
          <w:szCs w:val="18"/>
          <w:rtl w:val="0"/>
        </w:rPr>
        <w:t xml:space="preserve">Sobre another </w:t>
      </w:r>
    </w:p>
    <w:p w:rsidR="00000000" w:rsidDel="00000000" w:rsidP="00000000" w:rsidRDefault="00000000" w:rsidRPr="00000000" w14:paraId="00000020">
      <w:pPr>
        <w:widowControl w:val="0"/>
        <w:spacing w:line="276" w:lineRule="auto"/>
        <w:jc w:val="both"/>
        <w:rPr>
          <w:sz w:val="18"/>
          <w:szCs w:val="18"/>
        </w:rPr>
      </w:pPr>
      <w:r w:rsidDel="00000000" w:rsidR="00000000" w:rsidRPr="00000000">
        <w:rPr>
          <w:sz w:val="18"/>
          <w:szCs w:val="18"/>
          <w:rtl w:val="0"/>
        </w:rPr>
        <w:t xml:space="preserve">Fundada en 2004 por Jaspar Eyears y Rodrigo Peñafiel, </w:t>
      </w:r>
      <w:hyperlink r:id="rId10">
        <w:r w:rsidDel="00000000" w:rsidR="00000000" w:rsidRPr="00000000">
          <w:rPr>
            <w:b w:val="1"/>
            <w:color w:val="1155cc"/>
            <w:sz w:val="18"/>
            <w:szCs w:val="18"/>
            <w:u w:val="single"/>
            <w:rtl w:val="0"/>
          </w:rPr>
          <w:t xml:space="preserve">another</w:t>
        </w:r>
      </w:hyperlink>
      <w:r w:rsidDel="00000000" w:rsidR="00000000" w:rsidRPr="00000000">
        <w:rPr>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8"/>
          <w:szCs w:val="18"/>
          <w:rtl w:val="0"/>
        </w:rPr>
        <w:t xml:space="preserve">another</w:t>
      </w:r>
      <w:r w:rsidDel="00000000" w:rsidR="00000000" w:rsidRPr="00000000">
        <w:rPr>
          <w:sz w:val="18"/>
          <w:szCs w:val="18"/>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8"/>
          <w:szCs w:val="18"/>
          <w:rtl w:val="0"/>
        </w:rPr>
        <w:t xml:space="preserve">another</w:t>
      </w:r>
      <w:r w:rsidDel="00000000" w:rsidR="00000000" w:rsidRPr="00000000">
        <w:rPr>
          <w:sz w:val="18"/>
          <w:szCs w:val="18"/>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rsidR="00000000" w:rsidDel="00000000" w:rsidP="00000000" w:rsidRDefault="00000000" w:rsidRPr="00000000" w14:paraId="00000021">
      <w:pPr>
        <w:widowControl w:val="0"/>
        <w:spacing w:line="276" w:lineRule="auto"/>
        <w:jc w:val="both"/>
        <w:rPr>
          <w:sz w:val="18"/>
          <w:szCs w:val="18"/>
        </w:rPr>
      </w:pPr>
      <w:r w:rsidDel="00000000" w:rsidR="00000000" w:rsidRPr="00000000">
        <w:rPr>
          <w:rtl w:val="0"/>
        </w:rPr>
      </w:r>
    </w:p>
    <w:p w:rsidR="00000000" w:rsidDel="00000000" w:rsidP="00000000" w:rsidRDefault="00000000" w:rsidRPr="00000000" w14:paraId="00000022">
      <w:pPr>
        <w:widowControl w:val="0"/>
        <w:spacing w:line="276" w:lineRule="auto"/>
        <w:jc w:val="both"/>
        <w:rPr/>
      </w:pPr>
      <w:r w:rsidDel="00000000" w:rsidR="00000000" w:rsidRPr="00000000">
        <w:rPr>
          <w:sz w:val="18"/>
          <w:szCs w:val="18"/>
          <w:rtl w:val="0"/>
        </w:rPr>
        <w:t xml:space="preserve">Para más información visita </w:t>
      </w:r>
      <w:hyperlink r:id="rId11">
        <w:r w:rsidDel="00000000" w:rsidR="00000000" w:rsidRPr="00000000">
          <w:rPr>
            <w:color w:val="1155cc"/>
            <w:sz w:val="18"/>
            <w:szCs w:val="18"/>
            <w:u w:val="single"/>
            <w:rtl w:val="0"/>
          </w:rPr>
          <w:t xml:space="preserve">another.co</w:t>
        </w:r>
      </w:hyperlink>
      <w:r w:rsidDel="00000000" w:rsidR="00000000" w:rsidRPr="00000000">
        <w:rPr>
          <w:sz w:val="18"/>
          <w:szCs w:val="18"/>
          <w:rtl w:val="0"/>
        </w:rPr>
        <w:t xml:space="preserve"> y síguelos en sus redes sociales: </w:t>
      </w:r>
      <w:hyperlink r:id="rId12">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13">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14">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5">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drawing>
        <wp:inline distB="0" distT="0" distL="114300" distR="114300">
          <wp:extent cx="1961346" cy="95924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1346" cy="9592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 TargetMode="External"/><Relationship Id="rId10" Type="http://schemas.openxmlformats.org/officeDocument/2006/relationships/hyperlink" Target="https://another.co/?utm_source=ESG%2BPanam%C3%A1&amp;utm_medium=ESG%2BPanam%C3%A1&amp;utm_campaign=ESG%2BPanam%C3%A1&amp;utm_id=ESG%2BPanam%C3%A1"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ec_newgate_spa/?igshid=YmMyMTA2M2Y%3D"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secnewgate.com/" TargetMode="External"/><Relationship Id="rId7" Type="http://schemas.openxmlformats.org/officeDocument/2006/relationships/hyperlink" Target="https://www.linkedin.com/company/sec-newgate-group/" TargetMode="External"/><Relationship Id="rId8" Type="http://schemas.openxmlformats.org/officeDocument/2006/relationships/hyperlink" Target="https://twitter.com/SECNewgateSp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