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238250" cy="1238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Precision Ribbon Sound in Modular Form: AEA Launches RPQ503 Preamp and Snaqbox Chassis</w:t>
      </w:r>
    </w:p>
    <w:p w:rsidR="00000000" w:rsidDel="00000000" w:rsidP="00000000" w:rsidRDefault="00000000" w:rsidRPr="00000000" w14:paraId="00000004">
      <w:pPr>
        <w:spacing w:line="288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High-gain performance and flexible EQ for studio, stage, and mobile rigs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Pasadena, California, August 14, 2025 —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AEA</w:t>
        </w:r>
      </w:hyperlink>
      <w:r w:rsidDel="00000000" w:rsidR="00000000" w:rsidRPr="00000000">
        <w:rPr>
          <w:b w:val="1"/>
          <w:rtl w:val="0"/>
        </w:rPr>
        <w:t xml:space="preserve"> today announces the launch of the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RPQ503</w:t>
        </w:r>
      </w:hyperlink>
      <w:r w:rsidDel="00000000" w:rsidR="00000000" w:rsidRPr="00000000">
        <w:rPr>
          <w:b w:val="1"/>
          <w:rtl w:val="0"/>
        </w:rPr>
        <w:t xml:space="preserve">, a 500 Series preamp and EQ module built on the third-generation circuitry of its celebrated </w:t>
      </w:r>
      <w:r w:rsidDel="00000000" w:rsidR="00000000" w:rsidRPr="00000000">
        <w:rPr>
          <w:b w:val="1"/>
          <w:rtl w:val="0"/>
        </w:rPr>
        <w:t xml:space="preserve">RPQ3</w:t>
      </w:r>
      <w:r w:rsidDel="00000000" w:rsidR="00000000" w:rsidRPr="00000000">
        <w:rPr>
          <w:b w:val="1"/>
          <w:rtl w:val="0"/>
        </w:rPr>
        <w:t xml:space="preserve">. Drawing on over 45 years of ribbon mic expertise and nearly three decades of in-house manufacturing, the RPQ503 delivers the rich, natural sound and clean, high-gain performance that engineers and artists have come to expect from AEA. Launching alongside the RPQ503 is the </w:t>
      </w:r>
      <w:r w:rsidDel="00000000" w:rsidR="00000000" w:rsidRPr="00000000">
        <w:rPr>
          <w:b w:val="1"/>
          <w:rtl w:val="0"/>
        </w:rPr>
        <w:t xml:space="preserve">AEA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Snaqbox</w:t>
        </w:r>
      </w:hyperlink>
      <w:r w:rsidDel="00000000" w:rsidR="00000000" w:rsidRPr="00000000">
        <w:rPr>
          <w:b w:val="1"/>
          <w:rtl w:val="0"/>
        </w:rPr>
        <w:t xml:space="preserve">, a portable and transparent two-channel 500 Series chassis. Both units will begin shipping on August 15 through AEA’s dealer network.</w:t>
      </w:r>
    </w:p>
    <w:p w:rsidR="00000000" w:rsidDel="00000000" w:rsidP="00000000" w:rsidRDefault="00000000" w:rsidRPr="00000000" w14:paraId="00000008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Next-Gen Clarity and Control</w:t>
      </w:r>
    </w:p>
    <w:p w:rsidR="00000000" w:rsidDel="00000000" w:rsidP="00000000" w:rsidRDefault="00000000" w:rsidRPr="00000000" w14:paraId="0000000A">
      <w:pPr>
        <w:spacing w:line="288" w:lineRule="auto"/>
        <w:rPr/>
      </w:pPr>
      <w:r w:rsidDel="00000000" w:rsidR="00000000" w:rsidRPr="00000000">
        <w:rPr>
          <w:rtl w:val="0"/>
        </w:rPr>
        <w:t xml:space="preserve">RPQ503 builds on the legacy of the RPQ500, introducing an expanded EQ section and refined circuitry designed for clean, responsive performance. AEA’s CurveShaper™ EQ offers sweepable high and low EQ controls with up to ±20 dB of boost or cut, allowing engineers to shape tone directly at the front end of the signal path. Even with extreme settings, the EQ maintains a natural, flattering character — ideal for enhancing vocals, instruments, or ambient recordings. With 85 dB of clean gain and an ultra-high 68 kΩ input impedance, the RPQ503 is optimized for passive ribbon microphones while remaining fully compatible with dynamic and phantom-powered condenser mics.</w:t>
      </w:r>
    </w:p>
    <w:p w:rsidR="00000000" w:rsidDel="00000000" w:rsidP="00000000" w:rsidRDefault="00000000" w:rsidRPr="00000000" w14:paraId="0000000B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“Our focus has always been on developing ultra-low noise, low-distortion preamps for those who demand high, clean gain,” said Julie Tan, CEO of AEA. “With the RPQ503, we’ve brought our best third-generation preamp design to the 500 Series format — making it a flexible and portable front-end for everything from intimate vocals to loud instruments.”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RPQ503 Specs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1-space 500 Series preamp module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AEA third-generation preamp circuitry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Ultra-high 68 kΩ input impedance (phantom power off)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7 to 85 dB of gain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Sweepable low- and high-frequency EQ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±20 dB EQ boost/cut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EQ in/out switching with center-detented gain pots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+48V phantom power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Polarity (phase invert) switch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Mic/line input switching (line input bypasses mic pre)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Dimensions (W×D×H): 1.5” × 6.8” × 5.2” (3.8 × 17.3 × 13.3 cm)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Weight: 12 oz (0.34 kg)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Price: $749</w:t>
      </w:r>
    </w:p>
    <w:p w:rsidR="00000000" w:rsidDel="00000000" w:rsidP="00000000" w:rsidRDefault="00000000" w:rsidRPr="00000000" w14:paraId="0000001C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rPr/>
      </w:pPr>
      <w:r w:rsidDel="00000000" w:rsidR="00000000" w:rsidRPr="00000000">
        <w:rPr>
          <w:b w:val="1"/>
          <w:rtl w:val="0"/>
        </w:rPr>
        <w:t xml:space="preserve">Transparent Signal Flow</w:t>
        <w:br w:type="textWrapping"/>
      </w:r>
      <w:r w:rsidDel="00000000" w:rsidR="00000000" w:rsidRPr="00000000">
        <w:rPr>
          <w:rtl w:val="0"/>
        </w:rPr>
        <w:t xml:space="preserve">Built with separate linear regulators for each slot, the Snaqbox ensures complete power isolation between modules — preserving signal integrity across any configuration. Its rugged steel frame and clear or fluorescent acrylic side panels provide a visual window into the 500 Series signal chain, while the LINK/CASCADE switch enables internal routing between channels without the need for external cabling. Compact and durable, the Snaqbox is well-suited for use in studios, mobile setups, and live performance environments.</w:t>
      </w:r>
    </w:p>
    <w:p w:rsidR="00000000" w:rsidDel="00000000" w:rsidP="00000000" w:rsidRDefault="00000000" w:rsidRPr="00000000" w14:paraId="0000001E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rPr/>
      </w:pPr>
      <w:r w:rsidDel="00000000" w:rsidR="00000000" w:rsidRPr="00000000">
        <w:rPr>
          <w:rtl w:val="0"/>
        </w:rPr>
        <w:t xml:space="preserve">Compatible with all standard 500 Series modules, the Snaqbox supports a wide range of workflows — from housing AEA’s ribbon-optimized preamps to integrating third-party gear. Its compact form offers engineers and artists a practical yet expressive tool for customizing their signal path.</w:t>
      </w:r>
    </w:p>
    <w:p w:rsidR="00000000" w:rsidDel="00000000" w:rsidP="00000000" w:rsidRDefault="00000000" w:rsidRPr="00000000" w14:paraId="00000020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Snaqbox Specs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2-slot 500 Series chassis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Durable steel housing with clear or fluorescent orange acrylic side panels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XLR input and output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LINK/CASCADE switch for internal signal routing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External switching power supply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Compatible with all standard 500 Series modules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Power per slot: +16V @ 150mA, –16V @ 150mA, +48V phantom @ 13mA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Dimensions (L×W×H): 7.4” × 3.3” × 5.9”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Unit weight: 2.2 lb (998 g)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Shipping weight: 4.6 lb (2.1 kg)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Price: $299</w:t>
      </w:r>
    </w:p>
    <w:p w:rsidR="00000000" w:rsidDel="00000000" w:rsidP="00000000" w:rsidRDefault="00000000" w:rsidRPr="00000000" w14:paraId="0000002D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 learn more about the RPQ503 and the Snaqbox, or to find a dealer, visit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https://aearibbonmics.com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AEA Ribbon Mics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Founded in 1964, AEA began as a record label and mobile recording studio before expanding into microphone repairs and full-scale manufacturing. In 1998, AEA introduced the R44C — a faithful recreation of the iconic RCA 44BX — and has since developed a full range of microphones and preamps inspired by classic designs and built to modern standards. With a commitment to ultra-low noise circuitry, musical sound, and expert craftsmanship, AEA continues to push ribbon technology forward while honoring its legacy. All AEA products are proudly handcrafted in Pasadena, California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earibbonmics.com" TargetMode="External"/><Relationship Id="rId9" Type="http://schemas.openxmlformats.org/officeDocument/2006/relationships/hyperlink" Target="https://aearibbonmics.com/aea-products/snaqbo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earibbonmics.com/" TargetMode="External"/><Relationship Id="rId8" Type="http://schemas.openxmlformats.org/officeDocument/2006/relationships/hyperlink" Target="https://aearibbonmics.com/aea-products/rpq5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