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0"/>
          <w:szCs w:val="20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Regresa a los 90 con la colección Pearl Blue Neon Accent de G-SHOCK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La nueva colección incluye los modelos GA110PC-1A y GWM5610PC-1 con tonos azul y rosa neón.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Ciudad de México, a 3 de enero de 2017.– </w:t>
      </w:r>
      <w:r w:rsidDel="00000000" w:rsidR="00000000" w:rsidRPr="00000000">
        <w:rPr>
          <w:color w:val="222222"/>
          <w:rtl w:val="0"/>
        </w:rPr>
        <w:t xml:space="preserve">Para los amantes de la música y la nostalgia noventera, G-SHOCK lanza una colorida colección inspirada en la estética </w:t>
      </w:r>
      <w:r w:rsidDel="00000000" w:rsidR="00000000" w:rsidRPr="00000000">
        <w:rPr>
          <w:i w:val="1"/>
          <w:color w:val="222222"/>
          <w:rtl w:val="0"/>
        </w:rPr>
        <w:t xml:space="preserve">rave</w:t>
      </w:r>
      <w:r w:rsidDel="00000000" w:rsidR="00000000" w:rsidRPr="00000000">
        <w:rPr>
          <w:color w:val="222222"/>
          <w:rtl w:val="0"/>
        </w:rPr>
        <w:t xml:space="preserve"> y las luces neón que marcaron una época importante para la escena </w:t>
      </w:r>
      <w:r w:rsidDel="00000000" w:rsidR="00000000" w:rsidRPr="00000000">
        <w:rPr>
          <w:i w:val="1"/>
          <w:color w:val="222222"/>
          <w:rtl w:val="0"/>
        </w:rPr>
        <w:t xml:space="preserve">underground</w:t>
      </w:r>
      <w:r w:rsidDel="00000000" w:rsidR="00000000" w:rsidRPr="00000000">
        <w:rPr>
          <w:color w:val="222222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La serie Pearl Blue Neon Accent se inspira en estos elementos de luz, imprescindibles en los conciertos y fiestas donde sonaban </w:t>
      </w:r>
      <w:r w:rsidDel="00000000" w:rsidR="00000000" w:rsidRPr="00000000">
        <w:rPr>
          <w:i w:val="1"/>
          <w:color w:val="222222"/>
          <w:rtl w:val="0"/>
        </w:rPr>
        <w:t xml:space="preserve">house</w:t>
      </w:r>
      <w:r w:rsidDel="00000000" w:rsidR="00000000" w:rsidRPr="00000000">
        <w:rPr>
          <w:color w:val="222222"/>
          <w:rtl w:val="0"/>
        </w:rPr>
        <w:t xml:space="preserve"> y </w:t>
      </w:r>
      <w:r w:rsidDel="00000000" w:rsidR="00000000" w:rsidRPr="00000000">
        <w:rPr>
          <w:i w:val="1"/>
          <w:color w:val="222222"/>
          <w:rtl w:val="0"/>
        </w:rPr>
        <w:t xml:space="preserve">techno </w:t>
      </w:r>
      <w:r w:rsidDel="00000000" w:rsidR="00000000" w:rsidRPr="00000000">
        <w:rPr>
          <w:color w:val="222222"/>
          <w:rtl w:val="0"/>
        </w:rPr>
        <w:t xml:space="preserve">toda la noche, para crear diseños retro que te harán regresar a los 90. </w:t>
      </w:r>
    </w:p>
    <w:p w:rsidR="00000000" w:rsidDel="00000000" w:rsidP="00000000" w:rsidRDefault="00000000" w:rsidRPr="00000000">
      <w:pPr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El negro mate sirve como base para pintar de azul pálido el interior de la correa bicolor que también resalta en la carátula y el logotipo. Los acentos de color rosa y morado pálido aparecen también en la cara del reloj, creando una ilusión prismática en la oscuridad, como un 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glow stick </w:t>
      </w:r>
      <w:r w:rsidDel="00000000" w:rsidR="00000000" w:rsidRPr="00000000">
        <w:rPr>
          <w:color w:val="212121"/>
          <w:highlight w:val="white"/>
          <w:rtl w:val="0"/>
        </w:rPr>
        <w:t xml:space="preserve">que deslumbra al compás del </w:t>
      </w:r>
      <w:r w:rsidDel="00000000" w:rsidR="00000000" w:rsidRPr="00000000">
        <w:rPr>
          <w:i w:val="1"/>
          <w:color w:val="212121"/>
          <w:highlight w:val="white"/>
          <w:rtl w:val="0"/>
        </w:rPr>
        <w:t xml:space="preserve">beat.</w:t>
      </w:r>
    </w:p>
    <w:p w:rsidR="00000000" w:rsidDel="00000000" w:rsidP="00000000" w:rsidRDefault="00000000" w:rsidRPr="00000000">
      <w:pPr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La colorida colección incluye los modelos más gruesos como el análogo-digital GA110PC-1A y la silueta cuadrada más clásica del </w:t>
      </w:r>
      <w:r w:rsidDel="00000000" w:rsidR="00000000" w:rsidRPr="00000000">
        <w:rPr>
          <w:color w:val="212121"/>
          <w:highlight w:val="white"/>
          <w:rtl w:val="0"/>
        </w:rPr>
        <w:t xml:space="preserve">GWM5610PC-1, todos equipados con la tecnología Tough Solar de Casio y Multiband 6. </w:t>
      </w:r>
    </w:p>
    <w:p w:rsidR="00000000" w:rsidDel="00000000" w:rsidP="00000000" w:rsidRDefault="00000000" w:rsidRPr="00000000">
      <w:pPr>
        <w:contextualSpacing w:val="0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222222"/>
        </w:rPr>
      </w:pPr>
      <w:r w:rsidDel="00000000" w:rsidR="00000000" w:rsidRPr="00000000">
        <w:rPr>
          <w:highlight w:val="white"/>
          <w:rtl w:val="0"/>
        </w:rPr>
        <w:t xml:space="preserve">Cada pieza de la serie Pearl Blue Neon tiene un costo estimado de $</w:t>
      </w:r>
      <w:r w:rsidDel="00000000" w:rsidR="00000000" w:rsidRPr="00000000">
        <w:rPr>
          <w:rtl w:val="0"/>
        </w:rPr>
        <w:t xml:space="preserve">3,369 y $2,889</w:t>
      </w:r>
      <w:r w:rsidDel="00000000" w:rsidR="00000000" w:rsidRPr="00000000">
        <w:rPr>
          <w:highlight w:val="white"/>
          <w:rtl w:val="0"/>
        </w:rPr>
        <w:t xml:space="preserve">, y está disponible a partir de diciembre en la nueva tienda G-SHOCK Torre Manacar, el quiosco ubicado en el segundo nivel del Centro Comercial Santa Fe, G-SHOCK Plaza la Isla Cancún, 5ª Avenida Playa del Carmen, Liverpool y Joyerías Bizarro.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6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7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8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9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Jorge Alvarez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 ext. 2407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0">
        <w:r w:rsidDel="00000000" w:rsidR="00000000" w:rsidRPr="00000000">
          <w:rPr>
            <w:u w:val="single"/>
            <w:rtl w:val="0"/>
          </w:rPr>
          <w:t xml:space="preserve">jorge@anothercompany.com.mx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3480 1770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andrea.munguia</w:t>
      </w:r>
      <w:hyperlink r:id="rId11">
        <w:r w:rsidDel="00000000" w:rsidR="00000000" w:rsidRPr="00000000">
          <w:rPr>
            <w:u w:val="single"/>
            <w:rtl w:val="0"/>
          </w:rPr>
          <w:t xml:space="preserve">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 –Torre Reforma Latino, Reforma 296–</w:t>
      </w:r>
      <w:r w:rsidDel="00000000" w:rsidR="00000000" w:rsidRPr="00000000">
        <w:rPr>
          <w:sz w:val="20"/>
          <w:szCs w:val="20"/>
          <w:rtl w:val="0"/>
        </w:rPr>
        <w:t xml:space="preserve">,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</w:t>
      </w:r>
      <w:r w:rsidDel="00000000" w:rsidR="00000000" w:rsidRPr="00000000">
        <w:rPr>
          <w:sz w:val="20"/>
          <w:szCs w:val="20"/>
          <w:rtl w:val="0"/>
        </w:rPr>
        <w:t xml:space="preserve">visita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Torre Reforma Latino, piso 36; Reforma 296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(55) 6392 1100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2">
        <w:r w:rsidDel="00000000" w:rsidR="00000000" w:rsidRPr="00000000">
          <w:rPr>
            <w:u w:val="single"/>
            <w:rtl w:val="0"/>
          </w:rPr>
          <w:t xml:space="preserve">showroom@anothercompany.com.mx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4714875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orge@anothercompany.com.mx" TargetMode="External"/><Relationship Id="rId10" Type="http://schemas.openxmlformats.org/officeDocument/2006/relationships/hyperlink" Target="mailto:jorge@anothercompany.com.mx" TargetMode="External"/><Relationship Id="rId13" Type="http://schemas.openxmlformats.org/officeDocument/2006/relationships/header" Target="header1.xml"/><Relationship Id="rId12" Type="http://schemas.openxmlformats.org/officeDocument/2006/relationships/hyperlink" Target="mailto:showroom@anothercompany.com.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iousa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casiogshockmx" TargetMode="External"/><Relationship Id="rId7" Type="http://schemas.openxmlformats.org/officeDocument/2006/relationships/hyperlink" Target="https://www.facebook.com/CASIOGSHOCKMexico/?fref=nf" TargetMode="External"/><Relationship Id="rId8" Type="http://schemas.openxmlformats.org/officeDocument/2006/relationships/hyperlink" Target="http://www.casiomx.com/products/Watch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