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AC2BE4" wp14:paraId="47AF7662" wp14:textId="6176F215">
      <w:pPr>
        <w:pStyle w:val="Normal"/>
        <w:jc w:val="center"/>
        <w:rPr>
          <w:rFonts w:ascii="Arial" w:hAnsi="Arial" w:eastAsia="Arial" w:cs="Arial" w:asciiTheme="minorAscii" w:hAnsiTheme="minorAscii" w:eastAsiaTheme="minorAscii" w:cstheme="minorAscii"/>
          <w:b w:val="1"/>
          <w:bCs w:val="1"/>
          <w:noProof w:val="0"/>
          <w:sz w:val="28"/>
          <w:szCs w:val="28"/>
          <w:lang w:val="es-ES"/>
        </w:rPr>
      </w:pPr>
      <w:r w:rsidRPr="545B7957" w:rsidR="75C43E61">
        <w:rPr>
          <w:rFonts w:ascii="Arial" w:hAnsi="Arial" w:eastAsia="Arial" w:cs="Arial" w:asciiTheme="minorAscii" w:hAnsiTheme="minorAscii" w:eastAsiaTheme="minorAscii" w:cstheme="minorAscii"/>
          <w:b w:val="1"/>
          <w:bCs w:val="1"/>
          <w:noProof w:val="0"/>
          <w:sz w:val="28"/>
          <w:szCs w:val="28"/>
          <w:lang w:val="es-ES"/>
        </w:rPr>
        <w:t>¿Cómo prepararse para picos de demanda sin sacrificar control ni trazabilidad?</w:t>
      </w:r>
    </w:p>
    <w:p xmlns:wp14="http://schemas.microsoft.com/office/word/2010/wordml" w:rsidP="175F30A4" wp14:paraId="453885A5" wp14:textId="376B23DC">
      <w:pPr>
        <w:pStyle w:val="Normal"/>
        <w:jc w:val="both"/>
        <w:rPr>
          <w:rFonts w:ascii="Aptos" w:hAnsi="Aptos" w:eastAsia="Aptos" w:cs="Aptos" w:asciiTheme="minorAscii" w:hAnsiTheme="minorAscii" w:eastAsiaTheme="minorAscii" w:cstheme="minorAscii"/>
          <w:noProof w:val="0"/>
          <w:sz w:val="24"/>
          <w:szCs w:val="24"/>
          <w:lang w:val="es-ES"/>
        </w:rPr>
      </w:pPr>
      <w:r w:rsidRPr="03863F87" w:rsidR="6B7B9088">
        <w:rPr>
          <w:rFonts w:ascii="Aptos" w:hAnsi="Aptos" w:eastAsia="Aptos" w:cs="Aptos" w:asciiTheme="minorAscii" w:hAnsiTheme="minorAscii" w:eastAsiaTheme="minorAscii" w:cstheme="minorAscii"/>
          <w:b w:val="1"/>
          <w:bCs w:val="1"/>
          <w:noProof w:val="0"/>
          <w:sz w:val="24"/>
          <w:szCs w:val="24"/>
          <w:lang w:val="es-ES"/>
        </w:rPr>
        <w:t xml:space="preserve">Ciudad de México, </w:t>
      </w:r>
      <w:r w:rsidRPr="03863F87" w:rsidR="7D424E3C">
        <w:rPr>
          <w:rFonts w:ascii="Aptos" w:hAnsi="Aptos" w:eastAsia="Aptos" w:cs="Aptos" w:asciiTheme="minorAscii" w:hAnsiTheme="minorAscii" w:eastAsiaTheme="minorAscii" w:cstheme="minorAscii"/>
          <w:b w:val="1"/>
          <w:bCs w:val="1"/>
          <w:noProof w:val="0"/>
          <w:sz w:val="24"/>
          <w:szCs w:val="24"/>
          <w:lang w:val="es-ES"/>
        </w:rPr>
        <w:t>15</w:t>
      </w:r>
      <w:r w:rsidRPr="03863F87" w:rsidR="6B7B9088">
        <w:rPr>
          <w:rFonts w:ascii="Aptos" w:hAnsi="Aptos" w:eastAsia="Aptos" w:cs="Aptos" w:asciiTheme="minorAscii" w:hAnsiTheme="minorAscii" w:eastAsiaTheme="minorAscii" w:cstheme="minorAscii"/>
          <w:b w:val="1"/>
          <w:bCs w:val="1"/>
          <w:noProof w:val="0"/>
          <w:sz w:val="24"/>
          <w:szCs w:val="24"/>
          <w:lang w:val="es-ES"/>
        </w:rPr>
        <w:t xml:space="preserve"> de junio de 2026.</w:t>
      </w:r>
      <w:r w:rsidRPr="03863F87" w:rsidR="6B7B9088">
        <w:rPr>
          <w:rFonts w:ascii="Aptos" w:hAnsi="Aptos" w:eastAsia="Aptos" w:cs="Aptos" w:asciiTheme="minorAscii" w:hAnsiTheme="minorAscii" w:eastAsiaTheme="minorAscii" w:cstheme="minorAscii"/>
          <w:noProof w:val="0"/>
          <w:sz w:val="24"/>
          <w:szCs w:val="24"/>
          <w:lang w:val="es-ES"/>
        </w:rPr>
        <w:t xml:space="preserve"> -</w:t>
      </w:r>
      <w:r w:rsidRPr="03863F87" w:rsidR="7CB01B0D">
        <w:rPr>
          <w:rFonts w:ascii="Aptos" w:hAnsi="Aptos" w:eastAsia="Aptos" w:cs="Aptos"/>
          <w:noProof w:val="0"/>
          <w:sz w:val="24"/>
          <w:szCs w:val="24"/>
          <w:lang w:val="es-ES"/>
        </w:rPr>
        <w:t xml:space="preserve"> El </w:t>
      </w:r>
      <w:r w:rsidRPr="03863F87" w:rsidR="440F97F8">
        <w:rPr>
          <w:rFonts w:ascii="Aptos" w:hAnsi="Aptos" w:eastAsia="Aptos" w:cs="Aptos"/>
          <w:noProof w:val="0"/>
          <w:sz w:val="24"/>
          <w:szCs w:val="24"/>
          <w:lang w:val="es-ES"/>
        </w:rPr>
        <w:t>segundo semestre</w:t>
      </w:r>
      <w:r w:rsidRPr="03863F87" w:rsidR="7CB01B0D">
        <w:rPr>
          <w:rFonts w:ascii="Aptos" w:hAnsi="Aptos" w:eastAsia="Aptos" w:cs="Aptos"/>
          <w:noProof w:val="0"/>
          <w:sz w:val="24"/>
          <w:szCs w:val="24"/>
          <w:lang w:val="es-ES"/>
        </w:rPr>
        <w:t xml:space="preserve"> de 2026 abre una conversación urgente para la logística mexicana: cómo prevenir riesgos operativos y de seguridad en un calendario marcado por la Copa Mundial en México, Buen Fin y la temporada decembrina. Estos eventos concentrarán consumo, entregas, movilidad urbana, transporte de carga y última milla en ventanas de alta exigencia, donde la preparación de las flotillas no puede limitarse a tener más unidades disponibles</w:t>
      </w:r>
      <w:r w:rsidRPr="03863F87" w:rsidR="6B7B9088">
        <w:rPr>
          <w:rFonts w:ascii="Aptos" w:hAnsi="Aptos" w:eastAsia="Aptos" w:cs="Aptos" w:asciiTheme="minorAscii" w:hAnsiTheme="minorAscii" w:eastAsiaTheme="minorAscii" w:cstheme="minorAscii"/>
          <w:noProof w:val="0"/>
          <w:sz w:val="24"/>
          <w:szCs w:val="24"/>
          <w:lang w:val="es-ES"/>
        </w:rPr>
        <w:t>.</w:t>
      </w:r>
    </w:p>
    <w:p xmlns:wp14="http://schemas.microsoft.com/office/word/2010/wordml" w:rsidP="3028BB17" wp14:paraId="19215058" wp14:textId="414D0D55">
      <w:pPr>
        <w:jc w:val="both"/>
        <w:rPr>
          <w:rFonts w:ascii="Arial" w:hAnsi="Arial" w:eastAsia="Arial" w:cs="Arial" w:asciiTheme="minorAscii" w:hAnsiTheme="minorAscii" w:eastAsiaTheme="minorAscii" w:cstheme="minorAscii"/>
          <w:noProof w:val="0"/>
          <w:sz w:val="24"/>
          <w:szCs w:val="24"/>
          <w:lang w:val="es-ES"/>
        </w:rPr>
      </w:pPr>
      <w:r w:rsidRPr="545B7957" w:rsidR="75C43E61">
        <w:rPr>
          <w:rFonts w:ascii="Arial" w:hAnsi="Arial" w:eastAsia="Arial" w:cs="Arial" w:asciiTheme="minorAscii" w:hAnsiTheme="minorAscii" w:eastAsiaTheme="minorAscii" w:cstheme="minorAscii"/>
          <w:noProof w:val="0"/>
          <w:sz w:val="24"/>
          <w:szCs w:val="24"/>
          <w:lang w:val="es-ES"/>
        </w:rPr>
        <w:t xml:space="preserve">Para las empresas con flotillas, el reto no será únicamente mover más unidades, sino mantener control sobre una operación que se vuelve más densa, </w:t>
      </w:r>
      <w:r w:rsidRPr="545B7957" w:rsidR="56B74E1B">
        <w:rPr>
          <w:rFonts w:ascii="Arial" w:hAnsi="Arial" w:eastAsia="Arial" w:cs="Arial" w:asciiTheme="minorAscii" w:hAnsiTheme="minorAscii" w:eastAsiaTheme="minorAscii" w:cstheme="minorAscii"/>
          <w:noProof w:val="0"/>
          <w:sz w:val="24"/>
          <w:szCs w:val="24"/>
          <w:lang w:val="es-ES"/>
        </w:rPr>
        <w:t>más expuesta y difícil</w:t>
      </w:r>
      <w:r w:rsidRPr="545B7957" w:rsidR="75C43E61">
        <w:rPr>
          <w:rFonts w:ascii="Arial" w:hAnsi="Arial" w:eastAsia="Arial" w:cs="Arial" w:asciiTheme="minorAscii" w:hAnsiTheme="minorAscii" w:eastAsiaTheme="minorAscii" w:cstheme="minorAscii"/>
          <w:noProof w:val="0"/>
          <w:sz w:val="24"/>
          <w:szCs w:val="24"/>
          <w:lang w:val="es-ES"/>
        </w:rPr>
        <w:t xml:space="preserve"> de supervisar. Cada pedido adicional implica inventario, surtido, carga, asignación de ruta, operador, entrega, posible devolución y atención al cliente. Si esa cadena no se observa en tiempo real, el crecimiento comercial puede convertirse en retrasos, sobrecostos, pérdida de trazabilidad o incidentes de seguridad.</w:t>
      </w:r>
    </w:p>
    <w:p xmlns:wp14="http://schemas.microsoft.com/office/word/2010/wordml" w:rsidP="3028BB17" wp14:paraId="071E1BE6" wp14:textId="50ED564B">
      <w:pPr>
        <w:jc w:val="both"/>
        <w:rPr>
          <w:rFonts w:ascii="Arial" w:hAnsi="Arial" w:eastAsia="Arial" w:cs="Arial" w:asciiTheme="minorAscii" w:hAnsiTheme="minorAscii" w:eastAsiaTheme="minorAscii" w:cstheme="minorAscii"/>
          <w:noProof w:val="0"/>
          <w:sz w:val="24"/>
          <w:szCs w:val="24"/>
          <w:lang w:val="es-ES"/>
        </w:rPr>
      </w:pPr>
      <w:r w:rsidRPr="545B7957" w:rsidR="75C43E61">
        <w:rPr>
          <w:rFonts w:ascii="Arial" w:hAnsi="Arial" w:eastAsia="Arial" w:cs="Arial" w:asciiTheme="minorAscii" w:hAnsiTheme="minorAscii" w:eastAsiaTheme="minorAscii" w:cstheme="minorAscii"/>
          <w:i w:val="1"/>
          <w:iCs w:val="1"/>
          <w:noProof w:val="0"/>
          <w:sz w:val="24"/>
          <w:szCs w:val="24"/>
          <w:lang w:val="es-ES"/>
        </w:rPr>
        <w:t>“Antes de agregar más unidades a una operación, las empresas deben preguntarse si tienen visibilidad suficiente sobre las que ya están en ruta. En picos de demanda, el control no depende del tamaño de la flota, sino de la capacidad para saber dónde está cada unidad, qué comportamiento se considera normal y qué protocolo se activa cuando aparece una anomalía”</w:t>
      </w:r>
      <w:r w:rsidRPr="545B7957" w:rsidR="75C43E61">
        <w:rPr>
          <w:rFonts w:ascii="Arial" w:hAnsi="Arial" w:eastAsia="Arial" w:cs="Arial" w:asciiTheme="minorAscii" w:hAnsiTheme="minorAscii" w:eastAsiaTheme="minorAscii" w:cstheme="minorAscii"/>
          <w:noProof w:val="0"/>
          <w:sz w:val="24"/>
          <w:szCs w:val="24"/>
          <w:lang w:val="es-ES"/>
        </w:rPr>
        <w:t xml:space="preserve">, señala </w:t>
      </w:r>
      <w:r w:rsidRPr="545B7957" w:rsidR="75C43E61">
        <w:rPr>
          <w:rFonts w:ascii="Arial" w:hAnsi="Arial" w:eastAsia="Arial" w:cs="Arial" w:asciiTheme="minorAscii" w:hAnsiTheme="minorAscii" w:eastAsiaTheme="minorAscii" w:cstheme="minorAscii"/>
          <w:b w:val="1"/>
          <w:bCs w:val="1"/>
          <w:noProof w:val="0"/>
          <w:sz w:val="24"/>
          <w:szCs w:val="24"/>
          <w:lang w:val="es-ES"/>
        </w:rPr>
        <w:t>María de los Ángeles Useche Serrano, directora comercial de Total Protect, empresa de seguridad privada especializada en soluciones de monitoreo, telemetría y prevención de riesgos para flotillas</w:t>
      </w:r>
      <w:r w:rsidRPr="545B7957" w:rsidR="75C43E61">
        <w:rPr>
          <w:rFonts w:ascii="Arial" w:hAnsi="Arial" w:eastAsia="Arial" w:cs="Arial" w:asciiTheme="minorAscii" w:hAnsiTheme="minorAscii" w:eastAsiaTheme="minorAscii" w:cstheme="minorAscii"/>
          <w:noProof w:val="0"/>
          <w:sz w:val="24"/>
          <w:szCs w:val="24"/>
          <w:lang w:val="es-ES"/>
        </w:rPr>
        <w:t>.</w:t>
      </w:r>
    </w:p>
    <w:p w:rsidR="53079388" w:rsidP="175F30A4" w:rsidRDefault="53079388" w14:paraId="1EF666A4" w14:textId="7AA4903F">
      <w:pPr>
        <w:pStyle w:val="Normal"/>
        <w:jc w:val="both"/>
      </w:pPr>
      <w:r w:rsidRPr="175F30A4" w:rsidR="53079388">
        <w:rPr>
          <w:rFonts w:ascii="Aptos" w:hAnsi="Aptos" w:eastAsia="Aptos" w:cs="Aptos"/>
          <w:noProof w:val="0"/>
          <w:sz w:val="24"/>
          <w:szCs w:val="24"/>
          <w:lang w:val="es-ES"/>
        </w:rPr>
        <w:t>La</w:t>
      </w:r>
      <w:r w:rsidRPr="175F30A4" w:rsidR="53079388">
        <w:rPr>
          <w:rFonts w:ascii="Aptos" w:hAnsi="Aptos" w:eastAsia="Aptos" w:cs="Aptos"/>
          <w:noProof w:val="0"/>
          <w:sz w:val="24"/>
          <w:szCs w:val="24"/>
          <w:lang w:val="es-ES"/>
        </w:rPr>
        <w:t xml:space="preserve"> presión no parte de un solo evento. El comercio electrónico en México mantiene una trayectoria de crecimiento que ya impacta la planeación logística durante todo el año. De acuerdo con la AMVO, el comercio electrónico </w:t>
      </w:r>
      <w:r w:rsidRPr="175F30A4" w:rsidR="53079388">
        <w:rPr>
          <w:rFonts w:ascii="Aptos" w:hAnsi="Aptos" w:eastAsia="Aptos" w:cs="Aptos"/>
          <w:noProof w:val="0"/>
          <w:sz w:val="24"/>
          <w:szCs w:val="24"/>
          <w:lang w:val="es-ES"/>
        </w:rPr>
        <w:t>retail</w:t>
      </w:r>
      <w:r w:rsidRPr="175F30A4" w:rsidR="53079388">
        <w:rPr>
          <w:rFonts w:ascii="Aptos" w:hAnsi="Aptos" w:eastAsia="Aptos" w:cs="Aptos"/>
          <w:noProof w:val="0"/>
          <w:sz w:val="24"/>
          <w:szCs w:val="24"/>
          <w:lang w:val="es-ES"/>
        </w:rPr>
        <w:t xml:space="preserve"> alcanzó un valor de 941 mil millones de pesos en 2025, con 77.2 millones de compradores digitales. Ese volumen se concentra con mayor intensidad en campañas comerciales y temporadas de alta movilidad, cuando las empresas deben coordinar inventario, rutas, operadores, entregas y devoluciones bajo ventanas más exigentes.</w:t>
      </w:r>
      <w:r w:rsidRPr="175F30A4" w:rsidR="6B7B9088">
        <w:rPr>
          <w:rFonts w:ascii="Aptos" w:hAnsi="Aptos" w:eastAsia="Aptos" w:cs="Aptos" w:asciiTheme="minorAscii" w:hAnsiTheme="minorAscii" w:eastAsiaTheme="minorAscii" w:cstheme="minorAscii"/>
          <w:noProof w:val="0"/>
          <w:sz w:val="24"/>
          <w:szCs w:val="24"/>
          <w:lang w:val="es-ES"/>
        </w:rPr>
        <w:t xml:space="preserve"> </w:t>
      </w:r>
    </w:p>
    <w:p w:rsidR="6B7B9088" w:rsidP="175F30A4" w:rsidRDefault="6B7B9088" w14:paraId="503B12DC" w14:textId="447CD17D">
      <w:pPr>
        <w:pStyle w:val="Normal"/>
        <w:jc w:val="both"/>
      </w:pPr>
      <w:r w:rsidRPr="175F30A4" w:rsidR="6B7B9088">
        <w:rPr>
          <w:rFonts w:ascii="Aptos" w:hAnsi="Aptos" w:eastAsia="Aptos" w:cs="Aptos" w:asciiTheme="minorAscii" w:hAnsiTheme="minorAscii" w:eastAsiaTheme="minorAscii" w:cstheme="minorAscii"/>
          <w:noProof w:val="0"/>
          <w:sz w:val="24"/>
          <w:szCs w:val="24"/>
          <w:lang w:val="es-ES"/>
        </w:rPr>
        <w:t>E</w:t>
      </w:r>
      <w:r w:rsidRPr="175F30A4" w:rsidR="60BCE7DA">
        <w:rPr>
          <w:rFonts w:ascii="Aptos" w:hAnsi="Aptos" w:eastAsia="Aptos" w:cs="Aptos"/>
          <w:noProof w:val="0"/>
          <w:sz w:val="24"/>
          <w:szCs w:val="24"/>
          <w:lang w:val="es-ES"/>
        </w:rPr>
        <w:t>n escenarios de alta demanda, la capacidad de documentar cada evento mediante videovigilancia, resguardar evidencia digital, proteger el acceso a la carga y coordinar respuestas desde centros de monitoreo centralizados se vuelve tan importante como la propia capacidad logística. La diferencia ya no está únicamente en mover más unidades, sino en hacerlo con información verificable, trazabilidad sobre la mercancía y capacidad de reacción ante cualquier anomalía.</w:t>
      </w:r>
    </w:p>
    <w:p w:rsidR="350719A9" w:rsidP="175F30A4" w:rsidRDefault="350719A9" w14:paraId="68F19426" w14:textId="31376BAA">
      <w:pPr>
        <w:jc w:val="both"/>
      </w:pPr>
      <w:r w:rsidRPr="175F30A4" w:rsidR="350719A9">
        <w:rPr>
          <w:rFonts w:ascii="Aptos" w:hAnsi="Aptos" w:eastAsia="Aptos" w:cs="Aptos"/>
          <w:noProof w:val="0"/>
          <w:sz w:val="24"/>
          <w:szCs w:val="24"/>
          <w:lang w:val="es-ES"/>
        </w:rPr>
        <w:t xml:space="preserve">La consecuencia para transporte, paquetería, </w:t>
      </w:r>
      <w:r w:rsidRPr="175F30A4" w:rsidR="350719A9">
        <w:rPr>
          <w:rFonts w:ascii="Aptos" w:hAnsi="Aptos" w:eastAsia="Aptos" w:cs="Aptos"/>
          <w:i w:val="1"/>
          <w:iCs w:val="1"/>
          <w:noProof w:val="0"/>
          <w:sz w:val="24"/>
          <w:szCs w:val="24"/>
          <w:lang w:val="es-ES"/>
        </w:rPr>
        <w:t>retail,</w:t>
      </w:r>
      <w:r w:rsidRPr="175F30A4" w:rsidR="350719A9">
        <w:rPr>
          <w:rFonts w:ascii="Aptos" w:hAnsi="Aptos" w:eastAsia="Aptos" w:cs="Aptos"/>
          <w:noProof w:val="0"/>
          <w:sz w:val="24"/>
          <w:szCs w:val="24"/>
          <w:lang w:val="es-ES"/>
        </w:rPr>
        <w:t xml:space="preserve"> consumo masivo y última milla es clara: el volumen digital ya no vive solo en una campaña. Se distribuye a lo largo del año, pero se concentra con mayor intensidad en fechas comerciales, eventos masivos y temporadas de movilidad. El Mundial 2026 agregará una variable adicional: México será sede de partidos en Ciudad de México, Guadalajara y Monterrey, de acuerdo con el calendario oficial de FIFA, lo que puede generar periodos prolongados de actividad comercial, turística, urbana y de consumo alrededor de las ciudades sede.</w:t>
      </w:r>
    </w:p>
    <w:p w:rsidR="350719A9" w:rsidP="175F30A4" w:rsidRDefault="350719A9" w14:paraId="77D327BB" w14:textId="7B999D08">
      <w:pPr>
        <w:jc w:val="both"/>
      </w:pPr>
      <w:r w:rsidRPr="175F30A4" w:rsidR="350719A9">
        <w:rPr>
          <w:rFonts w:ascii="Aptos" w:hAnsi="Aptos" w:eastAsia="Aptos" w:cs="Aptos"/>
          <w:noProof w:val="0"/>
          <w:sz w:val="24"/>
          <w:szCs w:val="24"/>
          <w:lang w:val="es-ES"/>
        </w:rPr>
        <w:t xml:space="preserve">Buen Fin también forma parte de esa agenda. La edición 2025 reportó 219 mil millones de pesos en ventas, de acuerdo con información de la Secretaría de Economía retomada por </w:t>
      </w:r>
      <w:hyperlink r:id="R894a475c2f7d4e5f">
        <w:r w:rsidRPr="175F30A4" w:rsidR="350719A9">
          <w:rPr>
            <w:rStyle w:val="Hyperlink"/>
            <w:noProof w:val="0"/>
            <w:lang w:val="es-ES"/>
          </w:rPr>
          <w:t>CONCANACO SERVYTUR</w:t>
        </w:r>
      </w:hyperlink>
      <w:r w:rsidRPr="175F30A4" w:rsidR="350719A9">
        <w:rPr>
          <w:rFonts w:ascii="Aptos" w:hAnsi="Aptos" w:eastAsia="Aptos" w:cs="Aptos"/>
          <w:noProof w:val="0"/>
          <w:sz w:val="24"/>
          <w:szCs w:val="24"/>
          <w:lang w:val="es-ES"/>
        </w:rPr>
        <w:t>, así como un incremento de 13% en negocios participantes. Aunque las fechas oficiales de Buen Fin 2026 deberán confirmarse en los canales del programa, el antecedente muestra que esta campaña se mantiene como uno de los momentos de mayor presión para comercio formal, tiendas físicas, canales digitales y cadenas logísticas.</w:t>
      </w:r>
    </w:p>
    <w:p w:rsidR="350719A9" w:rsidP="175F30A4" w:rsidRDefault="350719A9" w14:paraId="0A7B5D0A" w14:textId="6AA57437">
      <w:pPr>
        <w:jc w:val="both"/>
      </w:pPr>
      <w:r w:rsidRPr="175F30A4" w:rsidR="350719A9">
        <w:rPr>
          <w:rFonts w:ascii="Aptos" w:hAnsi="Aptos" w:eastAsia="Aptos" w:cs="Aptos"/>
          <w:noProof w:val="0"/>
          <w:sz w:val="24"/>
          <w:szCs w:val="24"/>
          <w:lang w:val="es-ES"/>
        </w:rPr>
        <w:t xml:space="preserve">La temporada decembrina completa el escenario. El cierre del año suele concentrar compras, traslados, entregas, devoluciones, mayor circulación urbana y operación extendida para sectores como </w:t>
      </w:r>
      <w:r w:rsidRPr="175F30A4" w:rsidR="350719A9">
        <w:rPr>
          <w:rFonts w:ascii="Aptos" w:hAnsi="Aptos" w:eastAsia="Aptos" w:cs="Aptos"/>
          <w:i w:val="1"/>
          <w:iCs w:val="1"/>
          <w:noProof w:val="0"/>
          <w:sz w:val="24"/>
          <w:szCs w:val="24"/>
          <w:lang w:val="es-ES"/>
        </w:rPr>
        <w:t>retail,</w:t>
      </w:r>
      <w:r w:rsidRPr="175F30A4" w:rsidR="350719A9">
        <w:rPr>
          <w:rFonts w:ascii="Aptos" w:hAnsi="Aptos" w:eastAsia="Aptos" w:cs="Aptos"/>
          <w:noProof w:val="0"/>
          <w:sz w:val="24"/>
          <w:szCs w:val="24"/>
          <w:lang w:val="es-ES"/>
        </w:rPr>
        <w:t xml:space="preserve"> consumo masivo, paquetería, comercio electrónico y distribución. Para las flotillas, esto significa más puntos de contacto, más ventanas de entrega y mayor necesidad de mantener trazabilidad sobre unidades, operadores y mercancías.</w:t>
      </w:r>
    </w:p>
    <w:p w:rsidR="350719A9" w:rsidP="175F30A4" w:rsidRDefault="350719A9" w14:paraId="7B9B4BF2" w14:textId="6D6C6D65">
      <w:pPr>
        <w:jc w:val="both"/>
      </w:pPr>
      <w:r w:rsidRPr="175F30A4" w:rsidR="350719A9">
        <w:rPr>
          <w:rFonts w:ascii="Aptos" w:hAnsi="Aptos" w:eastAsia="Aptos" w:cs="Aptos"/>
          <w:noProof w:val="0"/>
          <w:sz w:val="24"/>
          <w:szCs w:val="24"/>
          <w:lang w:val="es-ES"/>
        </w:rPr>
        <w:t>Mundial 2026, Buen Fin y la temporada decembrina pondrán a prueba la capacidad de las empresas para vender, entregar y responder sin perder visibilidad. La diferencia estará en operar con datos, protocolos y supervisión permanente, no solo con más unidades en la calle.</w:t>
      </w:r>
    </w:p>
    <w:p w:rsidR="350719A9" w:rsidP="175F30A4" w:rsidRDefault="350719A9" w14:paraId="3A427A1E" w14:textId="0662198F">
      <w:pPr>
        <w:jc w:val="both"/>
      </w:pPr>
      <w:r w:rsidRPr="175F30A4" w:rsidR="350719A9">
        <w:rPr>
          <w:rFonts w:ascii="Aptos" w:hAnsi="Aptos" w:eastAsia="Aptos" w:cs="Aptos"/>
          <w:i w:val="1"/>
          <w:iCs w:val="1"/>
          <w:noProof w:val="0"/>
          <w:sz w:val="24"/>
          <w:szCs w:val="24"/>
          <w:lang w:val="es-ES"/>
        </w:rPr>
        <w:t>“Una flotilla preparada no es la que circula más, sino la que puede explicar cada ruta, cada parada y cada decisión operativa. En los picos de demanda, la trazabilidad es la diferencia entre reaccionar tarde y proteger la continuidad del negocio”,</w:t>
      </w:r>
      <w:r w:rsidRPr="175F30A4" w:rsidR="350719A9">
        <w:rPr>
          <w:rFonts w:ascii="Aptos" w:hAnsi="Aptos" w:eastAsia="Aptos" w:cs="Aptos"/>
          <w:noProof w:val="0"/>
          <w:sz w:val="24"/>
          <w:szCs w:val="24"/>
          <w:lang w:val="es-ES"/>
        </w:rPr>
        <w:t xml:space="preserve"> concluye María de los Ángeles Useche Serrano.</w:t>
      </w:r>
    </w:p>
    <w:p xmlns:wp14="http://schemas.microsoft.com/office/word/2010/wordml" w:rsidP="545B7957" wp14:paraId="2A42EDF8" wp14:textId="1E293CE4">
      <w:pPr>
        <w:jc w:val="center"/>
      </w:pPr>
      <w:r w:rsidRPr="545B7957" w:rsidR="32FAE534">
        <w:rPr>
          <w:rFonts w:ascii="Arial" w:hAnsi="Arial" w:eastAsia="Arial" w:cs="Arial" w:asciiTheme="minorAscii" w:hAnsiTheme="minorAscii" w:eastAsiaTheme="minorAscii" w:cstheme="minorAscii"/>
        </w:rPr>
        <w:t>-o0o-</w:t>
      </w:r>
    </w:p>
    <w:p xmlns:wp14="http://schemas.microsoft.com/office/word/2010/wordml" w:rsidP="3028BB17" wp14:paraId="5C1A07E2" wp14:textId="0848F536">
      <w:pPr>
        <w:jc w:val="both"/>
        <w:rPr>
          <w:rFonts w:ascii="Arial" w:hAnsi="Arial" w:eastAsia="Arial" w:cs="Arial" w:asciiTheme="minorAscii" w:hAnsiTheme="minorAscii" w:eastAsiaTheme="minorAscii" w:cstheme="minorAscii"/>
        </w:rPr>
      </w:pPr>
    </w:p>
    <w:sectPr>
      <w:pgSz w:w="11906" w:h="16838" w:orient="portrait"/>
      <w:pgMar w:top="1440" w:right="1440" w:bottom="1440" w:left="1440" w:header="720" w:footer="720" w:gutter="0"/>
      <w:cols w:space="720"/>
      <w:docGrid w:linePitch="360"/>
      <w:headerReference w:type="default" r:id="R1b6a853fa85747a3"/>
      <w:footerReference w:type="default" r:id="R14013d96fe9644d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45B7957" w:rsidTr="545B7957" w14:paraId="604FD76B">
      <w:trPr>
        <w:trHeight w:val="300"/>
      </w:trPr>
      <w:tc>
        <w:tcPr>
          <w:tcW w:w="3005" w:type="dxa"/>
          <w:tcMar/>
        </w:tcPr>
        <w:p w:rsidR="545B7957" w:rsidP="545B7957" w:rsidRDefault="545B7957" w14:paraId="34EC19A1" w14:textId="29723A8A">
          <w:pPr>
            <w:pStyle w:val="Header"/>
            <w:bidi w:val="0"/>
            <w:ind w:left="-115"/>
            <w:jc w:val="left"/>
          </w:pPr>
        </w:p>
      </w:tc>
      <w:tc>
        <w:tcPr>
          <w:tcW w:w="3005" w:type="dxa"/>
          <w:tcMar/>
        </w:tcPr>
        <w:p w:rsidR="545B7957" w:rsidP="545B7957" w:rsidRDefault="545B7957" w14:paraId="6F0A8984" w14:textId="53E1FF8B">
          <w:pPr>
            <w:pStyle w:val="Header"/>
            <w:bidi w:val="0"/>
            <w:jc w:val="center"/>
          </w:pPr>
        </w:p>
      </w:tc>
      <w:tc>
        <w:tcPr>
          <w:tcW w:w="3005" w:type="dxa"/>
          <w:tcMar/>
        </w:tcPr>
        <w:p w:rsidR="545B7957" w:rsidP="545B7957" w:rsidRDefault="545B7957" w14:paraId="0FFADC25" w14:textId="0781B8DF">
          <w:pPr>
            <w:pStyle w:val="Header"/>
            <w:bidi w:val="0"/>
            <w:ind w:right="-115"/>
            <w:jc w:val="right"/>
          </w:pPr>
        </w:p>
      </w:tc>
    </w:tr>
  </w:tbl>
  <w:p w:rsidR="545B7957" w:rsidP="545B7957" w:rsidRDefault="545B7957" w14:paraId="5C474605" w14:textId="3C7A306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45B7957" w:rsidTr="545B7957" w14:paraId="19CA2AE3">
      <w:trPr>
        <w:trHeight w:val="300"/>
      </w:trPr>
      <w:tc>
        <w:tcPr>
          <w:tcW w:w="3005" w:type="dxa"/>
          <w:tcMar/>
        </w:tcPr>
        <w:p w:rsidR="545B7957" w:rsidP="545B7957" w:rsidRDefault="545B7957" w14:paraId="2020E258" w14:textId="55CBF461">
          <w:pPr>
            <w:pStyle w:val="Header"/>
            <w:bidi w:val="0"/>
            <w:ind w:left="-115"/>
            <w:jc w:val="left"/>
          </w:pPr>
        </w:p>
      </w:tc>
      <w:tc>
        <w:tcPr>
          <w:tcW w:w="3005" w:type="dxa"/>
          <w:tcMar/>
        </w:tcPr>
        <w:p w:rsidR="545B7957" w:rsidP="545B7957" w:rsidRDefault="545B7957" w14:paraId="0E78F5F0" w14:textId="69CF0BE5">
          <w:pPr>
            <w:pStyle w:val="Header"/>
            <w:bidi w:val="0"/>
            <w:jc w:val="center"/>
          </w:pPr>
          <w:r w:rsidR="545B7957">
            <w:drawing>
              <wp:inline wp14:editId="21338D23" wp14:anchorId="2B729E1F">
                <wp:extent cx="1771650" cy="514350"/>
                <wp:effectExtent l="0" t="0" r="0" b="0"/>
                <wp:docPr id="6677717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67771703" name="Picture 66777170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6332995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514350"/>
                        </a:xfrm>
                        <a:prstGeom xmlns:a="http://schemas.openxmlformats.org/drawingml/2006/main" prst="rect">
                          <a:avLst xmlns:a="http://schemas.openxmlformats.org/drawingml/2006/main"/>
                        </a:prstGeom>
                      </pic:spPr>
                    </pic:pic>
                  </a:graphicData>
                </a:graphic>
              </wp:inline>
            </w:drawing>
          </w:r>
        </w:p>
      </w:tc>
      <w:tc>
        <w:tcPr>
          <w:tcW w:w="3005" w:type="dxa"/>
          <w:tcMar/>
        </w:tcPr>
        <w:p w:rsidR="545B7957" w:rsidP="545B7957" w:rsidRDefault="545B7957" w14:paraId="1B67536F" w14:textId="478C7695">
          <w:pPr>
            <w:pStyle w:val="Header"/>
            <w:bidi w:val="0"/>
            <w:ind w:right="-115"/>
            <w:jc w:val="right"/>
          </w:pPr>
        </w:p>
      </w:tc>
    </w:tr>
  </w:tbl>
  <w:p w:rsidR="545B7957" w:rsidP="545B7957" w:rsidRDefault="545B7957" w14:paraId="0962E0BC" w14:textId="0C2E866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F89A6"/>
    <w:rsid w:val="011BB91D"/>
    <w:rsid w:val="023ACB88"/>
    <w:rsid w:val="03863F87"/>
    <w:rsid w:val="03D19677"/>
    <w:rsid w:val="07FAAF8C"/>
    <w:rsid w:val="0E0B517D"/>
    <w:rsid w:val="0E344BC7"/>
    <w:rsid w:val="14710E07"/>
    <w:rsid w:val="1713181F"/>
    <w:rsid w:val="175F30A4"/>
    <w:rsid w:val="208FAD8A"/>
    <w:rsid w:val="23B4D284"/>
    <w:rsid w:val="23EF89A6"/>
    <w:rsid w:val="249497D0"/>
    <w:rsid w:val="25C3E7FD"/>
    <w:rsid w:val="29520218"/>
    <w:rsid w:val="2BBB0B93"/>
    <w:rsid w:val="3028BB17"/>
    <w:rsid w:val="329AEE95"/>
    <w:rsid w:val="32FAE534"/>
    <w:rsid w:val="350719A9"/>
    <w:rsid w:val="3B617E3A"/>
    <w:rsid w:val="3FD194E6"/>
    <w:rsid w:val="440F97F8"/>
    <w:rsid w:val="4AD5629A"/>
    <w:rsid w:val="4C498075"/>
    <w:rsid w:val="4F0B0F1D"/>
    <w:rsid w:val="53079388"/>
    <w:rsid w:val="545B7957"/>
    <w:rsid w:val="56B74E1B"/>
    <w:rsid w:val="5935B998"/>
    <w:rsid w:val="60BCE7DA"/>
    <w:rsid w:val="6473ACC2"/>
    <w:rsid w:val="69436BB4"/>
    <w:rsid w:val="6B7B9088"/>
    <w:rsid w:val="6C0AAC5E"/>
    <w:rsid w:val="723F09CE"/>
    <w:rsid w:val="75C43E61"/>
    <w:rsid w:val="764F5DAB"/>
    <w:rsid w:val="76AC2BE4"/>
    <w:rsid w:val="7B3E9350"/>
    <w:rsid w:val="7CB01B0D"/>
    <w:rsid w:val="7D424E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4BCA"/>
  <w15:chartTrackingRefBased/>
  <w15:docId w15:val="{5C60AC2B-769B-4FB0-91BF-F23412B8F0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ing1">
    <w:uiPriority w:val="9"/>
    <w:name w:val="heading 1"/>
    <w:basedOn w:val="Normal"/>
    <w:next w:val="Normal"/>
    <w:qFormat/>
    <w:rsid w:val="545B795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545B7957"/>
    <w:pPr>
      <w:tabs>
        <w:tab w:val="center" w:leader="none" w:pos="4680"/>
        <w:tab w:val="right" w:leader="none" w:pos="9360"/>
      </w:tabs>
      <w:spacing w:after="0" w:line="240" w:lineRule="auto"/>
    </w:pPr>
  </w:style>
  <w:style w:type="paragraph" w:styleId="Footer">
    <w:uiPriority w:val="99"/>
    <w:name w:val="footer"/>
    <w:basedOn w:val="Normal"/>
    <w:unhideWhenUsed/>
    <w:rsid w:val="545B795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b6a853fa85747a3" /><Relationship Type="http://schemas.openxmlformats.org/officeDocument/2006/relationships/footer" Target="footer.xml" Id="R14013d96fe9644d9" /><Relationship Type="http://schemas.openxmlformats.org/officeDocument/2006/relationships/hyperlink" Target="https://www.concanaco.org/blog/comunicados-de-prensa-4/buen-fin-2025-supera-expectativas-en-ventas-y-participacion-concanaco-servytur-reconoce-resultados-oficiales-y-presenta-su-propio-informe-1277" TargetMode="External" Id="R894a475c2f7d4e5f" /></Relationships>
</file>

<file path=word/_rels/header.xml.rels>&#65279;<?xml version="1.0" encoding="utf-8"?><Relationships xmlns="http://schemas.openxmlformats.org/package/2006/relationships"><Relationship Type="http://schemas.openxmlformats.org/officeDocument/2006/relationships/image" Target="/media/image.png" Id="rId7633299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1" ma:contentTypeDescription="Create a new document." ma:contentTypeScope="" ma:versionID="b465360bd75c2712a4ad6e0aead21c38">
  <xsd:schema xmlns:xsd="http://www.w3.org/2001/XMLSchema" xmlns:xs="http://www.w3.org/2001/XMLSchema" xmlns:p="http://schemas.microsoft.com/office/2006/metadata/properties" xmlns:ns2="549d9b32-086f-4d1d-a400-c5b4faa47054" targetNamespace="http://schemas.microsoft.com/office/2006/metadata/properties" ma:root="true" ma:fieldsID="5dd68fe4ce89786c927a44d1ff7ac8e3"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E579EE-7C92-4F78-852C-454B70AC9688}"/>
</file>

<file path=customXml/itemProps2.xml><?xml version="1.0" encoding="utf-8"?>
<ds:datastoreItem xmlns:ds="http://schemas.openxmlformats.org/officeDocument/2006/customXml" ds:itemID="{D63075FB-E752-4E6D-B126-5A5CCD33DCFF}"/>
</file>

<file path=customXml/itemProps3.xml><?xml version="1.0" encoding="utf-8"?>
<ds:datastoreItem xmlns:ds="http://schemas.openxmlformats.org/officeDocument/2006/customXml" ds:itemID="{3BE5C114-1348-4A85-A4D3-77FC27A702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Pineda Negrete</dc:creator>
  <keywords/>
  <dc:description/>
  <lastModifiedBy>Amayrany Fernanda Hérnandez</lastModifiedBy>
  <dcterms:created xsi:type="dcterms:W3CDTF">2026-05-28T23:33:39.0000000Z</dcterms:created>
  <dcterms:modified xsi:type="dcterms:W3CDTF">2026-06-15T05:08:18.5986283Z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