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887DA" w14:textId="77777777" w:rsidR="006B0110" w:rsidRDefault="006B0110" w:rsidP="003B3FFD">
      <w:pPr>
        <w:pStyle w:val="MNewsDatum"/>
        <w:rPr>
          <w:noProof/>
        </w:rPr>
      </w:pPr>
      <w:r w:rsidRPr="00586001">
        <w:rPr>
          <w:noProof/>
        </w:rPr>
        <w:drawing>
          <wp:inline distT="0" distB="0" distL="0" distR="0" wp14:anchorId="6035DA3D" wp14:editId="711C6E1D">
            <wp:extent cx="5797296" cy="2349416"/>
            <wp:effectExtent l="0" t="0" r="0" b="635"/>
            <wp:docPr id="1304220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0286" name="drawing"/>
                    <pic:cNvPicPr/>
                  </pic:nvPicPr>
                  <pic:blipFill>
                    <a:blip r:embed="rId11"/>
                    <a:stretch>
                      <a:fillRect/>
                    </a:stretch>
                  </pic:blipFill>
                  <pic:spPr>
                    <a:xfrm>
                      <a:off x="0" y="0"/>
                      <a:ext cx="5813223" cy="2355871"/>
                    </a:xfrm>
                    <a:prstGeom prst="rect">
                      <a:avLst/>
                    </a:prstGeom>
                  </pic:spPr>
                </pic:pic>
              </a:graphicData>
            </a:graphic>
          </wp:inline>
        </w:drawing>
      </w:r>
    </w:p>
    <w:p w14:paraId="73542C24" w14:textId="77777777" w:rsidR="006B0110" w:rsidRDefault="006B0110" w:rsidP="003B3FFD">
      <w:pPr>
        <w:pStyle w:val="MNewsDatum"/>
        <w:rPr>
          <w:noProof/>
        </w:rPr>
      </w:pPr>
    </w:p>
    <w:p w14:paraId="66870387" w14:textId="77777777" w:rsidR="00203872" w:rsidRDefault="00203872" w:rsidP="003B3FFD">
      <w:pPr>
        <w:pStyle w:val="MNewsDatum"/>
        <w:rPr>
          <w:noProof/>
        </w:rPr>
      </w:pPr>
    </w:p>
    <w:p w14:paraId="746ADF03" w14:textId="31F08612" w:rsidR="00B13178" w:rsidRDefault="002801F9" w:rsidP="003B3FFD">
      <w:pPr>
        <w:pStyle w:val="MNewsDatum"/>
      </w:pPr>
      <w:r>
        <w:rPr>
          <w:noProof/>
        </w:rPr>
        <w:t>APRIL</w:t>
      </w:r>
      <w:r w:rsidR="00B13178" w:rsidRPr="007626CB">
        <w:rPr>
          <w:noProof/>
        </w:rPr>
        <w:t xml:space="preserve"> </w:t>
      </w:r>
      <w:r w:rsidR="00B13178" w:rsidRPr="007626CB">
        <w:t>202</w:t>
      </w:r>
      <w:r w:rsidR="00D61426">
        <w:t>6</w:t>
      </w:r>
    </w:p>
    <w:p w14:paraId="664B3610" w14:textId="35636819" w:rsidR="008350DE" w:rsidRDefault="008350DE" w:rsidP="008350DE">
      <w:pPr>
        <w:pStyle w:val="MNews1"/>
      </w:pPr>
      <w:r>
        <w:t xml:space="preserve">Merging Technologies Announces </w:t>
      </w:r>
      <w:r w:rsidR="002801F9">
        <w:t>Ovation 12</w:t>
      </w:r>
    </w:p>
    <w:p w14:paraId="38CDE7E1" w14:textId="77777777" w:rsidR="00EA1FE9" w:rsidRDefault="00EA1FE9" w:rsidP="008350DE">
      <w:pPr>
        <w:pStyle w:val="MNews1"/>
      </w:pPr>
    </w:p>
    <w:p w14:paraId="6D33CF46" w14:textId="47BDF6B4" w:rsidR="008350DE" w:rsidRDefault="00D12F00" w:rsidP="00D626BC">
      <w:pPr>
        <w:pStyle w:val="MNewsText"/>
        <w:rPr>
          <w:b/>
        </w:rPr>
      </w:pPr>
      <w:r w:rsidRPr="00D12F00">
        <w:rPr>
          <w:b/>
        </w:rPr>
        <w:t>A New Era for Live Show Control with Integrated Video, Advanced Synchronization, and Expanded Performance</w:t>
      </w:r>
    </w:p>
    <w:p w14:paraId="7D4D657E" w14:textId="77777777" w:rsidR="00D12F00" w:rsidRPr="00D626BC" w:rsidRDefault="00D12F00" w:rsidP="00D626BC">
      <w:pPr>
        <w:pStyle w:val="MNewsText"/>
        <w:rPr>
          <w:rFonts w:cstheme="minorHAnsi"/>
          <w:b/>
          <w:bCs/>
        </w:rPr>
      </w:pPr>
    </w:p>
    <w:p w14:paraId="3B49E86F" w14:textId="7C71FD2C" w:rsidR="00666E3D" w:rsidRPr="002102BC" w:rsidRDefault="008350DE" w:rsidP="008350DE">
      <w:pPr>
        <w:pStyle w:val="MNewsTextAbstand"/>
        <w:rPr>
          <w:b/>
          <w:bCs/>
        </w:rPr>
      </w:pPr>
      <w:r w:rsidRPr="002102BC">
        <w:rPr>
          <w:b/>
          <w:bCs/>
        </w:rPr>
        <w:t>Puidoux,</w:t>
      </w:r>
      <w:r w:rsidR="008B29A4">
        <w:rPr>
          <w:b/>
          <w:bCs/>
        </w:rPr>
        <w:t xml:space="preserve"> Switzerland,</w:t>
      </w:r>
      <w:r w:rsidRPr="002102BC">
        <w:rPr>
          <w:b/>
          <w:bCs/>
        </w:rPr>
        <w:t xml:space="preserve"> </w:t>
      </w:r>
      <w:r w:rsidR="00EB3FD6">
        <w:rPr>
          <w:b/>
          <w:bCs/>
        </w:rPr>
        <w:t>April</w:t>
      </w:r>
      <w:r w:rsidRPr="002102BC">
        <w:rPr>
          <w:b/>
          <w:bCs/>
        </w:rPr>
        <w:t xml:space="preserve"> 2026 </w:t>
      </w:r>
      <w:r w:rsidR="00EE5672" w:rsidRPr="00EE5672">
        <w:rPr>
          <w:b/>
          <w:bCs/>
        </w:rPr>
        <w:t>– Merging Technologies announces the upcoming release of Ovation 12, the latest major update to its industry leading audio playout system and show sequencer software. Scheduled for release on April 30, 2026, Ovation 12 represents a significant evolution of the platform, introducing native video playback, enhanced synchronization capabilities, and expanded I/O performance for today’s most demanding live and installation environments.</w:t>
      </w:r>
    </w:p>
    <w:p w14:paraId="2728A434" w14:textId="4498EBE3" w:rsidR="002102BC" w:rsidRDefault="005363B6" w:rsidP="008350DE">
      <w:pPr>
        <w:pStyle w:val="MNewsTextAbstand"/>
      </w:pPr>
      <w:r w:rsidRPr="005363B6">
        <w:t xml:space="preserve">Trusted as the beating heart of theme parks, museums, broadcast facilities, and complex live productions worldwide, Ovation has earned its reputation for rock solid reliability, </w:t>
      </w:r>
      <w:r w:rsidR="006C6FD0" w:rsidRPr="005363B6">
        <w:t>ultra-low</w:t>
      </w:r>
      <w:r w:rsidRPr="005363B6">
        <w:t xml:space="preserve"> latency performance, and unmatched flexibility. With Ovation 12, Merging Technologies responds directly to customer feedback by extending the platform beyond audio</w:t>
      </w:r>
      <w:r w:rsidR="00D51300">
        <w:t xml:space="preserve"> – </w:t>
      </w:r>
      <w:r w:rsidRPr="005363B6">
        <w:t>without compromising its core strengths.</w:t>
      </w:r>
    </w:p>
    <w:p w14:paraId="64D1F0D7" w14:textId="77777777" w:rsidR="006B0110" w:rsidRDefault="006B0110" w:rsidP="008350DE">
      <w:pPr>
        <w:pStyle w:val="MNewsTextAbstand"/>
        <w:rPr>
          <w:b/>
          <w:bCs/>
        </w:rPr>
      </w:pPr>
    </w:p>
    <w:p w14:paraId="789D19BD" w14:textId="5EF7D5CD" w:rsidR="004D2EA4" w:rsidRDefault="004D2EA4" w:rsidP="008350DE">
      <w:pPr>
        <w:pStyle w:val="MNewsTextAbstand"/>
        <w:rPr>
          <w:b/>
          <w:bCs/>
        </w:rPr>
      </w:pPr>
      <w:r w:rsidRPr="004D2EA4">
        <w:rPr>
          <w:b/>
          <w:bCs/>
        </w:rPr>
        <w:t>Native Video Playback, Seamlessly Integrated</w:t>
      </w:r>
    </w:p>
    <w:p w14:paraId="63800482" w14:textId="334A3953" w:rsidR="00B90AC3" w:rsidRDefault="00B90AC3" w:rsidP="00B90AC3">
      <w:pPr>
        <w:pStyle w:val="MNewsTextAbstand"/>
      </w:pPr>
      <w:r>
        <w:t>With Ovation 12, video playback becomes an integral part of the show workflow.</w:t>
      </w:r>
    </w:p>
    <w:p w14:paraId="4139EE28" w14:textId="132BD416" w:rsidR="00B90AC3" w:rsidRDefault="00B90AC3" w:rsidP="00B90AC3">
      <w:pPr>
        <w:pStyle w:val="MNewsTextAbstand"/>
      </w:pPr>
      <w:r>
        <w:t>Video files can now be dragged and dropped directly into playlists and handled like any other cue</w:t>
      </w:r>
      <w:r w:rsidR="00D51300">
        <w:t xml:space="preserve"> – </w:t>
      </w:r>
      <w:r>
        <w:t>even while a show is running. Audio fade</w:t>
      </w:r>
      <w:r w:rsidR="00D35953">
        <w:t>-</w:t>
      </w:r>
      <w:r>
        <w:t>ins and timing can be precisely aligned to picture using Ovation’s active cue window, ensuring tight synchronization during rehearsals and live operation.</w:t>
      </w:r>
    </w:p>
    <w:p w14:paraId="6635D940" w14:textId="77777777" w:rsidR="00B90AC3" w:rsidRDefault="00B90AC3" w:rsidP="00B90AC3">
      <w:pPr>
        <w:pStyle w:val="MNewsTextAbstand"/>
      </w:pPr>
      <w:r>
        <w:t>Ovation 12 supports all common video formats, with files easily trimmed directly within Ovation or prepared in Pyramix. Up to four video streams can be played simultaneously via standard computer graphics cards, delivering powerful visual integration without additional complexity.</w:t>
      </w:r>
    </w:p>
    <w:p w14:paraId="64CAA333" w14:textId="62BD2058" w:rsidR="009D59FB" w:rsidRPr="009D59FB" w:rsidRDefault="00E14A50" w:rsidP="000D7FB1">
      <w:pPr>
        <w:pStyle w:val="MNewsText"/>
      </w:pPr>
      <w:r w:rsidRPr="008C72AB">
        <w:rPr>
          <w:noProof/>
        </w:rPr>
        <w:lastRenderedPageBreak/>
        <w:drawing>
          <wp:inline distT="0" distB="0" distL="0" distR="0" wp14:anchorId="0C8EB1C1" wp14:editId="5FBE550C">
            <wp:extent cx="5771667" cy="1453570"/>
            <wp:effectExtent l="0" t="0" r="0" b="0"/>
            <wp:docPr id="13285375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37582" name="drawing"/>
                    <pic:cNvPicPr/>
                  </pic:nvPicPr>
                  <pic:blipFill>
                    <a:blip r:embed="rId12"/>
                    <a:stretch>
                      <a:fillRect/>
                    </a:stretch>
                  </pic:blipFill>
                  <pic:spPr>
                    <a:xfrm>
                      <a:off x="0" y="0"/>
                      <a:ext cx="5771667" cy="1453570"/>
                    </a:xfrm>
                    <a:prstGeom prst="rect">
                      <a:avLst/>
                    </a:prstGeom>
                  </pic:spPr>
                </pic:pic>
              </a:graphicData>
            </a:graphic>
          </wp:inline>
        </w:drawing>
      </w:r>
    </w:p>
    <w:p w14:paraId="412D706E" w14:textId="77777777" w:rsidR="00666E3D" w:rsidRDefault="00666E3D" w:rsidP="00666E3D">
      <w:pPr>
        <w:pStyle w:val="MNewsTextAbstand"/>
      </w:pPr>
    </w:p>
    <w:p w14:paraId="5FCE96A8" w14:textId="1092660E" w:rsidR="00666E3D" w:rsidRPr="00666E3D" w:rsidRDefault="00C31340" w:rsidP="00666E3D">
      <w:pPr>
        <w:pStyle w:val="MNewsTextAbstand"/>
        <w:rPr>
          <w:b/>
          <w:bCs/>
        </w:rPr>
      </w:pPr>
      <w:r w:rsidRPr="00C31340">
        <w:rPr>
          <w:b/>
          <w:bCs/>
        </w:rPr>
        <w:t>Advanced Timecode Control with Multiple LTC Outputs</w:t>
      </w:r>
      <w:r>
        <w:rPr>
          <w:b/>
          <w:bCs/>
        </w:rPr>
        <w:t xml:space="preserve"> </w:t>
      </w:r>
    </w:p>
    <w:p w14:paraId="1D50DCF3" w14:textId="12755CFA" w:rsidR="00736679" w:rsidRDefault="00736679" w:rsidP="00736679">
      <w:pPr>
        <w:pStyle w:val="MNewsTextAbstand"/>
      </w:pPr>
      <w:r>
        <w:t xml:space="preserve">Complex productions often rely on multiple </w:t>
      </w:r>
      <w:r w:rsidR="00D51300">
        <w:t>third-party</w:t>
      </w:r>
      <w:r>
        <w:t xml:space="preserve"> systems for lighting, video, special effects, and automation. Ovation 12 introduces native generation of multiple LTC outputs, enabling operators to drive several external sequencers simultaneously</w:t>
      </w:r>
      <w:r w:rsidR="00D51300">
        <w:t xml:space="preserve"> – </w:t>
      </w:r>
      <w:r>
        <w:t>each with its own independent timecode.</w:t>
      </w:r>
    </w:p>
    <w:p w14:paraId="423910A6" w14:textId="66425D23" w:rsidR="00736679" w:rsidRDefault="00736679" w:rsidP="00736679">
      <w:pPr>
        <w:pStyle w:val="MNewsTextAbstand"/>
      </w:pPr>
      <w:r>
        <w:t xml:space="preserve">LTC can be routed to any audio output, generated at any frame rate, and sourced flexibly from show time, timed cue lists, or individual cues. Timecode readouts can be displayed anywhere on the operator’s screen, providing clear, </w:t>
      </w:r>
      <w:r w:rsidR="00D51300">
        <w:t>real-time</w:t>
      </w:r>
      <w:r>
        <w:t xml:space="preserve"> visibility in mission</w:t>
      </w:r>
      <w:r w:rsidR="00A413CE">
        <w:t>-</w:t>
      </w:r>
      <w:r>
        <w:t>critical environments.</w:t>
      </w:r>
    </w:p>
    <w:p w14:paraId="264A3ABD" w14:textId="279A873D" w:rsidR="00991F1D" w:rsidRDefault="00736679" w:rsidP="00736679">
      <w:pPr>
        <w:pStyle w:val="MNewsTextAbstand"/>
      </w:pPr>
      <w:r>
        <w:t>This new capability eliminates workarounds and significantly simplifies synchronization in large scale, multi</w:t>
      </w:r>
      <w:r w:rsidR="00047F63">
        <w:t>-</w:t>
      </w:r>
      <w:r>
        <w:t>system productions.</w:t>
      </w:r>
    </w:p>
    <w:p w14:paraId="2FD8D96A" w14:textId="7D330F02" w:rsidR="00666E3D" w:rsidRPr="000D7FB1" w:rsidRDefault="00C60E70" w:rsidP="000D7FB1">
      <w:pPr>
        <w:pStyle w:val="MNewsTextAbstand"/>
      </w:pPr>
      <w:r w:rsidRPr="008C72AB">
        <w:rPr>
          <w:noProof/>
        </w:rPr>
        <w:drawing>
          <wp:inline distT="0" distB="0" distL="0" distR="0" wp14:anchorId="321B43EC" wp14:editId="39F44D6A">
            <wp:extent cx="5795645" cy="1871523"/>
            <wp:effectExtent l="0" t="0" r="0" b="0"/>
            <wp:docPr id="344329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9657" name="drawing"/>
                    <pic:cNvPicPr/>
                  </pic:nvPicPr>
                  <pic:blipFill>
                    <a:blip r:embed="rId13"/>
                    <a:srcRect l="346" r="346"/>
                    <a:stretch>
                      <a:fillRect/>
                    </a:stretch>
                  </pic:blipFill>
                  <pic:spPr bwMode="auto">
                    <a:xfrm>
                      <a:off x="0" y="0"/>
                      <a:ext cx="5795645" cy="1871523"/>
                    </a:xfrm>
                    <a:prstGeom prst="rect">
                      <a:avLst/>
                    </a:prstGeom>
                    <a:ln>
                      <a:noFill/>
                    </a:ln>
                    <a:extLst>
                      <a:ext uri="{53640926-AAD7-44D8-BBD7-CCE9431645EC}">
                        <a14:shadowObscured xmlns:a14="http://schemas.microsoft.com/office/drawing/2010/main"/>
                      </a:ext>
                    </a:extLst>
                  </pic:spPr>
                </pic:pic>
              </a:graphicData>
            </a:graphic>
          </wp:inline>
        </w:drawing>
      </w:r>
    </w:p>
    <w:p w14:paraId="45C21958" w14:textId="77777777" w:rsidR="00666E3D" w:rsidRDefault="00666E3D" w:rsidP="000D7FB1">
      <w:pPr>
        <w:pStyle w:val="MNewsTextAbstand"/>
        <w:rPr>
          <w:b/>
          <w:bCs/>
        </w:rPr>
      </w:pPr>
    </w:p>
    <w:p w14:paraId="4F617254" w14:textId="77777777" w:rsidR="00EF07B8" w:rsidRPr="00EF07B8" w:rsidRDefault="00EF07B8" w:rsidP="00EF07B8">
      <w:pPr>
        <w:pStyle w:val="MNewsTextAbstand"/>
        <w:rPr>
          <w:b/>
          <w:bCs/>
        </w:rPr>
      </w:pPr>
      <w:r w:rsidRPr="00EF07B8">
        <w:rPr>
          <w:b/>
          <w:bCs/>
        </w:rPr>
        <w:t>True Bidirectional Automation with Pyramix</w:t>
      </w:r>
    </w:p>
    <w:p w14:paraId="686BD63B" w14:textId="77777777" w:rsidR="00EF07B8" w:rsidRPr="00EF07B8" w:rsidRDefault="00EF07B8" w:rsidP="00EF07B8">
      <w:pPr>
        <w:pStyle w:val="MNewsTextAbstand"/>
      </w:pPr>
      <w:r w:rsidRPr="00EF07B8">
        <w:t>Ovation and Pyramix have long formed a powerful ecosystem, allowing sound designers to create content in Pyramix and publish it to Ovation with a single operation. Ovation 12 deepens this integration with fully bidirectional automation exchange.</w:t>
      </w:r>
    </w:p>
    <w:p w14:paraId="6602CE14" w14:textId="1F3EA567" w:rsidR="00EF07B8" w:rsidRPr="00EF07B8" w:rsidRDefault="00EF07B8" w:rsidP="00EF07B8">
      <w:pPr>
        <w:pStyle w:val="MNewsTextAbstand"/>
      </w:pPr>
      <w:r w:rsidRPr="00EF07B8">
        <w:t>Automation data can now flow both ways between Ovation and Pyramix, enabling engineers to refine cues in Pyramix during rehearsals and seamlessly return them to the show environment</w:t>
      </w:r>
      <w:r w:rsidR="00D51300">
        <w:t xml:space="preserve"> – </w:t>
      </w:r>
      <w:r w:rsidRPr="00EF07B8">
        <w:t>without losing automation detail. This enhancement delivers unprecedented flexibility for adapting productions right up until showtime.</w:t>
      </w:r>
    </w:p>
    <w:p w14:paraId="29DEC79D" w14:textId="6CD96D8A" w:rsidR="00EF07B8" w:rsidRPr="000D7FB1" w:rsidRDefault="00533F93" w:rsidP="000D7FB1">
      <w:pPr>
        <w:pStyle w:val="MNewsTextAbstand"/>
        <w:rPr>
          <w:b/>
          <w:bCs/>
        </w:rPr>
      </w:pPr>
      <w:r w:rsidRPr="008C72AB">
        <w:rPr>
          <w:noProof/>
        </w:rPr>
        <w:lastRenderedPageBreak/>
        <w:drawing>
          <wp:inline distT="0" distB="0" distL="0" distR="0" wp14:anchorId="6C4C4AC8" wp14:editId="69C9EBDD">
            <wp:extent cx="5840358" cy="3023002"/>
            <wp:effectExtent l="0" t="0" r="1905" b="0"/>
            <wp:docPr id="422527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7665" name="drawing"/>
                    <pic:cNvPicPr/>
                  </pic:nvPicPr>
                  <pic:blipFill>
                    <a:blip r:embed="rId14"/>
                    <a:stretch>
                      <a:fillRect/>
                    </a:stretch>
                  </pic:blipFill>
                  <pic:spPr>
                    <a:xfrm>
                      <a:off x="0" y="0"/>
                      <a:ext cx="5840358" cy="3023002"/>
                    </a:xfrm>
                    <a:prstGeom prst="rect">
                      <a:avLst/>
                    </a:prstGeom>
                  </pic:spPr>
                </pic:pic>
              </a:graphicData>
            </a:graphic>
          </wp:inline>
        </w:drawing>
      </w:r>
    </w:p>
    <w:p w14:paraId="5339B885" w14:textId="77777777" w:rsidR="0050246B" w:rsidRDefault="0050246B" w:rsidP="000D7FB1">
      <w:pPr>
        <w:pStyle w:val="MNewsTextAbstand"/>
        <w:rPr>
          <w:b/>
          <w:bCs/>
        </w:rPr>
      </w:pPr>
    </w:p>
    <w:p w14:paraId="1945B203" w14:textId="48B141E5" w:rsidR="000D7FB1" w:rsidRPr="000D7FB1" w:rsidRDefault="00BB745E" w:rsidP="000D7FB1">
      <w:pPr>
        <w:pStyle w:val="MNewsTextAbstand"/>
        <w:rPr>
          <w:b/>
          <w:bCs/>
        </w:rPr>
      </w:pPr>
      <w:r w:rsidRPr="00BB745E">
        <w:rPr>
          <w:b/>
          <w:bCs/>
        </w:rPr>
        <w:t>Expanded I/O and Performance Headroom</w:t>
      </w:r>
    </w:p>
    <w:p w14:paraId="2E0B9642" w14:textId="77777777" w:rsidR="00D20872" w:rsidRDefault="00D20872" w:rsidP="00D20872">
      <w:pPr>
        <w:pStyle w:val="MNewsTextAbstand"/>
      </w:pPr>
      <w:r>
        <w:t>Ovation 12 significantly increases the number of simultaneous inputs and outputs available in Native mode across the ELEMENTS, PRO, and PREMIUM editions, while continuing to scale to extreme channel counts when paired with MassCore.</w:t>
      </w:r>
    </w:p>
    <w:p w14:paraId="1FC6A4EB" w14:textId="1377B532" w:rsidR="00D20872" w:rsidRDefault="00D20872" w:rsidP="00D20872">
      <w:pPr>
        <w:pStyle w:val="MNewsTextAbstand"/>
      </w:pPr>
      <w:r>
        <w:t>This expansion provides greater headroom for large, multichannel productions and reinforces Ovation’s position as a high resolution, low latency platform built for the most demanding applications.</w:t>
      </w:r>
    </w:p>
    <w:tbl>
      <w:tblPr>
        <w:tblW w:w="6048" w:type="dxa"/>
        <w:tblLook w:val="04A0" w:firstRow="1" w:lastRow="0" w:firstColumn="1" w:lastColumn="0" w:noHBand="0" w:noVBand="1"/>
      </w:tblPr>
      <w:tblGrid>
        <w:gridCol w:w="2268"/>
        <w:gridCol w:w="550"/>
        <w:gridCol w:w="550"/>
        <w:gridCol w:w="467"/>
        <w:gridCol w:w="467"/>
        <w:gridCol w:w="550"/>
        <w:gridCol w:w="550"/>
        <w:gridCol w:w="467"/>
        <w:gridCol w:w="467"/>
      </w:tblGrid>
      <w:tr w:rsidR="00413528" w:rsidRPr="00514AB1" w14:paraId="402D0575" w14:textId="77777777" w:rsidTr="00597242">
        <w:trPr>
          <w:trHeight w:val="320"/>
        </w:trPr>
        <w:tc>
          <w:tcPr>
            <w:tcW w:w="2268" w:type="dxa"/>
            <w:tcBorders>
              <w:top w:val="nil"/>
              <w:left w:val="nil"/>
              <w:bottom w:val="nil"/>
              <w:right w:val="nil"/>
            </w:tcBorders>
            <w:noWrap/>
            <w:vAlign w:val="bottom"/>
            <w:hideMark/>
          </w:tcPr>
          <w:p w14:paraId="209015AE" w14:textId="77777777" w:rsidR="00413528" w:rsidRPr="00514AB1" w:rsidRDefault="00413528" w:rsidP="00597242">
            <w:pPr>
              <w:rPr>
                <w:rFonts w:ascii="Arial" w:hAnsi="Arial" w:cs="Arial"/>
                <w:sz w:val="20"/>
                <w:szCs w:val="20"/>
              </w:rPr>
            </w:pPr>
          </w:p>
        </w:tc>
        <w:tc>
          <w:tcPr>
            <w:tcW w:w="1746" w:type="dxa"/>
            <w:gridSpan w:val="4"/>
            <w:tcBorders>
              <w:top w:val="single" w:sz="8" w:space="0" w:color="auto"/>
              <w:left w:val="single" w:sz="8" w:space="0" w:color="auto"/>
              <w:bottom w:val="single" w:sz="4" w:space="0" w:color="auto"/>
              <w:right w:val="single" w:sz="8" w:space="0" w:color="auto"/>
            </w:tcBorders>
            <w:noWrap/>
            <w:vAlign w:val="center"/>
            <w:hideMark/>
          </w:tcPr>
          <w:p w14:paraId="529C6EF4" w14:textId="77777777" w:rsidR="00413528" w:rsidRPr="00514AB1" w:rsidRDefault="00413528" w:rsidP="00597242">
            <w:pPr>
              <w:jc w:val="center"/>
              <w:rPr>
                <w:rFonts w:ascii="Arial" w:hAnsi="Arial" w:cs="Arial"/>
                <w:b/>
                <w:bCs/>
                <w:color w:val="000000"/>
                <w:sz w:val="20"/>
                <w:szCs w:val="20"/>
              </w:rPr>
            </w:pPr>
            <w:r w:rsidRPr="00514AB1">
              <w:rPr>
                <w:rFonts w:ascii="Arial" w:hAnsi="Arial" w:cs="Arial"/>
                <w:b/>
                <w:bCs/>
                <w:color w:val="000000"/>
                <w:sz w:val="20"/>
                <w:szCs w:val="20"/>
              </w:rPr>
              <w:t xml:space="preserve">With </w:t>
            </w:r>
            <w:r>
              <w:rPr>
                <w:rFonts w:ascii="Arial" w:hAnsi="Arial" w:cs="Arial"/>
                <w:color w:val="000000"/>
                <w:sz w:val="20"/>
                <w:szCs w:val="20"/>
              </w:rPr>
              <w:t>Ovation</w:t>
            </w:r>
            <w:r w:rsidRPr="00514AB1">
              <w:rPr>
                <w:rFonts w:ascii="Arial" w:hAnsi="Arial" w:cs="Arial"/>
                <w:color w:val="000000"/>
                <w:sz w:val="20"/>
                <w:szCs w:val="20"/>
              </w:rPr>
              <w:t xml:space="preserve"> 1</w:t>
            </w:r>
            <w:r>
              <w:rPr>
                <w:rFonts w:ascii="Arial" w:hAnsi="Arial" w:cs="Arial"/>
                <w:color w:val="000000"/>
                <w:sz w:val="20"/>
                <w:szCs w:val="20"/>
              </w:rPr>
              <w:t>2</w:t>
            </w:r>
          </w:p>
        </w:tc>
        <w:tc>
          <w:tcPr>
            <w:tcW w:w="2034" w:type="dxa"/>
            <w:gridSpan w:val="4"/>
            <w:tcBorders>
              <w:top w:val="single" w:sz="8" w:space="0" w:color="auto"/>
              <w:left w:val="nil"/>
              <w:bottom w:val="single" w:sz="4" w:space="0" w:color="auto"/>
              <w:right w:val="single" w:sz="8" w:space="0" w:color="auto"/>
            </w:tcBorders>
            <w:noWrap/>
            <w:vAlign w:val="center"/>
            <w:hideMark/>
          </w:tcPr>
          <w:p w14:paraId="56597010" w14:textId="77777777" w:rsidR="00413528" w:rsidRPr="00514AB1" w:rsidRDefault="00413528" w:rsidP="00597242">
            <w:pPr>
              <w:jc w:val="center"/>
              <w:rPr>
                <w:rFonts w:ascii="Arial" w:hAnsi="Arial" w:cs="Arial"/>
                <w:color w:val="000000"/>
                <w:sz w:val="20"/>
                <w:szCs w:val="20"/>
              </w:rPr>
            </w:pPr>
            <w:r w:rsidRPr="00514AB1">
              <w:rPr>
                <w:rFonts w:ascii="Arial" w:hAnsi="Arial" w:cs="Arial"/>
                <w:b/>
                <w:bCs/>
                <w:color w:val="000000"/>
                <w:sz w:val="20"/>
                <w:szCs w:val="20"/>
              </w:rPr>
              <w:t>Before</w:t>
            </w:r>
            <w:r w:rsidRPr="00514AB1">
              <w:rPr>
                <w:rFonts w:ascii="Arial" w:hAnsi="Arial" w:cs="Arial"/>
                <w:color w:val="000000"/>
                <w:sz w:val="20"/>
                <w:szCs w:val="20"/>
              </w:rPr>
              <w:t xml:space="preserve"> </w:t>
            </w:r>
            <w:r>
              <w:rPr>
                <w:rFonts w:ascii="Arial" w:hAnsi="Arial" w:cs="Arial"/>
                <w:color w:val="000000"/>
                <w:sz w:val="20"/>
                <w:szCs w:val="20"/>
              </w:rPr>
              <w:t>Ovation</w:t>
            </w:r>
            <w:r w:rsidRPr="00514AB1">
              <w:rPr>
                <w:rFonts w:ascii="Arial" w:hAnsi="Arial" w:cs="Arial"/>
                <w:color w:val="000000"/>
                <w:sz w:val="20"/>
                <w:szCs w:val="20"/>
              </w:rPr>
              <w:t xml:space="preserve"> 1</w:t>
            </w:r>
            <w:r>
              <w:rPr>
                <w:rFonts w:ascii="Arial" w:hAnsi="Arial" w:cs="Arial"/>
                <w:color w:val="000000"/>
                <w:sz w:val="20"/>
                <w:szCs w:val="20"/>
              </w:rPr>
              <w:t>2</w:t>
            </w:r>
          </w:p>
        </w:tc>
      </w:tr>
      <w:tr w:rsidR="00413528" w:rsidRPr="00514AB1" w14:paraId="0059B204" w14:textId="77777777" w:rsidTr="00597242">
        <w:trPr>
          <w:trHeight w:val="1220"/>
        </w:trPr>
        <w:tc>
          <w:tcPr>
            <w:tcW w:w="2268" w:type="dxa"/>
            <w:tcBorders>
              <w:top w:val="nil"/>
              <w:left w:val="nil"/>
              <w:bottom w:val="nil"/>
              <w:right w:val="nil"/>
            </w:tcBorders>
            <w:noWrap/>
            <w:vAlign w:val="bottom"/>
            <w:hideMark/>
          </w:tcPr>
          <w:p w14:paraId="1A3725B5" w14:textId="77777777" w:rsidR="00413528" w:rsidRPr="00514AB1" w:rsidRDefault="00413528" w:rsidP="00597242">
            <w:pPr>
              <w:jc w:val="center"/>
              <w:rPr>
                <w:rFonts w:ascii="Arial" w:hAnsi="Arial" w:cs="Arial"/>
                <w:color w:val="000000"/>
                <w:sz w:val="20"/>
                <w:szCs w:val="20"/>
              </w:rPr>
            </w:pPr>
          </w:p>
        </w:tc>
        <w:tc>
          <w:tcPr>
            <w:tcW w:w="262" w:type="dxa"/>
            <w:tcBorders>
              <w:top w:val="nil"/>
              <w:left w:val="single" w:sz="8" w:space="0" w:color="auto"/>
              <w:bottom w:val="single" w:sz="4" w:space="0" w:color="auto"/>
              <w:right w:val="dashed" w:sz="4" w:space="0" w:color="auto"/>
            </w:tcBorders>
            <w:shd w:val="clear" w:color="000000" w:fill="C1F0C8"/>
            <w:noWrap/>
            <w:textDirection w:val="btLr"/>
            <w:vAlign w:val="center"/>
            <w:hideMark/>
          </w:tcPr>
          <w:p w14:paraId="50AE602D"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C1F0C8"/>
            <w:noWrap/>
            <w:textDirection w:val="btLr"/>
            <w:vAlign w:val="center"/>
            <w:hideMark/>
          </w:tcPr>
          <w:p w14:paraId="4CAC8CDE"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C1F0C8"/>
            <w:noWrap/>
            <w:textDirection w:val="btLr"/>
            <w:vAlign w:val="center"/>
            <w:hideMark/>
          </w:tcPr>
          <w:p w14:paraId="12A4F76B"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C1F0C8"/>
            <w:noWrap/>
            <w:textDirection w:val="btLr"/>
            <w:vAlign w:val="center"/>
            <w:hideMark/>
          </w:tcPr>
          <w:p w14:paraId="5DB48462"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71478C8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60E5EFBA"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FBE2D5"/>
            <w:noWrap/>
            <w:textDirection w:val="btLr"/>
            <w:vAlign w:val="center"/>
            <w:hideMark/>
          </w:tcPr>
          <w:p w14:paraId="702A9BB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FBE2D5"/>
            <w:noWrap/>
            <w:textDirection w:val="btLr"/>
            <w:vAlign w:val="center"/>
            <w:hideMark/>
          </w:tcPr>
          <w:p w14:paraId="2DA3CF6F"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r>
      <w:tr w:rsidR="00413528" w:rsidRPr="00514AB1" w14:paraId="4135AC64" w14:textId="77777777" w:rsidTr="00597242">
        <w:trPr>
          <w:trHeight w:val="320"/>
        </w:trPr>
        <w:tc>
          <w:tcPr>
            <w:tcW w:w="2268" w:type="dxa"/>
            <w:tcBorders>
              <w:top w:val="single" w:sz="4" w:space="0" w:color="auto"/>
              <w:left w:val="single" w:sz="4" w:space="0" w:color="auto"/>
              <w:bottom w:val="single" w:sz="4" w:space="0" w:color="auto"/>
              <w:right w:val="single" w:sz="8" w:space="0" w:color="auto"/>
            </w:tcBorders>
            <w:noWrap/>
            <w:vAlign w:val="center"/>
            <w:hideMark/>
          </w:tcPr>
          <w:p w14:paraId="0C0EEB05"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PREMIUM</w:t>
            </w:r>
          </w:p>
        </w:tc>
        <w:tc>
          <w:tcPr>
            <w:tcW w:w="262" w:type="dxa"/>
            <w:tcBorders>
              <w:top w:val="nil"/>
              <w:left w:val="nil"/>
              <w:bottom w:val="single" w:sz="4" w:space="0" w:color="auto"/>
              <w:right w:val="dashed" w:sz="4" w:space="0" w:color="auto"/>
            </w:tcBorders>
            <w:shd w:val="clear" w:color="000000" w:fill="C1F0C8"/>
            <w:noWrap/>
            <w:vAlign w:val="center"/>
            <w:hideMark/>
          </w:tcPr>
          <w:p w14:paraId="335ACEB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256</w:t>
            </w:r>
          </w:p>
        </w:tc>
        <w:tc>
          <w:tcPr>
            <w:tcW w:w="550" w:type="dxa"/>
            <w:tcBorders>
              <w:top w:val="nil"/>
              <w:left w:val="nil"/>
              <w:bottom w:val="single" w:sz="4" w:space="0" w:color="auto"/>
              <w:right w:val="dashed" w:sz="4" w:space="0" w:color="auto"/>
            </w:tcBorders>
            <w:shd w:val="clear" w:color="000000" w:fill="C1F0C8"/>
            <w:noWrap/>
            <w:vAlign w:val="center"/>
            <w:hideMark/>
          </w:tcPr>
          <w:p w14:paraId="3DB86D8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144</w:t>
            </w:r>
          </w:p>
        </w:tc>
        <w:tc>
          <w:tcPr>
            <w:tcW w:w="467" w:type="dxa"/>
            <w:tcBorders>
              <w:top w:val="nil"/>
              <w:left w:val="nil"/>
              <w:bottom w:val="single" w:sz="4" w:space="0" w:color="auto"/>
              <w:right w:val="dashed" w:sz="4" w:space="0" w:color="auto"/>
            </w:tcBorders>
            <w:shd w:val="clear" w:color="000000" w:fill="C1F0C8"/>
            <w:noWrap/>
            <w:vAlign w:val="center"/>
            <w:hideMark/>
          </w:tcPr>
          <w:p w14:paraId="674DB93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72</w:t>
            </w:r>
          </w:p>
        </w:tc>
        <w:tc>
          <w:tcPr>
            <w:tcW w:w="467" w:type="dxa"/>
            <w:tcBorders>
              <w:top w:val="nil"/>
              <w:left w:val="nil"/>
              <w:bottom w:val="single" w:sz="4" w:space="0" w:color="auto"/>
              <w:right w:val="single" w:sz="8" w:space="0" w:color="auto"/>
            </w:tcBorders>
            <w:shd w:val="clear" w:color="000000" w:fill="C1F0C8"/>
            <w:noWrap/>
            <w:vAlign w:val="center"/>
            <w:hideMark/>
          </w:tcPr>
          <w:p w14:paraId="2BC6DF2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36</w:t>
            </w:r>
          </w:p>
        </w:tc>
        <w:tc>
          <w:tcPr>
            <w:tcW w:w="550" w:type="dxa"/>
            <w:tcBorders>
              <w:top w:val="nil"/>
              <w:left w:val="nil"/>
              <w:bottom w:val="single" w:sz="4" w:space="0" w:color="auto"/>
              <w:right w:val="dashed" w:sz="4" w:space="0" w:color="auto"/>
            </w:tcBorders>
            <w:shd w:val="clear" w:color="000000" w:fill="FBE2D5"/>
            <w:noWrap/>
            <w:vAlign w:val="center"/>
            <w:hideMark/>
          </w:tcPr>
          <w:p w14:paraId="076AA3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128</w:t>
            </w:r>
          </w:p>
        </w:tc>
        <w:tc>
          <w:tcPr>
            <w:tcW w:w="550" w:type="dxa"/>
            <w:tcBorders>
              <w:top w:val="nil"/>
              <w:left w:val="nil"/>
              <w:bottom w:val="single" w:sz="4" w:space="0" w:color="auto"/>
              <w:right w:val="dashed" w:sz="4" w:space="0" w:color="auto"/>
            </w:tcBorders>
            <w:shd w:val="clear" w:color="000000" w:fill="FBE2D5"/>
            <w:noWrap/>
            <w:vAlign w:val="center"/>
            <w:hideMark/>
          </w:tcPr>
          <w:p w14:paraId="210757D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467" w:type="dxa"/>
            <w:tcBorders>
              <w:top w:val="nil"/>
              <w:left w:val="nil"/>
              <w:bottom w:val="single" w:sz="4" w:space="0" w:color="auto"/>
              <w:right w:val="dashed" w:sz="4" w:space="0" w:color="auto"/>
            </w:tcBorders>
            <w:shd w:val="clear" w:color="000000" w:fill="FBE2D5"/>
            <w:noWrap/>
            <w:vAlign w:val="center"/>
            <w:hideMark/>
          </w:tcPr>
          <w:p w14:paraId="31C122D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32</w:t>
            </w:r>
          </w:p>
        </w:tc>
        <w:tc>
          <w:tcPr>
            <w:tcW w:w="467" w:type="dxa"/>
            <w:tcBorders>
              <w:top w:val="nil"/>
              <w:left w:val="nil"/>
              <w:bottom w:val="single" w:sz="4" w:space="0" w:color="auto"/>
              <w:right w:val="single" w:sz="8" w:space="0" w:color="auto"/>
            </w:tcBorders>
            <w:shd w:val="clear" w:color="000000" w:fill="FBE2D5"/>
            <w:noWrap/>
            <w:vAlign w:val="center"/>
            <w:hideMark/>
          </w:tcPr>
          <w:p w14:paraId="5962DFE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16</w:t>
            </w:r>
          </w:p>
        </w:tc>
      </w:tr>
      <w:tr w:rsidR="00413528" w:rsidRPr="00514AB1" w14:paraId="1EA7D1D5" w14:textId="77777777" w:rsidTr="00597242">
        <w:trPr>
          <w:trHeight w:val="320"/>
        </w:trPr>
        <w:tc>
          <w:tcPr>
            <w:tcW w:w="2268" w:type="dxa"/>
            <w:tcBorders>
              <w:top w:val="nil"/>
              <w:left w:val="single" w:sz="4" w:space="0" w:color="auto"/>
              <w:bottom w:val="single" w:sz="4" w:space="0" w:color="auto"/>
              <w:right w:val="single" w:sz="8" w:space="0" w:color="auto"/>
            </w:tcBorders>
            <w:noWrap/>
            <w:vAlign w:val="center"/>
            <w:hideMark/>
          </w:tcPr>
          <w:p w14:paraId="432346A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PRO</w:t>
            </w:r>
          </w:p>
        </w:tc>
        <w:tc>
          <w:tcPr>
            <w:tcW w:w="262" w:type="dxa"/>
            <w:tcBorders>
              <w:top w:val="nil"/>
              <w:left w:val="nil"/>
              <w:bottom w:val="single" w:sz="4" w:space="0" w:color="auto"/>
              <w:right w:val="dashed" w:sz="4" w:space="0" w:color="auto"/>
            </w:tcBorders>
            <w:shd w:val="clear" w:color="000000" w:fill="C1F0C8"/>
            <w:noWrap/>
            <w:vAlign w:val="center"/>
            <w:hideMark/>
          </w:tcPr>
          <w:p w14:paraId="3B5961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550" w:type="dxa"/>
            <w:tcBorders>
              <w:top w:val="nil"/>
              <w:left w:val="nil"/>
              <w:bottom w:val="single" w:sz="4" w:space="0" w:color="auto"/>
              <w:right w:val="dashed" w:sz="4" w:space="0" w:color="auto"/>
            </w:tcBorders>
            <w:shd w:val="clear" w:color="000000" w:fill="C1F0C8"/>
            <w:noWrap/>
            <w:vAlign w:val="center"/>
            <w:hideMark/>
          </w:tcPr>
          <w:p w14:paraId="6EF31C79"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4" w:space="0" w:color="auto"/>
              <w:right w:val="dashed" w:sz="4" w:space="0" w:color="auto"/>
            </w:tcBorders>
            <w:shd w:val="clear" w:color="000000" w:fill="C1F0C8"/>
            <w:noWrap/>
            <w:vAlign w:val="center"/>
            <w:hideMark/>
          </w:tcPr>
          <w:p w14:paraId="7F982F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single" w:sz="8" w:space="0" w:color="auto"/>
            </w:tcBorders>
            <w:shd w:val="clear" w:color="000000" w:fill="C1F0C8"/>
            <w:noWrap/>
            <w:vAlign w:val="center"/>
            <w:hideMark/>
          </w:tcPr>
          <w:p w14:paraId="0C5821F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550" w:type="dxa"/>
            <w:tcBorders>
              <w:top w:val="nil"/>
              <w:left w:val="nil"/>
              <w:bottom w:val="single" w:sz="4" w:space="0" w:color="auto"/>
              <w:right w:val="dashed" w:sz="4" w:space="0" w:color="auto"/>
            </w:tcBorders>
            <w:shd w:val="clear" w:color="000000" w:fill="FBE2D5"/>
            <w:noWrap/>
            <w:vAlign w:val="center"/>
            <w:hideMark/>
          </w:tcPr>
          <w:p w14:paraId="2C1C5B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550" w:type="dxa"/>
            <w:tcBorders>
              <w:top w:val="nil"/>
              <w:left w:val="nil"/>
              <w:bottom w:val="single" w:sz="4" w:space="0" w:color="auto"/>
              <w:right w:val="dashed" w:sz="4" w:space="0" w:color="auto"/>
            </w:tcBorders>
            <w:shd w:val="clear" w:color="000000" w:fill="FBE2D5"/>
            <w:noWrap/>
            <w:vAlign w:val="center"/>
            <w:hideMark/>
          </w:tcPr>
          <w:p w14:paraId="56E7468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dashed" w:sz="4" w:space="0" w:color="auto"/>
            </w:tcBorders>
            <w:shd w:val="clear" w:color="000000" w:fill="FBE2D5"/>
            <w:noWrap/>
            <w:vAlign w:val="center"/>
            <w:hideMark/>
          </w:tcPr>
          <w:p w14:paraId="018993A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4" w:space="0" w:color="auto"/>
              <w:right w:val="single" w:sz="8" w:space="0" w:color="auto"/>
            </w:tcBorders>
            <w:shd w:val="clear" w:color="000000" w:fill="FBE2D5"/>
            <w:noWrap/>
            <w:vAlign w:val="center"/>
            <w:hideMark/>
          </w:tcPr>
          <w:p w14:paraId="15F2CCC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8</w:t>
            </w:r>
          </w:p>
        </w:tc>
      </w:tr>
      <w:tr w:rsidR="00413528" w:rsidRPr="00514AB1" w14:paraId="080EBFAE"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272992F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ELEMENTS</w:t>
            </w:r>
          </w:p>
        </w:tc>
        <w:tc>
          <w:tcPr>
            <w:tcW w:w="262" w:type="dxa"/>
            <w:tcBorders>
              <w:top w:val="nil"/>
              <w:left w:val="nil"/>
              <w:bottom w:val="single" w:sz="8" w:space="0" w:color="auto"/>
              <w:right w:val="dashed" w:sz="4" w:space="0" w:color="auto"/>
            </w:tcBorders>
            <w:shd w:val="clear" w:color="000000" w:fill="FBE2D5"/>
            <w:noWrap/>
            <w:vAlign w:val="center"/>
            <w:hideMark/>
          </w:tcPr>
          <w:p w14:paraId="00F6C60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1617217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06CAA0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3C4255D"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c>
          <w:tcPr>
            <w:tcW w:w="550" w:type="dxa"/>
            <w:tcBorders>
              <w:top w:val="nil"/>
              <w:left w:val="nil"/>
              <w:bottom w:val="single" w:sz="8" w:space="0" w:color="auto"/>
              <w:right w:val="dashed" w:sz="4" w:space="0" w:color="auto"/>
            </w:tcBorders>
            <w:shd w:val="clear" w:color="000000" w:fill="FBE2D5"/>
            <w:noWrap/>
            <w:vAlign w:val="center"/>
            <w:hideMark/>
          </w:tcPr>
          <w:p w14:paraId="06DA319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7BAC0D7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28CA7B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90B783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r>
      <w:tr w:rsidR="00413528" w:rsidRPr="00514AB1" w14:paraId="46E22D71"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38DC1B73" w14:textId="77777777" w:rsidR="00413528" w:rsidRPr="00514AB1" w:rsidRDefault="00413528" w:rsidP="00597242">
            <w:pPr>
              <w:rPr>
                <w:rFonts w:ascii="Arial" w:hAnsi="Arial" w:cs="Arial"/>
                <w:color w:val="000000"/>
                <w:sz w:val="20"/>
                <w:szCs w:val="20"/>
              </w:rPr>
            </w:pPr>
            <w:r w:rsidRPr="00514AB1">
              <w:rPr>
                <w:rFonts w:ascii="Arial" w:hAnsi="Arial" w:cs="Arial"/>
                <w:color w:val="000000"/>
                <w:sz w:val="20"/>
                <w:szCs w:val="20"/>
              </w:rPr>
              <w:t>MassCore</w:t>
            </w:r>
          </w:p>
        </w:tc>
        <w:tc>
          <w:tcPr>
            <w:tcW w:w="262" w:type="dxa"/>
            <w:tcBorders>
              <w:top w:val="nil"/>
              <w:left w:val="nil"/>
              <w:bottom w:val="single" w:sz="8" w:space="0" w:color="auto"/>
              <w:right w:val="dashed" w:sz="4" w:space="0" w:color="auto"/>
            </w:tcBorders>
            <w:shd w:val="clear" w:color="000000" w:fill="FBE2D5"/>
            <w:noWrap/>
            <w:vAlign w:val="center"/>
            <w:hideMark/>
          </w:tcPr>
          <w:p w14:paraId="6F15EF2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3785A0D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1C78059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437B2F2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550" w:type="dxa"/>
            <w:tcBorders>
              <w:top w:val="nil"/>
              <w:left w:val="nil"/>
              <w:bottom w:val="single" w:sz="8" w:space="0" w:color="auto"/>
              <w:right w:val="dashed" w:sz="4" w:space="0" w:color="auto"/>
            </w:tcBorders>
            <w:shd w:val="clear" w:color="000000" w:fill="FBE2D5"/>
            <w:noWrap/>
            <w:vAlign w:val="center"/>
            <w:hideMark/>
          </w:tcPr>
          <w:p w14:paraId="67CC8E9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2D87CD4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4DDB68D2"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7551316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r>
    </w:tbl>
    <w:p w14:paraId="4138A232" w14:textId="77777777" w:rsidR="000D7FB1" w:rsidRDefault="000D7FB1" w:rsidP="000D7FB1">
      <w:pPr>
        <w:pStyle w:val="MNewsTextAbstand"/>
      </w:pPr>
    </w:p>
    <w:p w14:paraId="544776F4" w14:textId="6A476F38" w:rsidR="007844A1" w:rsidRPr="007844A1" w:rsidRDefault="007844A1" w:rsidP="007844A1">
      <w:pPr>
        <w:pStyle w:val="MNewsTextAbstand"/>
        <w:rPr>
          <w:b/>
          <w:bCs/>
        </w:rPr>
      </w:pPr>
      <w:r w:rsidRPr="007844A1">
        <w:rPr>
          <w:b/>
          <w:bCs/>
        </w:rPr>
        <w:t>Designed for Mission</w:t>
      </w:r>
      <w:r>
        <w:rPr>
          <w:b/>
          <w:bCs/>
        </w:rPr>
        <w:t>-</w:t>
      </w:r>
      <w:r w:rsidRPr="007844A1">
        <w:rPr>
          <w:b/>
          <w:bCs/>
        </w:rPr>
        <w:t>Critical Shows</w:t>
      </w:r>
    </w:p>
    <w:p w14:paraId="54AB579D" w14:textId="160C09D3" w:rsidR="007844A1" w:rsidRDefault="007844A1" w:rsidP="007844A1">
      <w:pPr>
        <w:pStyle w:val="MNewsTextAbstand"/>
      </w:pPr>
      <w:r>
        <w:t>At its core, Ovation remains a fully redundant, high resolution playout system with a highly customizable user interface, extensive protocol support, live inputs, and advanced automation tools. On</w:t>
      </w:r>
      <w:r w:rsidR="00224E78">
        <w:t>-</w:t>
      </w:r>
      <w:r>
        <w:t>the</w:t>
      </w:r>
      <w:r w:rsidR="00510297">
        <w:t>-</w:t>
      </w:r>
      <w:r>
        <w:t xml:space="preserve">fly cue editing and robust synchronization make Ovation an indispensable solution for productions where reliability is </w:t>
      </w:r>
      <w:r w:rsidR="0024397C">
        <w:t>non-negotiable</w:t>
      </w:r>
      <w:r>
        <w:t>.</w:t>
      </w:r>
    </w:p>
    <w:p w14:paraId="5615E21B" w14:textId="4C4D0E3B" w:rsidR="00413528" w:rsidRDefault="007844A1" w:rsidP="007844A1">
      <w:pPr>
        <w:pStyle w:val="MNewsTextAbstand"/>
      </w:pPr>
      <w:r>
        <w:t>Ovation 12 builds on this legacy while opening the door to richer, more integrated audiovisual experiences.</w:t>
      </w:r>
    </w:p>
    <w:p w14:paraId="0B580532" w14:textId="77777777" w:rsidR="00636D51" w:rsidRPr="00636D51" w:rsidRDefault="00636D51" w:rsidP="00636D51">
      <w:pPr>
        <w:pStyle w:val="MNewsTextAbstand"/>
        <w:rPr>
          <w:b/>
          <w:bCs/>
        </w:rPr>
      </w:pPr>
      <w:r w:rsidRPr="00636D51">
        <w:rPr>
          <w:b/>
          <w:bCs/>
        </w:rPr>
        <w:lastRenderedPageBreak/>
        <w:t>Availability</w:t>
      </w:r>
    </w:p>
    <w:p w14:paraId="4ACC0FFA" w14:textId="77777777" w:rsidR="00636D51" w:rsidRDefault="00636D51" w:rsidP="00636D51">
      <w:pPr>
        <w:pStyle w:val="MNewsTextAbstand"/>
      </w:pPr>
      <w:r>
        <w:t>Ovation 12 will be available starting April 30, 2026.</w:t>
      </w:r>
    </w:p>
    <w:p w14:paraId="118DC83C" w14:textId="20EB25DA" w:rsidR="00636D51" w:rsidRDefault="00170CC4" w:rsidP="00636D51">
      <w:pPr>
        <w:pStyle w:val="MNewsTextAbstand"/>
      </w:pPr>
      <w:r w:rsidRPr="00170CC4">
        <w:t xml:space="preserve">Availability and pricing may vary by region. </w:t>
      </w:r>
    </w:p>
    <w:p w14:paraId="7EDEBB44" w14:textId="4895ACC3" w:rsidR="007E21B7" w:rsidRDefault="00636D51" w:rsidP="00636D51">
      <w:pPr>
        <w:pStyle w:val="MNewsTextAbstand"/>
      </w:pPr>
      <w:r>
        <w:t>For more information, please visit:</w:t>
      </w:r>
      <w:r w:rsidR="00511FFB">
        <w:t xml:space="preserve"> </w:t>
      </w:r>
      <w:r>
        <w:t>www.merging.com</w:t>
      </w:r>
    </w:p>
    <w:p w14:paraId="11C1C5AC" w14:textId="77777777" w:rsidR="0089548F" w:rsidRDefault="0089548F" w:rsidP="00636D51">
      <w:pPr>
        <w:pStyle w:val="MNewsTextAbstand"/>
      </w:pPr>
    </w:p>
    <w:p w14:paraId="18E4FAEE" w14:textId="20EAEB93" w:rsidR="009D59FB" w:rsidRPr="009D59FB" w:rsidRDefault="009D59FB" w:rsidP="009D59FB">
      <w:pPr>
        <w:pStyle w:val="MNewsTextAbstand"/>
      </w:pPr>
      <w:r w:rsidRPr="009D59FB">
        <w:t>Stay up to date and follow Neumann on:</w:t>
      </w:r>
      <w:r>
        <w:t xml:space="preserve"> </w:t>
      </w:r>
      <w:hyperlink r:id="rId15" w:tgtFrame="_blank" w:history="1">
        <w:r w:rsidRPr="009D59FB">
          <w:rPr>
            <w:rStyle w:val="Hyperlink"/>
            <w:color w:val="auto"/>
            <w:u w:val="none"/>
          </w:rPr>
          <w:t>FACEBOOK</w:t>
        </w:r>
      </w:hyperlink>
      <w:r>
        <w:t xml:space="preserve"> </w:t>
      </w:r>
      <w:r w:rsidRPr="009D59FB">
        <w:t>|</w:t>
      </w:r>
      <w:r>
        <w:t xml:space="preserve"> </w:t>
      </w:r>
      <w:hyperlink r:id="rId16" w:tgtFrame="_blank" w:history="1">
        <w:r w:rsidRPr="009D59FB">
          <w:rPr>
            <w:rStyle w:val="Hyperlink"/>
            <w:color w:val="auto"/>
            <w:u w:val="none"/>
          </w:rPr>
          <w:t>INSTAGRAM</w:t>
        </w:r>
      </w:hyperlink>
      <w:r>
        <w:t xml:space="preserve"> </w:t>
      </w:r>
      <w:r w:rsidRPr="009D59FB">
        <w:t>|</w:t>
      </w:r>
      <w:r>
        <w:t xml:space="preserve"> </w:t>
      </w:r>
      <w:hyperlink r:id="rId17" w:tgtFrame="_blank" w:history="1">
        <w:r w:rsidRPr="009D59FB">
          <w:rPr>
            <w:rStyle w:val="Hyperlink"/>
            <w:color w:val="auto"/>
            <w:u w:val="none"/>
          </w:rPr>
          <w:t>YOUTUBE</w:t>
        </w:r>
      </w:hyperlink>
    </w:p>
    <w:p w14:paraId="26EC65BA" w14:textId="77777777" w:rsidR="009D59FB" w:rsidRPr="009D59FB" w:rsidRDefault="009D59FB" w:rsidP="009D59FB">
      <w:pPr>
        <w:pStyle w:val="MNewsTextAbstand"/>
      </w:pPr>
    </w:p>
    <w:p w14:paraId="6F5EA061" w14:textId="77777777" w:rsidR="009D59FB" w:rsidRPr="009D59FB" w:rsidRDefault="00B17A30" w:rsidP="009D59FB">
      <w:pPr>
        <w:pStyle w:val="MNewsTextAbstand"/>
      </w:pPr>
      <w:r>
        <w:pict w14:anchorId="0D767779">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C3B949D" w14:textId="77777777" w:rsidR="009D59FB" w:rsidRPr="009D59FB" w:rsidRDefault="009D59FB" w:rsidP="009D59FB">
      <w:pPr>
        <w:pStyle w:val="MNewsTextAbstand"/>
        <w:rPr>
          <w:b/>
          <w:bCs/>
        </w:rPr>
      </w:pPr>
      <w:r w:rsidRPr="009D59FB">
        <w:rPr>
          <w:b/>
          <w:bCs/>
        </w:rPr>
        <w:t>About Merging Technologies</w:t>
      </w:r>
    </w:p>
    <w:p w14:paraId="34C109C0" w14:textId="7D54023D" w:rsidR="009D59FB" w:rsidRDefault="009D59FB" w:rsidP="00345C7D">
      <w:pPr>
        <w:pStyle w:val="MNewsText"/>
      </w:pPr>
      <w:r w:rsidRPr="009D59FB">
        <w:t xml:space="preserve">Merging Technologies is a Swiss manufacturer with over 30 years of experience in developing groundbreaking, professional </w:t>
      </w:r>
      <w:r w:rsidR="00CA6249">
        <w:t>a</w:t>
      </w:r>
      <w:r w:rsidRPr="009D59FB">
        <w:t xml:space="preserve">udio and </w:t>
      </w:r>
      <w:r w:rsidR="00CA6249">
        <w:t>v</w:t>
      </w:r>
      <w:r w:rsidRPr="009D59FB">
        <w:t xml:space="preserve">ideo products for a wide range of entertainment and media industries. In July 2022, Merging became part of the Sennheiser Group and is integrated with Neumann.Berlin. With a dedicated user base in the elite end of the music, film, television, mastering and performances industries, Merging is committed to developing product ranges with unrivalled quality and flexibility, no matter what the application. Merging builds tools for people who want more from their systems, have an inherent need to push boundaries, </w:t>
      </w:r>
      <w:r w:rsidRPr="00345C7D">
        <w:t>and</w:t>
      </w:r>
      <w:r w:rsidRPr="009D59FB">
        <w:t xml:space="preserve"> believe that quality always comes</w:t>
      </w:r>
      <w:r w:rsidR="00CA6249">
        <w:t xml:space="preserve"> </w:t>
      </w:r>
      <w:r w:rsidRPr="009D59FB">
        <w:t>first.</w:t>
      </w:r>
      <w:r w:rsidR="00CA6249">
        <w:t xml:space="preserve"> </w:t>
      </w:r>
      <w:hyperlink r:id="rId18" w:history="1">
        <w:r w:rsidR="009636EB" w:rsidRPr="00BE7E58">
          <w:rPr>
            <w:rStyle w:val="Hyperlink"/>
          </w:rPr>
          <w:t>www.merging.com</w:t>
        </w:r>
      </w:hyperlink>
    </w:p>
    <w:p w14:paraId="17A012E3" w14:textId="77777777" w:rsidR="00345C7D" w:rsidRDefault="00345C7D" w:rsidP="00345C7D">
      <w:pPr>
        <w:pStyle w:val="MNewsText"/>
      </w:pPr>
    </w:p>
    <w:p w14:paraId="6C9FE5DC" w14:textId="77777777" w:rsidR="009D59FB" w:rsidRPr="009D59FB" w:rsidRDefault="009D59FB" w:rsidP="009D59FB">
      <w:pPr>
        <w:pStyle w:val="MNewsTextAbstand"/>
        <w:rPr>
          <w:b/>
          <w:bCs/>
        </w:rPr>
      </w:pPr>
      <w:r w:rsidRPr="009D59FB">
        <w:rPr>
          <w:b/>
          <w:bCs/>
        </w:rPr>
        <w:t>About Neumann</w:t>
      </w:r>
    </w:p>
    <w:p w14:paraId="7D788AA5" w14:textId="0D52FC73" w:rsidR="009D59FB" w:rsidRDefault="009D59FB" w:rsidP="009D59FB">
      <w:pPr>
        <w:pStyle w:val="MNewsTextAbstand"/>
      </w:pPr>
      <w:r w:rsidRPr="009D59FB">
        <w:t>Georg Neumann GmbH, known as “Neumann.Berlin”, is one of the world’s leading manufacturers of studio-grade audio equipment and the creator of recording microphone legends such as the U</w:t>
      </w:r>
      <w:r w:rsidR="003742CD">
        <w:t> </w:t>
      </w:r>
      <w:r w:rsidRPr="009D59FB">
        <w:t>47, M</w:t>
      </w:r>
      <w:r w:rsidR="003742CD">
        <w:t> </w:t>
      </w:r>
      <w:r w:rsidRPr="009D59FB">
        <w:t>49, U</w:t>
      </w:r>
      <w:r w:rsidR="003742CD">
        <w:t> </w:t>
      </w:r>
      <w:r w:rsidRPr="009D59FB">
        <w:t>67, and U</w:t>
      </w:r>
      <w:r w:rsidR="003742CD">
        <w:t> </w:t>
      </w:r>
      <w:r w:rsidRPr="009D59FB">
        <w:t>87. Founded in 1928, the company has been recognized with numerous international awards for its technological innovations. Since 2010, Neumann.Berlin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9" w:tgtFrame="_blank" w:history="1">
        <w:r w:rsidRPr="009D59FB">
          <w:rPr>
            <w:rStyle w:val="Hyperlink"/>
            <w:color w:val="auto"/>
            <w:u w:val="none"/>
          </w:rPr>
          <w:t>www.neumann.com</w:t>
        </w:r>
      </w:hyperlink>
    </w:p>
    <w:p w14:paraId="1D960DBF" w14:textId="77777777" w:rsidR="009636EB" w:rsidRPr="009D59FB" w:rsidRDefault="009636EB" w:rsidP="009D59FB">
      <w:pPr>
        <w:pStyle w:val="MNewsTextAbstand"/>
      </w:pPr>
    </w:p>
    <w:p w14:paraId="5F363DD7" w14:textId="3EEF46C9" w:rsidR="00345C7D" w:rsidRDefault="00B17A30" w:rsidP="009D59FB">
      <w:pPr>
        <w:pStyle w:val="MNewsTextAbstand"/>
        <w:rPr>
          <w:b/>
          <w:bCs/>
        </w:rPr>
      </w:pPr>
      <w:r>
        <w:pict w14:anchorId="7A5AC4D7">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19707EC" w14:textId="16CBEA5C"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20" w:tgtFrame="_blank" w:tooltip="newsroom@neumann.com" w:history="1">
        <w:r w:rsidRPr="00A6040B">
          <w:rPr>
            <w:rStyle w:val="Hyperlink"/>
            <w:color w:val="auto"/>
            <w:u w:val="none"/>
            <w:lang w:val="de-DE"/>
          </w:rPr>
          <w:t>newsroom@neumann.com</w:t>
        </w:r>
      </w:hyperlink>
    </w:p>
    <w:p w14:paraId="2ECD64C7" w14:textId="77777777" w:rsidR="009D59FB" w:rsidRPr="009D59FB" w:rsidRDefault="009D59FB" w:rsidP="009D59FB">
      <w:pPr>
        <w:pStyle w:val="MNewsTextAbstand"/>
      </w:pPr>
      <w:hyperlink r:id="rId21" w:tgtFrame="_blank" w:tooltip="+49 (0) 30 41 77 24-0" w:history="1">
        <w:r w:rsidRPr="009D59FB">
          <w:rPr>
            <w:rStyle w:val="Hyperlink"/>
            <w:color w:val="auto"/>
            <w:u w:val="none"/>
          </w:rPr>
          <w:t>+49 (0) 30 41 77 24-0</w:t>
        </w:r>
      </w:hyperlink>
    </w:p>
    <w:p w14:paraId="3DDD8171" w14:textId="1A179FE2" w:rsidR="009D59FB" w:rsidRPr="000D7FB1" w:rsidRDefault="009D59FB" w:rsidP="000D7FB1">
      <w:pPr>
        <w:pStyle w:val="MNewsTextAbstand"/>
      </w:pPr>
      <w:hyperlink r:id="rId22" w:tgtFrame="_blank" w:tooltip="neumann.com" w:history="1">
        <w:r w:rsidRPr="009D59FB">
          <w:rPr>
            <w:rStyle w:val="Hyperlink"/>
            <w:color w:val="auto"/>
            <w:u w:val="none"/>
          </w:rPr>
          <w:t>neumann.com</w:t>
        </w:r>
      </w:hyperlink>
    </w:p>
    <w:sectPr w:rsidR="009D59FB" w:rsidRPr="000D7FB1" w:rsidSect="00823C11">
      <w:headerReference w:type="default" r:id="rId23"/>
      <w:headerReference w:type="first" r:id="rId24"/>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79D96" w14:textId="77777777" w:rsidR="00B17A30" w:rsidRDefault="00B17A30">
      <w:r>
        <w:separator/>
      </w:r>
    </w:p>
  </w:endnote>
  <w:endnote w:type="continuationSeparator" w:id="0">
    <w:p w14:paraId="45463875" w14:textId="77777777" w:rsidR="00B17A30" w:rsidRDefault="00B17A30">
      <w:r>
        <w:continuationSeparator/>
      </w:r>
    </w:p>
  </w:endnote>
  <w:endnote w:type="continuationNotice" w:id="1">
    <w:p w14:paraId="79AB44D6" w14:textId="77777777" w:rsidR="00B17A30" w:rsidRDefault="00B17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4D"/>
    <w:family w:val="auto"/>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Condensed Regular">
    <w:altName w:val="Calibri"/>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1EF91" w14:textId="77777777" w:rsidR="00B17A30" w:rsidRDefault="00B17A30">
      <w:r>
        <w:separator/>
      </w:r>
    </w:p>
  </w:footnote>
  <w:footnote w:type="continuationSeparator" w:id="0">
    <w:p w14:paraId="75B122BD" w14:textId="77777777" w:rsidR="00B17A30" w:rsidRDefault="00B17A30">
      <w:r>
        <w:continuationSeparator/>
      </w:r>
    </w:p>
  </w:footnote>
  <w:footnote w:type="continuationNotice" w:id="1">
    <w:p w14:paraId="26A47661" w14:textId="77777777" w:rsidR="00B17A30" w:rsidRDefault="00B17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511B" w14:textId="77777777" w:rsidR="001C7845" w:rsidRDefault="001C7845" w:rsidP="001C7845">
    <w:pPr>
      <w:pStyle w:val="MNewsHeader"/>
      <w:spacing w:after="120"/>
      <w:ind w:right="-512"/>
      <w:rPr>
        <w:rFonts w:ascii="Sennheiser Office" w:hAnsi="Sennheiser Office" w:cs="Times New Roman"/>
        <w:noProof/>
        <w:lang w:val="de-DE"/>
      </w:rPr>
    </w:pPr>
  </w:p>
  <w:p w14:paraId="171C5AAB" w14:textId="77777777" w:rsidR="001C7845" w:rsidRPr="008350DE" w:rsidRDefault="001C7845" w:rsidP="001C7845">
    <w:pPr>
      <w:pStyle w:val="MNewsHeader"/>
      <w:rPr>
        <w:b/>
        <w:bCs/>
      </w:rPr>
    </w:pPr>
    <w:r w:rsidRPr="008350DE">
      <w:rPr>
        <w:b/>
        <w:bCs/>
      </w:rPr>
      <w:t>PRESS RELEASE</w:t>
    </w:r>
  </w:p>
  <w:p w14:paraId="35CF0E24" w14:textId="77777777" w:rsidR="001C7845" w:rsidRPr="008350DE" w:rsidRDefault="001C7845" w:rsidP="001C7845">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Pr>
        <w:b/>
        <w:bCs/>
      </w:rPr>
      <w:t>4</w:t>
    </w:r>
    <w:r w:rsidRPr="008350DE">
      <w:rPr>
        <w:b/>
        <w:bCs/>
      </w:rPr>
      <w:fldChar w:fldCharType="end"/>
    </w:r>
  </w:p>
  <w:p w14:paraId="635E4182" w14:textId="77777777" w:rsidR="001C7845" w:rsidRPr="008350DE" w:rsidRDefault="001C7845" w:rsidP="001C7845">
    <w:pPr>
      <w:pStyle w:val="MNewsHeader"/>
    </w:pPr>
  </w:p>
  <w:p w14:paraId="32040E8A" w14:textId="77777777" w:rsidR="001C7845" w:rsidRPr="00C64FB8" w:rsidRDefault="001C7845" w:rsidP="001C7845">
    <w:pPr>
      <w:pStyle w:val="MNewsHeader"/>
      <w:spacing w:before="40"/>
      <w:ind w:right="-851"/>
      <w:rPr>
        <w:b/>
        <w:bCs/>
        <w:color w:val="FF0000"/>
        <w:sz w:val="21"/>
        <w:szCs w:val="21"/>
      </w:rPr>
    </w:pPr>
  </w:p>
  <w:p w14:paraId="60AE96B4" w14:textId="77777777" w:rsidR="001C7845" w:rsidRPr="00340AE4" w:rsidRDefault="001C7845" w:rsidP="001C7845">
    <w:pPr>
      <w:ind w:right="-852"/>
      <w:rPr>
        <w:rFonts w:ascii="Arial" w:hAnsi="Arial" w:cs="Arial"/>
        <w:color w:val="ED7D31" w:themeColor="accent2"/>
        <w:lang w:val="en-US"/>
      </w:rPr>
    </w:pPr>
    <w:r>
      <w:rPr>
        <w:noProof/>
      </w:rPr>
      <w:drawing>
        <wp:anchor distT="0" distB="0" distL="114300" distR="114300" simplePos="0" relativeHeight="251660288" behindDoc="0" locked="1" layoutInCell="1" allowOverlap="1" wp14:anchorId="1AA84AFC" wp14:editId="455175CC">
          <wp:simplePos x="0" y="0"/>
          <wp:positionH relativeFrom="page">
            <wp:posOffset>756285</wp:posOffset>
          </wp:positionH>
          <wp:positionV relativeFrom="page">
            <wp:posOffset>536575</wp:posOffset>
          </wp:positionV>
          <wp:extent cx="2041200" cy="540000"/>
          <wp:effectExtent l="0" t="0" r="3810" b="6350"/>
          <wp:wrapNone/>
          <wp:docPr id="3722202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24D857AD" w14:textId="77777777" w:rsidR="001C7845" w:rsidRPr="009C6F36" w:rsidRDefault="001C7845" w:rsidP="001C7845">
    <w:pPr>
      <w:rPr>
        <w:lang w:val="en-US"/>
      </w:rPr>
    </w:pPr>
  </w:p>
  <w:p w14:paraId="01CEB11B" w14:textId="19C621B8" w:rsidR="00126B0D" w:rsidRPr="001C7845" w:rsidRDefault="00126B0D" w:rsidP="001C78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1281534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8"/>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47F63"/>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972"/>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0CC4"/>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845"/>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872"/>
    <w:rsid w:val="00203E5E"/>
    <w:rsid w:val="002042E7"/>
    <w:rsid w:val="002066BE"/>
    <w:rsid w:val="00206E5C"/>
    <w:rsid w:val="002102BC"/>
    <w:rsid w:val="00213C13"/>
    <w:rsid w:val="0021417B"/>
    <w:rsid w:val="00221FA6"/>
    <w:rsid w:val="00222108"/>
    <w:rsid w:val="00223035"/>
    <w:rsid w:val="002237DB"/>
    <w:rsid w:val="00224E78"/>
    <w:rsid w:val="00224F0C"/>
    <w:rsid w:val="00225680"/>
    <w:rsid w:val="00226194"/>
    <w:rsid w:val="0023054A"/>
    <w:rsid w:val="00232703"/>
    <w:rsid w:val="00232C5E"/>
    <w:rsid w:val="002336BD"/>
    <w:rsid w:val="00234875"/>
    <w:rsid w:val="00235C37"/>
    <w:rsid w:val="002400C9"/>
    <w:rsid w:val="00241D3F"/>
    <w:rsid w:val="00243000"/>
    <w:rsid w:val="0024397C"/>
    <w:rsid w:val="00243EB6"/>
    <w:rsid w:val="00244418"/>
    <w:rsid w:val="00251397"/>
    <w:rsid w:val="00254764"/>
    <w:rsid w:val="00255944"/>
    <w:rsid w:val="00255AFC"/>
    <w:rsid w:val="00260670"/>
    <w:rsid w:val="00261E7B"/>
    <w:rsid w:val="00262C9B"/>
    <w:rsid w:val="0026388E"/>
    <w:rsid w:val="00263F66"/>
    <w:rsid w:val="002645F9"/>
    <w:rsid w:val="00266950"/>
    <w:rsid w:val="00267060"/>
    <w:rsid w:val="002670FE"/>
    <w:rsid w:val="00270557"/>
    <w:rsid w:val="002709F2"/>
    <w:rsid w:val="00270FE1"/>
    <w:rsid w:val="00271AA7"/>
    <w:rsid w:val="0027433D"/>
    <w:rsid w:val="002756D2"/>
    <w:rsid w:val="0027671E"/>
    <w:rsid w:val="002801F9"/>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174"/>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52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356"/>
    <w:rsid w:val="004A7DF7"/>
    <w:rsid w:val="004B4E98"/>
    <w:rsid w:val="004B5E49"/>
    <w:rsid w:val="004B6DF7"/>
    <w:rsid w:val="004B714F"/>
    <w:rsid w:val="004B7B80"/>
    <w:rsid w:val="004B7DF8"/>
    <w:rsid w:val="004C32F2"/>
    <w:rsid w:val="004C4EC1"/>
    <w:rsid w:val="004D037D"/>
    <w:rsid w:val="004D124C"/>
    <w:rsid w:val="004D13F3"/>
    <w:rsid w:val="004D2528"/>
    <w:rsid w:val="004D2EA4"/>
    <w:rsid w:val="004D3361"/>
    <w:rsid w:val="004D55BE"/>
    <w:rsid w:val="004E17F2"/>
    <w:rsid w:val="004E4175"/>
    <w:rsid w:val="004E6759"/>
    <w:rsid w:val="004E6887"/>
    <w:rsid w:val="004E7CAE"/>
    <w:rsid w:val="004F00F4"/>
    <w:rsid w:val="004F075C"/>
    <w:rsid w:val="004F262A"/>
    <w:rsid w:val="004F341E"/>
    <w:rsid w:val="004F5E0F"/>
    <w:rsid w:val="004F60D5"/>
    <w:rsid w:val="0050246B"/>
    <w:rsid w:val="005040A3"/>
    <w:rsid w:val="005063F8"/>
    <w:rsid w:val="00510297"/>
    <w:rsid w:val="005112D2"/>
    <w:rsid w:val="00511CD3"/>
    <w:rsid w:val="00511FFB"/>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3F93"/>
    <w:rsid w:val="00534079"/>
    <w:rsid w:val="00535067"/>
    <w:rsid w:val="00535638"/>
    <w:rsid w:val="00535C91"/>
    <w:rsid w:val="00536345"/>
    <w:rsid w:val="005363B6"/>
    <w:rsid w:val="00540017"/>
    <w:rsid w:val="00545413"/>
    <w:rsid w:val="005459D9"/>
    <w:rsid w:val="005465BB"/>
    <w:rsid w:val="00546E57"/>
    <w:rsid w:val="00553F0D"/>
    <w:rsid w:val="00555297"/>
    <w:rsid w:val="005552C0"/>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2DF0"/>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0F40"/>
    <w:rsid w:val="00621E47"/>
    <w:rsid w:val="00622BCE"/>
    <w:rsid w:val="006234F2"/>
    <w:rsid w:val="00623F52"/>
    <w:rsid w:val="00624437"/>
    <w:rsid w:val="0062444D"/>
    <w:rsid w:val="00626470"/>
    <w:rsid w:val="00626B23"/>
    <w:rsid w:val="00626ED3"/>
    <w:rsid w:val="0062787C"/>
    <w:rsid w:val="00632387"/>
    <w:rsid w:val="006324FF"/>
    <w:rsid w:val="00633130"/>
    <w:rsid w:val="00634D4E"/>
    <w:rsid w:val="006364AE"/>
    <w:rsid w:val="00636D51"/>
    <w:rsid w:val="0063764E"/>
    <w:rsid w:val="00640738"/>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110"/>
    <w:rsid w:val="006B03DD"/>
    <w:rsid w:val="006B0F45"/>
    <w:rsid w:val="006B1CA9"/>
    <w:rsid w:val="006B2BEB"/>
    <w:rsid w:val="006B2E49"/>
    <w:rsid w:val="006B3BA3"/>
    <w:rsid w:val="006B3C96"/>
    <w:rsid w:val="006B4D0D"/>
    <w:rsid w:val="006B64D3"/>
    <w:rsid w:val="006C3ADC"/>
    <w:rsid w:val="006C4DC3"/>
    <w:rsid w:val="006C5306"/>
    <w:rsid w:val="006C6FD0"/>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6679"/>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12A"/>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4A1"/>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08DD"/>
    <w:rsid w:val="007D11F4"/>
    <w:rsid w:val="007D41C8"/>
    <w:rsid w:val="007D4B6D"/>
    <w:rsid w:val="007D531D"/>
    <w:rsid w:val="007D5FE5"/>
    <w:rsid w:val="007D64B7"/>
    <w:rsid w:val="007D6804"/>
    <w:rsid w:val="007D696A"/>
    <w:rsid w:val="007D72A1"/>
    <w:rsid w:val="007D7CF7"/>
    <w:rsid w:val="007E21B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3AB5"/>
    <w:rsid w:val="008847C1"/>
    <w:rsid w:val="0089051C"/>
    <w:rsid w:val="0089222C"/>
    <w:rsid w:val="0089548F"/>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9A4"/>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13D"/>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6EB"/>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1F1D"/>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13C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17A30"/>
    <w:rsid w:val="00B20E0F"/>
    <w:rsid w:val="00B2156C"/>
    <w:rsid w:val="00B218AD"/>
    <w:rsid w:val="00B3087D"/>
    <w:rsid w:val="00B31330"/>
    <w:rsid w:val="00B313DA"/>
    <w:rsid w:val="00B4071E"/>
    <w:rsid w:val="00B40E89"/>
    <w:rsid w:val="00B41409"/>
    <w:rsid w:val="00B42880"/>
    <w:rsid w:val="00B43E72"/>
    <w:rsid w:val="00B440D1"/>
    <w:rsid w:val="00B44A53"/>
    <w:rsid w:val="00B4684C"/>
    <w:rsid w:val="00B47E4E"/>
    <w:rsid w:val="00B5013B"/>
    <w:rsid w:val="00B51D6A"/>
    <w:rsid w:val="00B53571"/>
    <w:rsid w:val="00B5459C"/>
    <w:rsid w:val="00B563B2"/>
    <w:rsid w:val="00B60FF1"/>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0AC3"/>
    <w:rsid w:val="00B911EB"/>
    <w:rsid w:val="00B93562"/>
    <w:rsid w:val="00B93DBF"/>
    <w:rsid w:val="00B96CAA"/>
    <w:rsid w:val="00BA0B33"/>
    <w:rsid w:val="00BA159C"/>
    <w:rsid w:val="00BA2CE8"/>
    <w:rsid w:val="00BA37EC"/>
    <w:rsid w:val="00BA3BF0"/>
    <w:rsid w:val="00BA41A8"/>
    <w:rsid w:val="00BA4ADB"/>
    <w:rsid w:val="00BA4C75"/>
    <w:rsid w:val="00BA75CF"/>
    <w:rsid w:val="00BB17C1"/>
    <w:rsid w:val="00BB2E7D"/>
    <w:rsid w:val="00BB463F"/>
    <w:rsid w:val="00BB542B"/>
    <w:rsid w:val="00BB57C3"/>
    <w:rsid w:val="00BB745E"/>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340"/>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0E70"/>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6249"/>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2F00"/>
    <w:rsid w:val="00D15967"/>
    <w:rsid w:val="00D16487"/>
    <w:rsid w:val="00D16DE9"/>
    <w:rsid w:val="00D20872"/>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5953"/>
    <w:rsid w:val="00D37189"/>
    <w:rsid w:val="00D37CBE"/>
    <w:rsid w:val="00D40B21"/>
    <w:rsid w:val="00D4255C"/>
    <w:rsid w:val="00D43A20"/>
    <w:rsid w:val="00D43E90"/>
    <w:rsid w:val="00D4406C"/>
    <w:rsid w:val="00D46A32"/>
    <w:rsid w:val="00D50A77"/>
    <w:rsid w:val="00D51300"/>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4A50"/>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1FE9"/>
    <w:rsid w:val="00EA44A8"/>
    <w:rsid w:val="00EA44AD"/>
    <w:rsid w:val="00EA4A3E"/>
    <w:rsid w:val="00EA646C"/>
    <w:rsid w:val="00EA6B00"/>
    <w:rsid w:val="00EA764A"/>
    <w:rsid w:val="00EB068E"/>
    <w:rsid w:val="00EB081E"/>
    <w:rsid w:val="00EB3361"/>
    <w:rsid w:val="00EB3FD6"/>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5672"/>
    <w:rsid w:val="00EE6ABA"/>
    <w:rsid w:val="00EF07B8"/>
    <w:rsid w:val="00EF088A"/>
    <w:rsid w:val="00EF098A"/>
    <w:rsid w:val="00EF09FB"/>
    <w:rsid w:val="00EF1642"/>
    <w:rsid w:val="00EF2207"/>
    <w:rsid w:val="00EF3C0F"/>
    <w:rsid w:val="00EF42CF"/>
    <w:rsid w:val="00EF72C9"/>
    <w:rsid w:val="00F00D73"/>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2E7D"/>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berschrift2">
    <w:name w:val="heading 2"/>
    <w:basedOn w:val="Standard"/>
    <w:next w:val="Standard"/>
    <w:link w:val="berschrift2Zchn"/>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berschrift3">
    <w:name w:val="heading 3"/>
    <w:basedOn w:val="Standard"/>
    <w:next w:val="Standard"/>
    <w:link w:val="berschrift3Zchn"/>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Hyperlink">
    <w:name w:val="Hyperlink"/>
    <w:basedOn w:val="Absatz-Standardschriftart"/>
    <w:uiPriority w:val="99"/>
    <w:unhideWhenUsed/>
    <w:rsid w:val="00BD55F8"/>
    <w:rPr>
      <w:color w:val="0563C1" w:themeColor="hyperlink"/>
      <w:u w:val="single"/>
    </w:rPr>
  </w:style>
  <w:style w:type="paragraph" w:customStyle="1" w:styleId="MNewsTextAbstand">
    <w:name w:val="MNews Text Abstand"/>
    <w:basedOn w:val="Standard"/>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Zeilennummer">
    <w:name w:val="line number"/>
    <w:basedOn w:val="Absatz-Standardschriftart"/>
    <w:uiPriority w:val="99"/>
    <w:unhideWhenUsed/>
    <w:rsid w:val="00BD55F8"/>
  </w:style>
  <w:style w:type="paragraph" w:styleId="Listenfortsetzung4">
    <w:name w:val="List Continue 4"/>
    <w:basedOn w:val="Standard"/>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Kopfzeile">
    <w:name w:val="header"/>
    <w:basedOn w:val="Standard"/>
    <w:link w:val="KopfzeileZchn"/>
    <w:unhideWhenUsed/>
    <w:rsid w:val="00962B40"/>
    <w:pPr>
      <w:tabs>
        <w:tab w:val="center" w:pos="4536"/>
        <w:tab w:val="right" w:pos="9072"/>
      </w:tabs>
    </w:pPr>
    <w:rPr>
      <w:rFonts w:eastAsia="Sennheiser Office"/>
    </w:rPr>
  </w:style>
  <w:style w:type="character" w:customStyle="1" w:styleId="KopfzeileZchn">
    <w:name w:val="Kopfzeile Zchn"/>
    <w:basedOn w:val="Absatz-Standardschriftart"/>
    <w:link w:val="Kopfzeile"/>
    <w:rsid w:val="00962B40"/>
    <w:rPr>
      <w:rFonts w:ascii="Times New Roman" w:eastAsia="Sennheiser Office" w:hAnsi="Times New Roman" w:cs="Times New Roman"/>
      <w:lang w:eastAsia="de-DE"/>
    </w:rPr>
  </w:style>
  <w:style w:type="paragraph" w:styleId="Fuzeile">
    <w:name w:val="footer"/>
    <w:basedOn w:val="Standard"/>
    <w:link w:val="FuzeileZchn"/>
    <w:unhideWhenUsed/>
    <w:rsid w:val="00962B40"/>
    <w:pPr>
      <w:tabs>
        <w:tab w:val="center" w:pos="4536"/>
        <w:tab w:val="right" w:pos="9072"/>
      </w:tabs>
    </w:pPr>
    <w:rPr>
      <w:rFonts w:eastAsia="Sennheiser Office"/>
    </w:rPr>
  </w:style>
  <w:style w:type="character" w:customStyle="1" w:styleId="FuzeileZchn">
    <w:name w:val="Fußzeile Zchn"/>
    <w:basedOn w:val="Absatz-Standardschriftart"/>
    <w:link w:val="Fuzeile"/>
    <w:rsid w:val="00962B40"/>
    <w:rPr>
      <w:rFonts w:ascii="Times New Roman" w:eastAsia="Sennheiser Office" w:hAnsi="Times New Roman" w:cs="Times New Roman"/>
      <w:lang w:eastAsia="de-DE"/>
    </w:rPr>
  </w:style>
  <w:style w:type="table" w:styleId="Tabellenraster">
    <w:name w:val="Table Grid"/>
    <w:basedOn w:val="NormaleTabelle"/>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nhideWhenUsed/>
    <w:rsid w:val="005D4529"/>
    <w:rPr>
      <w:color w:val="605E5C"/>
      <w:shd w:val="clear" w:color="auto" w:fill="E1DFDD"/>
    </w:rPr>
  </w:style>
  <w:style w:type="character" w:styleId="BesuchterLink">
    <w:name w:val="FollowedHyperlink"/>
    <w:basedOn w:val="Absatz-Standardschriftart"/>
    <w:semiHidden/>
    <w:unhideWhenUsed/>
    <w:rsid w:val="005D4529"/>
    <w:rPr>
      <w:color w:val="954F72" w:themeColor="followedHyperlink"/>
      <w:u w:val="single"/>
    </w:rPr>
  </w:style>
  <w:style w:type="character" w:customStyle="1" w:styleId="berschrift1Zchn">
    <w:name w:val="Überschrift 1 Zchn"/>
    <w:basedOn w:val="Absatz-Standardschriftart"/>
    <w:link w:val="berschrift1"/>
    <w:uiPriority w:val="9"/>
    <w:rsid w:val="004A1286"/>
    <w:rPr>
      <w:rFonts w:ascii="Sennheiser Office" w:eastAsia="Sennheiser Office" w:hAnsi="Sennheiser Office" w:cs="Times New Roman"/>
      <w:b/>
      <w:caps/>
      <w:color w:val="0095D5"/>
      <w:sz w:val="20"/>
      <w:szCs w:val="20"/>
      <w:lang w:eastAsia="x-none"/>
    </w:rPr>
  </w:style>
  <w:style w:type="character" w:customStyle="1" w:styleId="berschrift2Zchn">
    <w:name w:val="Überschrift 2 Zchn"/>
    <w:basedOn w:val="Absatz-Standardschriftart"/>
    <w:link w:val="berschrift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Standard"/>
    <w:rsid w:val="004A1286"/>
    <w:rPr>
      <w:rFonts w:ascii="Avenir Next Condensed Regular" w:eastAsia="MS Mincho" w:hAnsi="Avenir Next Condensed Regular"/>
      <w:sz w:val="18"/>
      <w:szCs w:val="18"/>
      <w:lang w:val="en-US"/>
    </w:rPr>
  </w:style>
  <w:style w:type="paragraph" w:styleId="Listenabsatz">
    <w:name w:val="List Paragraph"/>
    <w:basedOn w:val="Standard"/>
    <w:uiPriority w:val="34"/>
    <w:qFormat/>
    <w:rsid w:val="004A1286"/>
    <w:pPr>
      <w:spacing w:before="100" w:beforeAutospacing="1" w:after="100" w:afterAutospacing="1"/>
    </w:pPr>
  </w:style>
  <w:style w:type="character" w:customStyle="1" w:styleId="apple-converted-space">
    <w:name w:val="apple-converted-space"/>
    <w:basedOn w:val="Absatz-Standardschriftart"/>
    <w:rsid w:val="004A1286"/>
  </w:style>
  <w:style w:type="paragraph" w:styleId="Sprechblasentext">
    <w:name w:val="Balloon Text"/>
    <w:basedOn w:val="Standard"/>
    <w:link w:val="SprechblasentextZchn"/>
    <w:semiHidden/>
    <w:unhideWhenUsed/>
    <w:rsid w:val="004A1286"/>
    <w:rPr>
      <w:rFonts w:eastAsia="Sennheiser Office"/>
      <w:sz w:val="18"/>
      <w:szCs w:val="18"/>
    </w:rPr>
  </w:style>
  <w:style w:type="character" w:customStyle="1" w:styleId="SprechblasentextZchn">
    <w:name w:val="Sprechblasentext Zchn"/>
    <w:basedOn w:val="Absatz-Standardschriftart"/>
    <w:link w:val="Sprechblasentext"/>
    <w:semiHidden/>
    <w:rsid w:val="004A1286"/>
    <w:rPr>
      <w:rFonts w:ascii="Times New Roman" w:eastAsia="Sennheiser Office" w:hAnsi="Times New Roman" w:cs="Times New Roman"/>
      <w:sz w:val="18"/>
      <w:szCs w:val="18"/>
      <w:lang w:eastAsia="de-DE"/>
    </w:rPr>
  </w:style>
  <w:style w:type="paragraph" w:styleId="berarbeitung">
    <w:name w:val="Revision"/>
    <w:hidden/>
    <w:semiHidden/>
    <w:rsid w:val="004A1286"/>
    <w:rPr>
      <w:rFonts w:ascii="Times New Roman" w:eastAsia="Sennheiser Office" w:hAnsi="Times New Roman" w:cs="Times New Roman"/>
      <w:lang w:eastAsia="de-DE"/>
    </w:rPr>
  </w:style>
  <w:style w:type="character" w:styleId="Kommentarzeichen">
    <w:name w:val="annotation reference"/>
    <w:basedOn w:val="Absatz-Standardschriftart"/>
    <w:uiPriority w:val="99"/>
    <w:semiHidden/>
    <w:unhideWhenUsed/>
    <w:rsid w:val="004A1286"/>
    <w:rPr>
      <w:sz w:val="16"/>
      <w:szCs w:val="16"/>
    </w:rPr>
  </w:style>
  <w:style w:type="paragraph" w:styleId="Kommentartext">
    <w:name w:val="annotation text"/>
    <w:basedOn w:val="Standard"/>
    <w:link w:val="KommentartextZchn"/>
    <w:uiPriority w:val="99"/>
    <w:unhideWhenUsed/>
    <w:rsid w:val="004A1286"/>
    <w:rPr>
      <w:rFonts w:eastAsia="Sennheiser Office"/>
      <w:sz w:val="20"/>
      <w:szCs w:val="20"/>
    </w:rPr>
  </w:style>
  <w:style w:type="character" w:customStyle="1" w:styleId="KommentartextZchn">
    <w:name w:val="Kommentartext Zchn"/>
    <w:basedOn w:val="Absatz-Standardschriftart"/>
    <w:link w:val="Kommentartext"/>
    <w:uiPriority w:val="99"/>
    <w:rsid w:val="004A1286"/>
    <w:rPr>
      <w:rFonts w:ascii="Times New Roman" w:eastAsia="Sennheiser Office" w:hAnsi="Times New Roman" w:cs="Times New Roman"/>
      <w:sz w:val="20"/>
      <w:szCs w:val="20"/>
      <w:lang w:eastAsia="de-DE"/>
    </w:rPr>
  </w:style>
  <w:style w:type="paragraph" w:styleId="Kommentarthema">
    <w:name w:val="annotation subject"/>
    <w:basedOn w:val="Kommentartext"/>
    <w:next w:val="Kommentartext"/>
    <w:link w:val="KommentarthemaZchn"/>
    <w:semiHidden/>
    <w:unhideWhenUsed/>
    <w:rsid w:val="004A1286"/>
    <w:rPr>
      <w:b/>
      <w:bCs/>
    </w:rPr>
  </w:style>
  <w:style w:type="character" w:customStyle="1" w:styleId="KommentarthemaZchn">
    <w:name w:val="Kommentarthema Zchn"/>
    <w:basedOn w:val="KommentartextZchn"/>
    <w:link w:val="Kommentarthema"/>
    <w:semiHidden/>
    <w:rsid w:val="004A1286"/>
    <w:rPr>
      <w:rFonts w:ascii="Times New Roman" w:eastAsia="Sennheiser Office" w:hAnsi="Times New Roman" w:cs="Times New Roman"/>
      <w:b/>
      <w:bCs/>
      <w:sz w:val="20"/>
      <w:szCs w:val="20"/>
      <w:lang w:eastAsia="de-DE"/>
    </w:rPr>
  </w:style>
  <w:style w:type="character" w:styleId="NichtaufgelsteErwhnung">
    <w:name w:val="Unresolved Mention"/>
    <w:basedOn w:val="Absatz-Standardschriftart"/>
    <w:uiPriority w:val="99"/>
    <w:semiHidden/>
    <w:unhideWhenUsed/>
    <w:rsid w:val="00146506"/>
    <w:rPr>
      <w:color w:val="605E5C"/>
      <w:shd w:val="clear" w:color="auto" w:fill="E1DFDD"/>
    </w:rPr>
  </w:style>
  <w:style w:type="paragraph" w:styleId="StandardWeb">
    <w:name w:val="Normal (Web)"/>
    <w:basedOn w:val="Standard"/>
    <w:uiPriority w:val="99"/>
    <w:unhideWhenUsed/>
    <w:rsid w:val="00534079"/>
    <w:pPr>
      <w:spacing w:before="100" w:beforeAutospacing="1" w:after="100" w:afterAutospacing="1"/>
    </w:pPr>
  </w:style>
  <w:style w:type="character" w:styleId="Erwhnung">
    <w:name w:val="Mention"/>
    <w:basedOn w:val="Absatz-Standardschriftar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KeinLeerraum">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Fett">
    <w:name w:val="Strong"/>
    <w:basedOn w:val="Absatz-Standardschriftart"/>
    <w:uiPriority w:val="22"/>
    <w:qFormat/>
    <w:rsid w:val="00852B78"/>
    <w:rPr>
      <w:b/>
      <w:bCs/>
    </w:rPr>
  </w:style>
  <w:style w:type="character" w:customStyle="1" w:styleId="berschrift3Zchn">
    <w:name w:val="Überschrift 3 Zchn"/>
    <w:basedOn w:val="Absatz-Standardschriftart"/>
    <w:link w:val="berschrift3"/>
    <w:uiPriority w:val="9"/>
    <w:semiHidden/>
    <w:rsid w:val="00DD0D93"/>
    <w:rPr>
      <w:rFonts w:asciiTheme="majorHAnsi" w:eastAsiaTheme="majorEastAsia" w:hAnsiTheme="majorHAnsi" w:cstheme="majorBidi"/>
      <w:color w:val="1F3763" w:themeColor="accent1" w:themeShade="7F"/>
      <w:lang w:eastAsia="de-DE"/>
    </w:rPr>
  </w:style>
  <w:style w:type="character" w:styleId="Hervorhebung">
    <w:name w:val="Emphasis"/>
    <w:basedOn w:val="Absatz-Standardschriftart"/>
    <w:uiPriority w:val="20"/>
    <w:qFormat/>
    <w:rsid w:val="007D7CF7"/>
    <w:rPr>
      <w:i/>
      <w:iCs/>
    </w:rPr>
  </w:style>
  <w:style w:type="character" w:customStyle="1" w:styleId="berschrift4Zchn">
    <w:name w:val="Überschrift 4 Zchn"/>
    <w:basedOn w:val="Absatz-Standardschriftart"/>
    <w:link w:val="berschrift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Standard"/>
    <w:rsid w:val="009D5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ergin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tel:+49%20(0)%2030%2041%2077%202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user/GeorgNeumannGmb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neumann.berlin/" TargetMode="External"/><Relationship Id="rId20" Type="http://schemas.openxmlformats.org/officeDocument/2006/relationships/hyperlink" Target="mailto:newsroom@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euman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uma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2.xml><?xml version="1.0" encoding="utf-8"?>
<ds:datastoreItem xmlns:ds="http://schemas.openxmlformats.org/officeDocument/2006/customXml" ds:itemID="{63AF8360-1CCE-4D2B-B4A6-8D6D789A7490}">
  <ds:schemaRefs>
    <ds:schemaRef ds:uri="http://schemas.microsoft.com/sharepoint/v3/contenttype/forms"/>
  </ds:schemaRefs>
</ds:datastoreItem>
</file>

<file path=customXml/itemProps3.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973</Words>
  <Characters>6136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Hau, Andreas</cp:lastModifiedBy>
  <cp:revision>3</cp:revision>
  <cp:lastPrinted>2026-04-16T07:45:00Z</cp:lastPrinted>
  <dcterms:created xsi:type="dcterms:W3CDTF">2026-04-16T07:45:00Z</dcterms:created>
  <dcterms:modified xsi:type="dcterms:W3CDTF">2026-04-16T07:47:00Z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ies>
</file>