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1DF" w:rsidRDefault="004621DF" w:rsidP="004621DF">
      <w:pPr>
        <w:spacing w:line="276" w:lineRule="auto"/>
        <w:jc w:val="right"/>
        <w:rPr>
          <w:rFonts w:asciiTheme="majorHAnsi" w:hAnsiTheme="majorHAnsi"/>
          <w:b/>
          <w:color w:val="000000" w:themeColor="text1"/>
          <w:sz w:val="32"/>
          <w:szCs w:val="32"/>
          <w:u w:val="single"/>
          <w:lang w:val="nl-BE"/>
        </w:rPr>
      </w:pPr>
      <w:r w:rsidRPr="001325B0">
        <w:rPr>
          <w:rFonts w:asciiTheme="majorHAnsi" w:hAnsiTheme="majorHAnsi"/>
          <w:b/>
          <w:color w:val="000000" w:themeColor="text1"/>
          <w:sz w:val="32"/>
          <w:szCs w:val="32"/>
          <w:u w:val="single"/>
          <w:lang w:val="nl-BE"/>
        </w:rPr>
        <w:t>Bijkomende info</w:t>
      </w:r>
    </w:p>
    <w:p w:rsidR="004621DF" w:rsidRPr="001325B0" w:rsidRDefault="004621DF" w:rsidP="004621DF">
      <w:pPr>
        <w:spacing w:line="276" w:lineRule="auto"/>
        <w:rPr>
          <w:rFonts w:asciiTheme="majorHAnsi" w:hAnsiTheme="majorHAnsi"/>
          <w:i/>
          <w:sz w:val="28"/>
          <w:szCs w:val="28"/>
          <w:lang w:val="nl-BE"/>
        </w:rPr>
      </w:pPr>
      <w:r w:rsidRPr="001325B0">
        <w:rPr>
          <w:rFonts w:asciiTheme="majorHAnsi" w:hAnsiTheme="majorHAnsi"/>
          <w:b/>
          <w:sz w:val="32"/>
          <w:szCs w:val="32"/>
          <w:lang w:val="nl-BE"/>
        </w:rPr>
        <w:br/>
      </w:r>
      <w:r w:rsidRPr="001325B0">
        <w:rPr>
          <w:rFonts w:asciiTheme="majorHAnsi" w:hAnsiTheme="majorHAnsi"/>
          <w:i/>
          <w:sz w:val="28"/>
          <w:szCs w:val="28"/>
          <w:lang w:val="nl-BE"/>
        </w:rPr>
        <w:t xml:space="preserve">Le radeau de la Méduse </w:t>
      </w:r>
      <w:r w:rsidRPr="001325B0">
        <w:rPr>
          <w:rFonts w:asciiTheme="majorHAnsi" w:hAnsiTheme="majorHAnsi"/>
          <w:sz w:val="28"/>
          <w:szCs w:val="28"/>
          <w:lang w:val="nl-BE"/>
        </w:rPr>
        <w:t>(</w:t>
      </w:r>
      <w:r w:rsidRPr="001325B0">
        <w:rPr>
          <w:rFonts w:asciiTheme="majorHAnsi" w:hAnsiTheme="majorHAnsi"/>
          <w:i/>
          <w:sz w:val="28"/>
          <w:szCs w:val="28"/>
          <w:lang w:val="nl-BE"/>
        </w:rPr>
        <w:t>Het Vlot van de Medusa</w:t>
      </w:r>
      <w:r w:rsidRPr="001325B0">
        <w:rPr>
          <w:rFonts w:asciiTheme="majorHAnsi" w:hAnsiTheme="majorHAnsi"/>
          <w:sz w:val="28"/>
          <w:szCs w:val="28"/>
          <w:lang w:val="nl-BE"/>
        </w:rPr>
        <w:t xml:space="preserve">, 1818) is de titel van het beroemde schilderij van Théodore Géricault dat momenteel in het Louvre in Parijs hangt. </w:t>
      </w:r>
    </w:p>
    <w:p w:rsidR="004621DF" w:rsidRPr="00E90F32" w:rsidRDefault="004621DF" w:rsidP="004621DF">
      <w:pPr>
        <w:spacing w:line="276" w:lineRule="auto"/>
        <w:rPr>
          <w:rFonts w:asciiTheme="majorHAnsi" w:hAnsiTheme="majorHAnsi"/>
          <w:b/>
          <w:sz w:val="22"/>
          <w:szCs w:val="22"/>
          <w:lang w:val="nl-BE"/>
        </w:rPr>
      </w:pPr>
    </w:p>
    <w:p w:rsidR="004621DF" w:rsidRPr="00E90F32" w:rsidRDefault="004621DF" w:rsidP="004621DF">
      <w:pPr>
        <w:spacing w:line="276" w:lineRule="auto"/>
        <w:rPr>
          <w:rFonts w:asciiTheme="majorHAnsi" w:hAnsiTheme="majorHAnsi"/>
          <w:sz w:val="22"/>
          <w:szCs w:val="22"/>
          <w:lang w:val="nl-BE"/>
        </w:rPr>
      </w:pPr>
      <w:r>
        <w:rPr>
          <w:rFonts w:asciiTheme="majorHAnsi" w:hAnsiTheme="majorHAnsi"/>
          <w:b/>
          <w:sz w:val="22"/>
          <w:szCs w:val="22"/>
          <w:lang w:val="nl-BE"/>
        </w:rPr>
        <w:t xml:space="preserve">Ontstaansgeschiedenis </w:t>
      </w:r>
      <w:r>
        <w:rPr>
          <w:rFonts w:asciiTheme="majorHAnsi" w:hAnsiTheme="majorHAnsi"/>
          <w:b/>
          <w:sz w:val="22"/>
          <w:szCs w:val="22"/>
          <w:lang w:val="nl-BE"/>
        </w:rPr>
        <w:br/>
      </w:r>
      <w:r w:rsidRPr="00E90F32">
        <w:rPr>
          <w:rFonts w:asciiTheme="majorHAnsi" w:hAnsiTheme="majorHAnsi"/>
          <w:sz w:val="22"/>
          <w:szCs w:val="22"/>
          <w:lang w:val="nl-BE"/>
        </w:rPr>
        <w:t>Het schilderij is gebaseerd op de beruchte schipbreuk van het Franse fregat Méduse in juli 1816 op de Atlantische Oceaan even buiten de Westkust van Afrika. Aan boord was een groot vlot gebouwd, La Machine genoemd, waarop bij het zinken van het schip bijna 150 opvarenden het lijf moesten redden. Vervolgens werden ze door kapitein en officieren zonder voedsel of water aan hun lot overgelaten. Van 5 tot 17 juli dobberde het vlot rond. Toen het werd teruggevonden door het zusterschip Argon, waren nog vijftien mensen in leven. De andere</w:t>
      </w:r>
      <w:r>
        <w:rPr>
          <w:rFonts w:asciiTheme="majorHAnsi" w:hAnsiTheme="majorHAnsi"/>
          <w:sz w:val="22"/>
          <w:szCs w:val="22"/>
          <w:lang w:val="nl-BE"/>
        </w:rPr>
        <w:t>n</w:t>
      </w:r>
      <w:r w:rsidRPr="00E90F32">
        <w:rPr>
          <w:rFonts w:asciiTheme="majorHAnsi" w:hAnsiTheme="majorHAnsi"/>
          <w:sz w:val="22"/>
          <w:szCs w:val="22"/>
          <w:lang w:val="nl-BE"/>
        </w:rPr>
        <w:t xml:space="preserve"> waren overboord geduwd, verhongerd of opgegeten</w:t>
      </w:r>
      <w:r w:rsidRPr="00E90F32">
        <w:rPr>
          <w:rFonts w:asciiTheme="majorHAnsi" w:hAnsiTheme="majorHAnsi"/>
          <w:color w:val="00B0F0"/>
          <w:sz w:val="22"/>
          <w:szCs w:val="22"/>
          <w:lang w:val="nl-BE"/>
        </w:rPr>
        <w:t>.</w:t>
      </w:r>
      <w:r w:rsidRPr="00E90F32">
        <w:rPr>
          <w:rFonts w:asciiTheme="majorHAnsi" w:hAnsiTheme="majorHAnsi"/>
          <w:sz w:val="22"/>
          <w:szCs w:val="22"/>
          <w:lang w:val="nl-BE"/>
        </w:rPr>
        <w:br/>
      </w:r>
      <w:r w:rsidRPr="00E90F32">
        <w:rPr>
          <w:rFonts w:asciiTheme="majorHAnsi" w:hAnsiTheme="majorHAnsi"/>
          <w:sz w:val="22"/>
          <w:szCs w:val="22"/>
          <w:lang w:val="nl-BE"/>
        </w:rPr>
        <w:br/>
        <w:t>Die ramp werd later een onderwerp voor vele belangrijke kunstschilders, onder wie Géricault, die er inspiratie in vond voor zijn vlot. Conform de Romantiek van de 19</w:t>
      </w:r>
      <w:r w:rsidRPr="00E90F32">
        <w:rPr>
          <w:rFonts w:asciiTheme="majorHAnsi" w:hAnsiTheme="majorHAnsi"/>
          <w:sz w:val="22"/>
          <w:szCs w:val="22"/>
          <w:vertAlign w:val="superscript"/>
          <w:lang w:val="nl-BE"/>
        </w:rPr>
        <w:t>e</w:t>
      </w:r>
      <w:r w:rsidRPr="00E90F32">
        <w:rPr>
          <w:rFonts w:asciiTheme="majorHAnsi" w:hAnsiTheme="majorHAnsi"/>
          <w:sz w:val="22"/>
          <w:szCs w:val="22"/>
          <w:lang w:val="nl-BE"/>
        </w:rPr>
        <w:t xml:space="preserve"> eeuw besloot Géricault tot een groot doek met een niet zo afschuwelijk maar emotioneel aangrijpende gebeurtenis. Het werk geeft vorm aan de hoop, de vrijheid n</w:t>
      </w:r>
      <w:r>
        <w:rPr>
          <w:rFonts w:asciiTheme="majorHAnsi" w:hAnsiTheme="majorHAnsi"/>
          <w:sz w:val="22"/>
          <w:szCs w:val="22"/>
          <w:lang w:val="nl-BE"/>
        </w:rPr>
        <w:t xml:space="preserve">abij, en tegelijk een illusie. </w:t>
      </w:r>
      <w:r w:rsidRPr="00E90F32">
        <w:rPr>
          <w:rFonts w:asciiTheme="majorHAnsi" w:hAnsiTheme="majorHAnsi"/>
          <w:sz w:val="22"/>
          <w:szCs w:val="22"/>
          <w:lang w:val="nl-BE"/>
        </w:rPr>
        <w:br/>
      </w:r>
      <w:r w:rsidRPr="00E90F32">
        <w:rPr>
          <w:rFonts w:asciiTheme="majorHAnsi" w:hAnsiTheme="majorHAnsi"/>
          <w:sz w:val="22"/>
          <w:szCs w:val="22"/>
          <w:lang w:val="nl-BE"/>
        </w:rPr>
        <w:br/>
      </w:r>
      <w:r w:rsidRPr="00E90F32">
        <w:rPr>
          <w:rFonts w:asciiTheme="majorHAnsi" w:hAnsiTheme="majorHAnsi"/>
          <w:b/>
          <w:sz w:val="22"/>
          <w:szCs w:val="22"/>
          <w:lang w:val="nl-BE"/>
        </w:rPr>
        <w:t>Beschrijving van het werk</w:t>
      </w:r>
      <w:r>
        <w:rPr>
          <w:rFonts w:asciiTheme="majorHAnsi" w:hAnsiTheme="majorHAnsi"/>
          <w:sz w:val="22"/>
          <w:szCs w:val="22"/>
          <w:lang w:val="nl-BE"/>
        </w:rPr>
        <w:br/>
      </w:r>
      <w:r w:rsidRPr="00E90F32">
        <w:rPr>
          <w:rFonts w:asciiTheme="majorHAnsi" w:hAnsiTheme="majorHAnsi"/>
          <w:sz w:val="22"/>
          <w:szCs w:val="22"/>
          <w:lang w:val="nl-BE"/>
        </w:rPr>
        <w:t>Het schilderij zelf laat een palet van gevoelens zien : van wanhoop tot valse hoop. Het schip zelf is nauwelijks zichtbaar, de gevoelens des te meer. Dat eb en vloed, die beweging van stemmingen wordt in alle precisie weergegeven. Alles is bestudeerd, en zorgvuldig uitgedacht door Géricault, die in de herfst van 1818 de compositie in haar geheel kon overbrengen op het doek van 5 bij 7,5 meter. </w:t>
      </w:r>
      <w:r w:rsidRPr="00E90F32">
        <w:rPr>
          <w:rFonts w:asciiTheme="majorHAnsi" w:hAnsiTheme="majorHAnsi"/>
          <w:sz w:val="22"/>
          <w:szCs w:val="22"/>
          <w:lang w:val="nl-BE"/>
        </w:rPr>
        <w:br/>
      </w:r>
      <w:r w:rsidRPr="00E90F32">
        <w:rPr>
          <w:rFonts w:asciiTheme="majorHAnsi" w:hAnsiTheme="majorHAnsi"/>
          <w:sz w:val="22"/>
          <w:szCs w:val="22"/>
          <w:lang w:val="nl-BE"/>
        </w:rPr>
        <w:br/>
        <w:t>Centraal in het verhaal staat het puntje in de verte dat het nauwelijks zichtbare zeil van het reddingsschip toont. Maar de kijker merkt eerst en vooral de hoge golven en de bewolkte lucht op die het vlot omgeven. Daarna ziet hij de opvarenden aan hun gebaren die om aandacht vragen, wijzen op het schip en tegelijk de kijker erbij betrekken.</w:t>
      </w:r>
      <w:r w:rsidRPr="00E90F32">
        <w:rPr>
          <w:rFonts w:asciiTheme="majorHAnsi" w:hAnsiTheme="majorHAnsi"/>
          <w:sz w:val="22"/>
          <w:szCs w:val="22"/>
          <w:lang w:val="nl-BE"/>
        </w:rPr>
        <w:br/>
      </w:r>
      <w:r w:rsidRPr="00E90F32">
        <w:rPr>
          <w:rFonts w:asciiTheme="majorHAnsi" w:hAnsiTheme="majorHAnsi"/>
          <w:sz w:val="22"/>
          <w:szCs w:val="22"/>
          <w:lang w:val="nl-BE"/>
        </w:rPr>
        <w:br/>
        <w:t xml:space="preserve">Vlijmscherp realisme en de ambitie om heroïsch en monumentaal te werken typeren Géricault en dit werk. Hij heeft gewerkt met levende modellen, en zoveel als mogelijk voorstudies van lijken, afgehakte hoofden en afgesneden ledematen. Hoewel zijn schilderij tot op de rand van het perverse, morbide fantastische gaat, blijft het in wezen een realistisch geschilderde aanklacht. </w:t>
      </w:r>
      <w:r w:rsidRPr="00E90F32">
        <w:rPr>
          <w:rFonts w:asciiTheme="majorHAnsi" w:hAnsiTheme="majorHAnsi"/>
          <w:sz w:val="22"/>
          <w:szCs w:val="22"/>
          <w:lang w:val="nl-BE"/>
        </w:rPr>
        <w:br/>
      </w:r>
      <w:r w:rsidRPr="00E90F32">
        <w:rPr>
          <w:rFonts w:asciiTheme="majorHAnsi" w:hAnsiTheme="majorHAnsi"/>
          <w:sz w:val="22"/>
          <w:szCs w:val="22"/>
          <w:lang w:val="nl-BE"/>
        </w:rPr>
        <w:br/>
      </w:r>
      <w:r w:rsidRPr="00E90F32">
        <w:rPr>
          <w:rFonts w:asciiTheme="majorHAnsi" w:hAnsiTheme="majorHAnsi"/>
          <w:b/>
          <w:sz w:val="22"/>
          <w:szCs w:val="22"/>
          <w:lang w:val="nl-BE"/>
        </w:rPr>
        <w:t>Betekenis</w:t>
      </w:r>
      <w:r>
        <w:rPr>
          <w:rFonts w:asciiTheme="majorHAnsi" w:hAnsiTheme="majorHAnsi"/>
          <w:sz w:val="22"/>
          <w:szCs w:val="22"/>
          <w:lang w:val="nl-BE"/>
        </w:rPr>
        <w:br/>
      </w:r>
      <w:r w:rsidRPr="00E90F32">
        <w:rPr>
          <w:rFonts w:asciiTheme="majorHAnsi" w:hAnsiTheme="majorHAnsi"/>
          <w:sz w:val="22"/>
          <w:szCs w:val="22"/>
          <w:lang w:val="nl-BE"/>
        </w:rPr>
        <w:t xml:space="preserve">Op 25 augustus 1819 werd </w:t>
      </w:r>
      <w:r w:rsidRPr="00E90F32">
        <w:rPr>
          <w:rFonts w:asciiTheme="majorHAnsi" w:hAnsiTheme="majorHAnsi"/>
          <w:i/>
          <w:sz w:val="22"/>
          <w:szCs w:val="22"/>
          <w:lang w:val="nl-BE"/>
        </w:rPr>
        <w:t>Het vlot</w:t>
      </w:r>
      <w:r w:rsidRPr="00E90F32">
        <w:rPr>
          <w:rFonts w:asciiTheme="majorHAnsi" w:hAnsiTheme="majorHAnsi"/>
          <w:sz w:val="22"/>
          <w:szCs w:val="22"/>
          <w:lang w:val="nl-BE"/>
        </w:rPr>
        <w:t xml:space="preserve"> onder de titel </w:t>
      </w:r>
      <w:r w:rsidRPr="00E90F32">
        <w:rPr>
          <w:rFonts w:asciiTheme="majorHAnsi" w:hAnsiTheme="majorHAnsi"/>
          <w:i/>
          <w:sz w:val="22"/>
          <w:szCs w:val="22"/>
          <w:lang w:val="nl-BE"/>
        </w:rPr>
        <w:t>Schipbreuk</w:t>
      </w:r>
      <w:r w:rsidRPr="00E90F32">
        <w:rPr>
          <w:rFonts w:asciiTheme="majorHAnsi" w:hAnsiTheme="majorHAnsi"/>
          <w:sz w:val="22"/>
          <w:szCs w:val="22"/>
          <w:lang w:val="nl-BE"/>
        </w:rPr>
        <w:t xml:space="preserve"> op het Salon in Parijs voorgesteld. In sommige kringen riep het werk weerstand op. Men zag het werk als een politieke aanklacht tegen de onbekwaamheid van de koningsgezinde kapitein van de Medusa. Ook stoorde men zich aan de zwarte figuur op het vlot en men vermoedde een verdoken aanklacht tegen de slavernij. Kortom de politieke betekenis van het schilderij overschaduwde de kunstzinnige waarde ervan. </w:t>
      </w:r>
      <w:r w:rsidRPr="00E90F32">
        <w:rPr>
          <w:rFonts w:asciiTheme="majorHAnsi" w:hAnsiTheme="majorHAnsi"/>
          <w:sz w:val="22"/>
          <w:szCs w:val="22"/>
          <w:lang w:val="nl-BE"/>
        </w:rPr>
        <w:br/>
      </w:r>
      <w:r w:rsidRPr="00E90F32">
        <w:rPr>
          <w:rFonts w:asciiTheme="majorHAnsi" w:hAnsiTheme="majorHAnsi"/>
          <w:sz w:val="22"/>
          <w:szCs w:val="22"/>
          <w:lang w:val="nl-BE"/>
        </w:rPr>
        <w:br/>
        <w:t xml:space="preserve">Het schilderij bezit ook een achterliggende betekenis. Het verwijst naar de veranderende rol of het statuut van de kunstenaar na het Ancien Régime wanneer de klassieke opdrachtgevers zoals de adel, clerus en de burgerij wegvallen en de kunstenaar niet meer in opdracht schildert maar zelf de opdracht moet verzinnen. De kunstenaar bevindt zich als het ware zelf op het vlot, zonder dwingend richtsnoer (stijl of onderwerp) stuurloos zwalkend op de golven geconfronteerd met een totale vrijheid. Rondom 1880 leidt dat tot het ontstaan van de verschillende ismen, zoals achtereenvolgens het impressionisme, </w:t>
      </w:r>
      <w:r w:rsidRPr="00E90F32">
        <w:rPr>
          <w:rFonts w:asciiTheme="majorHAnsi" w:hAnsiTheme="majorHAnsi"/>
          <w:sz w:val="22"/>
          <w:szCs w:val="22"/>
          <w:lang w:val="nl-BE"/>
        </w:rPr>
        <w:lastRenderedPageBreak/>
        <w:t xml:space="preserve">expressionisme, symbolisme, kubisme, enz. en materialiseert de kunst een inwendige zielestrijd van de kunstenaar. </w:t>
      </w:r>
    </w:p>
    <w:p w:rsidR="004621DF" w:rsidRPr="00E90F32" w:rsidRDefault="004621DF" w:rsidP="004621DF">
      <w:pPr>
        <w:spacing w:line="276" w:lineRule="auto"/>
        <w:rPr>
          <w:rFonts w:asciiTheme="majorHAnsi" w:hAnsiTheme="majorHAnsi"/>
          <w:sz w:val="22"/>
          <w:szCs w:val="22"/>
        </w:rPr>
      </w:pPr>
    </w:p>
    <w:p w:rsidR="004621DF" w:rsidRPr="00E90F32" w:rsidRDefault="004621DF" w:rsidP="004621DF">
      <w:pPr>
        <w:spacing w:line="276" w:lineRule="auto"/>
        <w:rPr>
          <w:rFonts w:asciiTheme="majorHAnsi" w:hAnsiTheme="majorHAnsi"/>
          <w:color w:val="000000" w:themeColor="text1"/>
          <w:sz w:val="22"/>
          <w:szCs w:val="22"/>
          <w:lang w:val="nl-BE"/>
        </w:rPr>
      </w:pPr>
      <w:r w:rsidRPr="00E90F32">
        <w:rPr>
          <w:rFonts w:asciiTheme="majorHAnsi" w:hAnsiTheme="majorHAnsi"/>
          <w:color w:val="000000" w:themeColor="text1"/>
          <w:sz w:val="22"/>
          <w:szCs w:val="22"/>
        </w:rPr>
        <w:br/>
      </w:r>
    </w:p>
    <w:p w:rsidR="004621DF" w:rsidRPr="00E90F32" w:rsidRDefault="004621DF" w:rsidP="004621DF">
      <w:pPr>
        <w:spacing w:line="276" w:lineRule="auto"/>
        <w:rPr>
          <w:rFonts w:asciiTheme="majorHAnsi" w:hAnsiTheme="majorHAnsi"/>
          <w:color w:val="00B0F0"/>
          <w:sz w:val="22"/>
          <w:szCs w:val="22"/>
          <w:lang w:val="nl-BE"/>
        </w:rPr>
      </w:pPr>
    </w:p>
    <w:p w:rsidR="00120AB0" w:rsidRDefault="00120AB0">
      <w:bookmarkStart w:id="0" w:name="_GoBack"/>
      <w:bookmarkEnd w:id="0"/>
    </w:p>
    <w:sectPr w:rsidR="00120AB0" w:rsidSect="00482BAA">
      <w:headerReference w:type="even" r:id="rId5"/>
      <w:footerReference w:type="even" r:id="rId6"/>
      <w:footerReference w:type="default" r:id="rId7"/>
      <w:pgSz w:w="11900" w:h="16840"/>
      <w:pgMar w:top="476" w:right="1247" w:bottom="709" w:left="1247" w:header="425" w:footer="51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dobe Caslon Pro">
    <w:panose1 w:val="0205050205050A020403"/>
    <w:charset w:val="00"/>
    <w:family w:val="auto"/>
    <w:pitch w:val="variable"/>
    <w:sig w:usb0="00000007" w:usb1="00000001" w:usb2="00000000" w:usb3="00000000" w:csb0="00000093"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F86" w:rsidRDefault="004621DF" w:rsidP="001B23EA">
    <w:pPr>
      <w:pStyle w:val="Footer"/>
    </w:pPr>
    <w:r>
      <w:tab/>
      <w:t xml:space="preserve">                            </w:t>
    </w:r>
    <w:r>
      <w:t xml:space="preserve">                           </w:t>
    </w:r>
    <w:r>
      <w:rPr>
        <w:noProof/>
        <w:lang w:val="en-US" w:eastAsia="en-US"/>
      </w:rPr>
      <w:drawing>
        <wp:inline distT="0" distB="0" distL="0" distR="0" wp14:anchorId="5DC56BDB" wp14:editId="79C7A525">
          <wp:extent cx="676986" cy="890346"/>
          <wp:effectExtent l="19050" t="0" r="8814" b="0"/>
          <wp:docPr id="8" name="Afbeelding 2" descr="02a_Logo_Mu.ZEE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_Logo_Mu.ZEE_cmyk.tif"/>
                  <pic:cNvPicPr/>
                </pic:nvPicPr>
                <pic:blipFill>
                  <a:blip r:embed="rId1"/>
                  <a:stretch>
                    <a:fillRect/>
                  </a:stretch>
                </pic:blipFill>
                <pic:spPr>
                  <a:xfrm>
                    <a:off x="0" y="0"/>
                    <a:ext cx="677428" cy="890928"/>
                  </a:xfrm>
                  <a:prstGeom prst="rect">
                    <a:avLst/>
                  </a:prstGeom>
                </pic:spPr>
              </pic:pic>
            </a:graphicData>
          </a:graphic>
        </wp:inline>
      </w:drawing>
    </w:r>
    <w:r>
      <w:t xml:space="preserve"> </w:t>
    </w:r>
    <w:proofErr w:type="spellStart"/>
    <w:r w:rsidRPr="00300976">
      <w:rPr>
        <w:rFonts w:ascii="Garamond" w:hAnsi="Garamond"/>
        <w:sz w:val="16"/>
        <w:szCs w:val="16"/>
      </w:rPr>
      <w:t>Mu.ZEE</w:t>
    </w:r>
    <w:proofErr w:type="spellEnd"/>
    <w:r w:rsidRPr="00300976">
      <w:rPr>
        <w:rFonts w:ascii="Garamond" w:hAnsi="Garamond"/>
        <w:sz w:val="16"/>
        <w:szCs w:val="16"/>
      </w:rPr>
      <w:t xml:space="preserve"> vzw</w:t>
    </w:r>
    <w:r>
      <w:rPr>
        <w:rFonts w:ascii="Garamond" w:hAnsi="Garamond"/>
        <w:sz w:val="16"/>
        <w:szCs w:val="16"/>
      </w:rPr>
      <w:t xml:space="preserve"> | </w:t>
    </w:r>
    <w:r w:rsidRPr="00300976">
      <w:rPr>
        <w:rFonts w:ascii="Garamond" w:hAnsi="Garamond"/>
        <w:sz w:val="16"/>
        <w:szCs w:val="16"/>
      </w:rPr>
      <w:t>Romestraat 11</w:t>
    </w:r>
    <w:r>
      <w:rPr>
        <w:rFonts w:ascii="Garamond" w:hAnsi="Garamond"/>
        <w:sz w:val="16"/>
        <w:szCs w:val="16"/>
      </w:rPr>
      <w:t xml:space="preserve"> | </w:t>
    </w:r>
    <w:r w:rsidRPr="00300976">
      <w:rPr>
        <w:rFonts w:ascii="Garamond" w:hAnsi="Garamond"/>
        <w:sz w:val="16"/>
        <w:szCs w:val="16"/>
      </w:rPr>
      <w:t>8400 Oostende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F86" w:rsidRDefault="004621DF">
    <w:pPr>
      <w:pStyle w:val="Footer"/>
    </w:pPr>
    <w:r>
      <w:tab/>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184"/>
      <w:gridCol w:w="1344"/>
      <w:gridCol w:w="3973"/>
    </w:tblGrid>
    <w:tr w:rsidR="00885F86" w:rsidRPr="008E0D90" w:rsidTr="001B23EA">
      <w:trPr>
        <w:trHeight w:val="151"/>
      </w:trPr>
      <w:tc>
        <w:tcPr>
          <w:tcW w:w="2389" w:type="pct"/>
          <w:tcBorders>
            <w:top w:val="nil"/>
            <w:left w:val="nil"/>
            <w:bottom w:val="single" w:sz="4" w:space="0" w:color="4F81BD" w:themeColor="accent1"/>
            <w:right w:val="nil"/>
          </w:tcBorders>
        </w:tcPr>
        <w:p w:rsidR="00885F86" w:rsidRDefault="004621DF">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885F86" w:rsidRPr="005B24F9" w:rsidRDefault="004621DF" w:rsidP="001B23EA">
          <w:pPr>
            <w:spacing w:after="120" w:line="288" w:lineRule="auto"/>
            <w:jc w:val="center"/>
            <w:rPr>
              <w:rFonts w:ascii="Adobe Caslon Pro" w:hAnsi="Adobe Caslon Pro"/>
              <w:b/>
              <w:sz w:val="30"/>
              <w:szCs w:val="30"/>
            </w:rPr>
          </w:pPr>
          <w:r>
            <w:rPr>
              <w:rFonts w:ascii="Adobe Caslon Pro" w:hAnsi="Adobe Caslon Pro"/>
              <w:b/>
              <w:noProof/>
              <w:sz w:val="30"/>
              <w:szCs w:val="30"/>
              <w:lang w:val="en-US" w:eastAsia="en-US"/>
            </w:rPr>
            <w:drawing>
              <wp:inline distT="0" distB="0" distL="0" distR="0" wp14:anchorId="7E16DDBC" wp14:editId="4E456A09">
                <wp:extent cx="716356" cy="619043"/>
                <wp:effectExtent l="0" t="0" r="0" b="0"/>
                <wp:docPr id="2" name="Afbeelding 2" descr="Macintosh HD:Users:melanie:Dropbox:ZEE:COMMUNICATIE:logo:dezee_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lanie:Dropbox:ZEE:COMMUNICATIE:logo:dezee_bla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356" cy="619043"/>
                        </a:xfrm>
                        <a:prstGeom prst="rect">
                          <a:avLst/>
                        </a:prstGeom>
                        <a:noFill/>
                        <a:ln>
                          <a:noFill/>
                        </a:ln>
                      </pic:spPr>
                    </pic:pic>
                  </a:graphicData>
                </a:graphic>
              </wp:inline>
            </w:drawing>
          </w:r>
        </w:p>
        <w:p w:rsidR="00885F86" w:rsidRDefault="004621DF">
          <w:pPr>
            <w:pStyle w:val="NoSpacing"/>
            <w:rPr>
              <w:rFonts w:ascii="Cambria" w:hAnsi="Cambria"/>
              <w:color w:val="4F81BD" w:themeColor="accent1"/>
              <w:szCs w:val="20"/>
            </w:rPr>
          </w:pPr>
        </w:p>
      </w:tc>
      <w:tc>
        <w:tcPr>
          <w:tcW w:w="2278" w:type="pct"/>
          <w:tcBorders>
            <w:top w:val="nil"/>
            <w:left w:val="nil"/>
            <w:bottom w:val="single" w:sz="4" w:space="0" w:color="4F81BD" w:themeColor="accent1"/>
            <w:right w:val="nil"/>
          </w:tcBorders>
        </w:tcPr>
        <w:p w:rsidR="00885F86" w:rsidRDefault="004621DF">
          <w:pPr>
            <w:pStyle w:val="Header"/>
            <w:spacing w:line="276" w:lineRule="auto"/>
            <w:rPr>
              <w:rFonts w:ascii="Cambria" w:eastAsiaTheme="majorEastAsia" w:hAnsi="Cambria" w:cstheme="majorBidi"/>
              <w:b/>
              <w:bCs/>
              <w:color w:val="4F81BD" w:themeColor="accent1"/>
            </w:rPr>
          </w:pPr>
        </w:p>
      </w:tc>
    </w:tr>
    <w:tr w:rsidR="00885F86" w:rsidRPr="008E0D90" w:rsidTr="001B23EA">
      <w:trPr>
        <w:trHeight w:val="798"/>
      </w:trPr>
      <w:tc>
        <w:tcPr>
          <w:tcW w:w="2389" w:type="pct"/>
          <w:tcBorders>
            <w:top w:val="single" w:sz="4" w:space="0" w:color="4F81BD" w:themeColor="accent1"/>
            <w:left w:val="nil"/>
            <w:bottom w:val="nil"/>
            <w:right w:val="nil"/>
          </w:tcBorders>
        </w:tcPr>
        <w:p w:rsidR="00885F86" w:rsidRDefault="004621DF">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rsidR="00885F86" w:rsidRDefault="004621DF">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885F86" w:rsidRDefault="004621DF">
          <w:pPr>
            <w:pStyle w:val="Header"/>
            <w:spacing w:line="276" w:lineRule="auto"/>
            <w:rPr>
              <w:rFonts w:ascii="Cambria" w:eastAsiaTheme="majorEastAsia" w:hAnsi="Cambria" w:cstheme="majorBidi"/>
              <w:b/>
              <w:bCs/>
              <w:color w:val="4F81BD" w:themeColor="accent1"/>
            </w:rPr>
          </w:pPr>
        </w:p>
      </w:tc>
    </w:tr>
  </w:tbl>
  <w:p w:rsidR="00885F86" w:rsidRDefault="004621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1DF"/>
    <w:rsid w:val="00120AB0"/>
    <w:rsid w:val="004621D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92F6C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DF"/>
    <w:rPr>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1DF"/>
    <w:pPr>
      <w:tabs>
        <w:tab w:val="center" w:pos="4536"/>
        <w:tab w:val="right" w:pos="9072"/>
      </w:tabs>
    </w:pPr>
  </w:style>
  <w:style w:type="character" w:customStyle="1" w:styleId="HeaderChar">
    <w:name w:val="Header Char"/>
    <w:basedOn w:val="DefaultParagraphFont"/>
    <w:link w:val="Header"/>
    <w:uiPriority w:val="99"/>
    <w:rsid w:val="004621DF"/>
    <w:rPr>
      <w:lang w:eastAsia="nl-NL"/>
    </w:rPr>
  </w:style>
  <w:style w:type="paragraph" w:styleId="Footer">
    <w:name w:val="footer"/>
    <w:basedOn w:val="Normal"/>
    <w:link w:val="FooterChar"/>
    <w:uiPriority w:val="99"/>
    <w:unhideWhenUsed/>
    <w:rsid w:val="004621DF"/>
    <w:pPr>
      <w:tabs>
        <w:tab w:val="center" w:pos="4536"/>
        <w:tab w:val="right" w:pos="9072"/>
      </w:tabs>
    </w:pPr>
  </w:style>
  <w:style w:type="character" w:customStyle="1" w:styleId="FooterChar">
    <w:name w:val="Footer Char"/>
    <w:basedOn w:val="DefaultParagraphFont"/>
    <w:link w:val="Footer"/>
    <w:uiPriority w:val="99"/>
    <w:rsid w:val="004621DF"/>
    <w:rPr>
      <w:lang w:eastAsia="nl-NL"/>
    </w:rPr>
  </w:style>
  <w:style w:type="paragraph" w:styleId="NoSpacing">
    <w:name w:val="No Spacing"/>
    <w:link w:val="NoSpacingChar"/>
    <w:qFormat/>
    <w:rsid w:val="004621DF"/>
    <w:rPr>
      <w:rFonts w:ascii="PMingLiU" w:hAnsi="PMingLiU"/>
      <w:sz w:val="22"/>
      <w:szCs w:val="22"/>
      <w:lang w:eastAsia="nl-NL"/>
    </w:rPr>
  </w:style>
  <w:style w:type="character" w:customStyle="1" w:styleId="NoSpacingChar">
    <w:name w:val="No Spacing Char"/>
    <w:basedOn w:val="DefaultParagraphFont"/>
    <w:link w:val="NoSpacing"/>
    <w:rsid w:val="004621DF"/>
    <w:rPr>
      <w:rFonts w:ascii="PMingLiU" w:hAnsi="PMingLiU"/>
      <w:sz w:val="22"/>
      <w:szCs w:val="22"/>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DF"/>
    <w:rPr>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1DF"/>
    <w:pPr>
      <w:tabs>
        <w:tab w:val="center" w:pos="4536"/>
        <w:tab w:val="right" w:pos="9072"/>
      </w:tabs>
    </w:pPr>
  </w:style>
  <w:style w:type="character" w:customStyle="1" w:styleId="HeaderChar">
    <w:name w:val="Header Char"/>
    <w:basedOn w:val="DefaultParagraphFont"/>
    <w:link w:val="Header"/>
    <w:uiPriority w:val="99"/>
    <w:rsid w:val="004621DF"/>
    <w:rPr>
      <w:lang w:eastAsia="nl-NL"/>
    </w:rPr>
  </w:style>
  <w:style w:type="paragraph" w:styleId="Footer">
    <w:name w:val="footer"/>
    <w:basedOn w:val="Normal"/>
    <w:link w:val="FooterChar"/>
    <w:uiPriority w:val="99"/>
    <w:unhideWhenUsed/>
    <w:rsid w:val="004621DF"/>
    <w:pPr>
      <w:tabs>
        <w:tab w:val="center" w:pos="4536"/>
        <w:tab w:val="right" w:pos="9072"/>
      </w:tabs>
    </w:pPr>
  </w:style>
  <w:style w:type="character" w:customStyle="1" w:styleId="FooterChar">
    <w:name w:val="Footer Char"/>
    <w:basedOn w:val="DefaultParagraphFont"/>
    <w:link w:val="Footer"/>
    <w:uiPriority w:val="99"/>
    <w:rsid w:val="004621DF"/>
    <w:rPr>
      <w:lang w:eastAsia="nl-NL"/>
    </w:rPr>
  </w:style>
  <w:style w:type="paragraph" w:styleId="NoSpacing">
    <w:name w:val="No Spacing"/>
    <w:link w:val="NoSpacingChar"/>
    <w:qFormat/>
    <w:rsid w:val="004621DF"/>
    <w:rPr>
      <w:rFonts w:ascii="PMingLiU" w:hAnsi="PMingLiU"/>
      <w:sz w:val="22"/>
      <w:szCs w:val="22"/>
      <w:lang w:eastAsia="nl-NL"/>
    </w:rPr>
  </w:style>
  <w:style w:type="character" w:customStyle="1" w:styleId="NoSpacingChar">
    <w:name w:val="No Spacing Char"/>
    <w:basedOn w:val="DefaultParagraphFont"/>
    <w:link w:val="NoSpacing"/>
    <w:rsid w:val="004621DF"/>
    <w:rPr>
      <w:rFonts w:ascii="PMingLiU" w:hAnsi="PMingLiU"/>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2979</Characters>
  <Application>Microsoft Macintosh Word</Application>
  <DocSecurity>0</DocSecurity>
  <Lines>24</Lines>
  <Paragraphs>6</Paragraphs>
  <ScaleCrop>false</ScaleCrop>
  <Company>Toerisme Oostende</Company>
  <LinksUpToDate>false</LinksUpToDate>
  <CharactersWithSpaces>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Hens</dc:creator>
  <cp:keywords/>
  <dc:description/>
  <cp:lastModifiedBy>Pieter Hens</cp:lastModifiedBy>
  <cp:revision>1</cp:revision>
  <dcterms:created xsi:type="dcterms:W3CDTF">2016-11-17T08:57:00Z</dcterms:created>
  <dcterms:modified xsi:type="dcterms:W3CDTF">2016-11-17T08:57:00Z</dcterms:modified>
</cp:coreProperties>
</file>