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545" w:rsidRPr="00E97247" w:rsidRDefault="004F7545" w:rsidP="00A31D22">
      <w:pPr>
        <w:pStyle w:val="Default"/>
        <w:jc w:val="center"/>
        <w:rPr>
          <w:b/>
          <w:bCs/>
          <w:color w:val="FF0000"/>
          <w:sz w:val="36"/>
          <w:szCs w:val="36"/>
          <w:lang w:eastAsia="zh-HK"/>
        </w:rPr>
      </w:pPr>
      <w:r w:rsidRPr="005E39E2">
        <w:rPr>
          <w:b/>
          <w:noProof/>
          <w:color w:val="FF0000"/>
          <w:sz w:val="36"/>
          <w:szCs w:val="36"/>
          <w:lang w:val="nl-BE" w:eastAsia="nl-BE"/>
        </w:rPr>
        <w:pict>
          <v:shape id="Picture 2" o:spid="_x0000_i1026" type="#_x0000_t75" style="width:254.25pt;height:47.25pt;visibility:visible">
            <v:imagedata r:id="rId7" o:title=""/>
          </v:shape>
        </w:pict>
      </w:r>
    </w:p>
    <w:p w:rsidR="004F7545" w:rsidRDefault="004F7545" w:rsidP="0059478A">
      <w:pPr>
        <w:pStyle w:val="Default"/>
        <w:jc w:val="center"/>
        <w:rPr>
          <w:b/>
          <w:color w:val="auto"/>
        </w:rPr>
      </w:pPr>
    </w:p>
    <w:p w:rsidR="004F7545" w:rsidRPr="00890F32" w:rsidRDefault="004F7545" w:rsidP="0059478A">
      <w:pPr>
        <w:pStyle w:val="Default"/>
        <w:jc w:val="center"/>
        <w:rPr>
          <w:b/>
          <w:color w:val="auto"/>
          <w:sz w:val="38"/>
          <w:szCs w:val="38"/>
        </w:rPr>
      </w:pPr>
    </w:p>
    <w:p w:rsidR="004F7545" w:rsidRDefault="004F7545" w:rsidP="0059478A">
      <w:pPr>
        <w:pStyle w:val="Default"/>
        <w:jc w:val="center"/>
        <w:rPr>
          <w:b/>
          <w:color w:val="auto"/>
        </w:rPr>
      </w:pPr>
      <w:bookmarkStart w:id="0" w:name="_GoBack"/>
      <w:bookmarkEnd w:id="0"/>
    </w:p>
    <w:p w:rsidR="004F7545" w:rsidRDefault="004F7545" w:rsidP="0059478A">
      <w:pPr>
        <w:pStyle w:val="Default"/>
        <w:jc w:val="center"/>
        <w:rPr>
          <w:b/>
          <w:color w:val="auto"/>
        </w:rPr>
      </w:pPr>
      <w:r w:rsidRPr="00841158">
        <w:rPr>
          <w:b/>
          <w:color w:val="auto"/>
        </w:rPr>
        <w:t xml:space="preserve">Samsonite International S.A. Announces </w:t>
      </w:r>
      <w:r>
        <w:rPr>
          <w:b/>
          <w:color w:val="auto"/>
        </w:rPr>
        <w:t>2015 Interim</w:t>
      </w:r>
      <w:r w:rsidRPr="00841158">
        <w:rPr>
          <w:b/>
          <w:color w:val="auto"/>
        </w:rPr>
        <w:t xml:space="preserve"> Results</w:t>
      </w:r>
    </w:p>
    <w:p w:rsidR="004F7545" w:rsidRDefault="004F7545" w:rsidP="0059478A">
      <w:pPr>
        <w:pStyle w:val="Default"/>
        <w:jc w:val="center"/>
        <w:rPr>
          <w:b/>
          <w:color w:val="auto"/>
        </w:rPr>
      </w:pPr>
      <w:r>
        <w:rPr>
          <w:b/>
          <w:color w:val="auto"/>
        </w:rPr>
        <w:t>Strong Constant Currency Net Sales Growth Across All Regions</w:t>
      </w:r>
    </w:p>
    <w:p w:rsidR="004F7545" w:rsidRPr="00841158" w:rsidRDefault="004F7545" w:rsidP="003C7FD2">
      <w:pPr>
        <w:spacing w:after="0" w:line="240" w:lineRule="auto"/>
        <w:jc w:val="both"/>
        <w:rPr>
          <w:b/>
          <w:i/>
          <w:sz w:val="10"/>
          <w:szCs w:val="10"/>
        </w:rPr>
      </w:pPr>
    </w:p>
    <w:p w:rsidR="004F7545" w:rsidRPr="002A3080" w:rsidRDefault="004F7545" w:rsidP="003C7FD2">
      <w:pPr>
        <w:spacing w:after="0" w:line="240" w:lineRule="auto"/>
        <w:jc w:val="both"/>
        <w:rPr>
          <w:b/>
          <w:i/>
          <w:u w:val="single"/>
        </w:rPr>
      </w:pPr>
      <w:r w:rsidRPr="002A3080">
        <w:rPr>
          <w:b/>
          <w:i/>
          <w:u w:val="single"/>
        </w:rPr>
        <w:t>Financial Highlights</w:t>
      </w:r>
    </w:p>
    <w:p w:rsidR="004F7545" w:rsidRPr="002A3080" w:rsidRDefault="004F7545" w:rsidP="00C753F4">
      <w:pPr>
        <w:pStyle w:val="ListParagraph"/>
        <w:numPr>
          <w:ilvl w:val="0"/>
          <w:numId w:val="1"/>
        </w:numPr>
        <w:spacing w:after="0"/>
        <w:jc w:val="both"/>
      </w:pPr>
      <w:r w:rsidRPr="00841158">
        <w:t xml:space="preserve">Samsonite’s net sales for the </w:t>
      </w:r>
      <w:r>
        <w:t xml:space="preserve">six months ended June 30, 2015 </w:t>
      </w:r>
      <w:r w:rsidRPr="00841158">
        <w:t xml:space="preserve">increased by </w:t>
      </w:r>
      <w:r>
        <w:t>16.6</w:t>
      </w:r>
      <w:r w:rsidRPr="00841158">
        <w:t>%</w:t>
      </w:r>
      <w:r>
        <w:t xml:space="preserve"> on a constant currency basis</w:t>
      </w:r>
      <w:r>
        <w:rPr>
          <w:rStyle w:val="FootnoteReference"/>
        </w:rPr>
        <w:footnoteReference w:id="2"/>
      </w:r>
      <w:r w:rsidRPr="00841158">
        <w:t xml:space="preserve"> </w:t>
      </w:r>
      <w:r w:rsidRPr="007D71F4">
        <w:rPr>
          <w:iCs/>
        </w:rPr>
        <w:t xml:space="preserve">to </w:t>
      </w:r>
      <w:r>
        <w:rPr>
          <w:iCs/>
        </w:rPr>
        <w:t xml:space="preserve">a record </w:t>
      </w:r>
      <w:r w:rsidRPr="007D71F4">
        <w:rPr>
          <w:iCs/>
        </w:rPr>
        <w:t>US$</w:t>
      </w:r>
      <w:r>
        <w:rPr>
          <w:iCs/>
        </w:rPr>
        <w:t>1,196.5</w:t>
      </w:r>
      <w:r w:rsidRPr="007D71F4">
        <w:rPr>
          <w:iCs/>
        </w:rPr>
        <w:t xml:space="preserve"> million</w:t>
      </w:r>
      <w:r>
        <w:rPr>
          <w:iCs/>
        </w:rPr>
        <w:t>.</w:t>
      </w:r>
    </w:p>
    <w:p w:rsidR="004F7545" w:rsidRDefault="004F7545" w:rsidP="002A3080">
      <w:pPr>
        <w:pStyle w:val="ListParagraph"/>
        <w:numPr>
          <w:ilvl w:val="0"/>
          <w:numId w:val="1"/>
        </w:numPr>
        <w:spacing w:after="0"/>
        <w:jc w:val="both"/>
      </w:pPr>
      <w:r>
        <w:t>S</w:t>
      </w:r>
      <w:r w:rsidRPr="00340A95">
        <w:t>tronger than expected foreign currency headwinds resulted in a negative currency translation impact of US$9</w:t>
      </w:r>
      <w:r>
        <w:t xml:space="preserve">2.2 million. Despite this, US Dollar reported net sales rose </w:t>
      </w:r>
      <w:r w:rsidRPr="00340A95">
        <w:t>8.2% year-on-year</w:t>
      </w:r>
      <w:r>
        <w:t>.</w:t>
      </w:r>
    </w:p>
    <w:p w:rsidR="004F7545" w:rsidRPr="00202288" w:rsidRDefault="004F7545" w:rsidP="00C753F4">
      <w:pPr>
        <w:pStyle w:val="ListParagraph"/>
        <w:numPr>
          <w:ilvl w:val="0"/>
          <w:numId w:val="1"/>
        </w:numPr>
        <w:spacing w:after="0"/>
        <w:jc w:val="both"/>
      </w:pPr>
      <w:r>
        <w:t>Profit attributable to the equity holders increased by US$8.6 million, or 8.9%, on a constant currency basis from the comparable period in 2014. US Dollar reported profit attributable to the equity holders decreased by US$2.6 million, or 2.7%, to US$94.4 million.</w:t>
      </w:r>
    </w:p>
    <w:p w:rsidR="004F7545" w:rsidRPr="001740B6" w:rsidRDefault="004F7545" w:rsidP="00C753F4">
      <w:pPr>
        <w:pStyle w:val="ListParagraph"/>
        <w:numPr>
          <w:ilvl w:val="0"/>
          <w:numId w:val="1"/>
        </w:numPr>
        <w:spacing w:after="0"/>
        <w:jc w:val="both"/>
      </w:pPr>
      <w:r>
        <w:t xml:space="preserve">Adjusted </w:t>
      </w:r>
      <w:r w:rsidRPr="00ED78B9">
        <w:t>Net Income</w:t>
      </w:r>
      <w:r>
        <w:rPr>
          <w:rStyle w:val="FootnoteReference"/>
        </w:rPr>
        <w:footnoteReference w:id="3"/>
      </w:r>
      <w:r>
        <w:t xml:space="preserve"> increased by US$7.7 million, or 7.2%, on a constant currency basis from the comparable period in 2014. US Dollar reported Adjusted Net Income decreased by US$3.7 million, or 3.5%, to US$102.1 million</w:t>
      </w:r>
      <w:r w:rsidRPr="003C683C">
        <w:rPr>
          <w:iCs/>
        </w:rPr>
        <w:t>.</w:t>
      </w:r>
    </w:p>
    <w:p w:rsidR="004F7545" w:rsidRDefault="004F7545" w:rsidP="002A3080">
      <w:pPr>
        <w:pStyle w:val="ListParagraph"/>
        <w:numPr>
          <w:ilvl w:val="0"/>
          <w:numId w:val="1"/>
        </w:numPr>
        <w:spacing w:after="0"/>
        <w:jc w:val="both"/>
      </w:pPr>
      <w:r w:rsidRPr="00ED78B9">
        <w:t>Adjusted EBITDA</w:t>
      </w:r>
      <w:r>
        <w:rPr>
          <w:rStyle w:val="FootnoteReference"/>
        </w:rPr>
        <w:t>2</w:t>
      </w:r>
      <w:r w:rsidRPr="00ED78B9">
        <w:t xml:space="preserve"> </w:t>
      </w:r>
      <w:r>
        <w:t>increased by US$15.6 million, or 8.4%, on a constant currency basis from the comparable period in 2014. US Dollar reported Adjusted EBITDA increased by US$3.3 million, or 1.8%, to US$190.0 million</w:t>
      </w:r>
      <w:r w:rsidRPr="00ED78B9">
        <w:t>.</w:t>
      </w:r>
    </w:p>
    <w:p w:rsidR="004F7545" w:rsidRDefault="004F7545" w:rsidP="002A3080">
      <w:pPr>
        <w:pStyle w:val="ListParagraph"/>
        <w:numPr>
          <w:ilvl w:val="0"/>
          <w:numId w:val="1"/>
        </w:numPr>
        <w:spacing w:after="0"/>
        <w:jc w:val="both"/>
      </w:pPr>
      <w:r w:rsidRPr="00800CCC">
        <w:t>The Group had US$203</w:t>
      </w:r>
      <w:r>
        <w:t>.0</w:t>
      </w:r>
      <w:r w:rsidRPr="00800CCC">
        <w:t xml:space="preserve"> million in cash and cash equivalents at June 30, 2015.</w:t>
      </w:r>
      <w:r>
        <w:t xml:space="preserve"> </w:t>
      </w:r>
      <w:r w:rsidRPr="00271ECA">
        <w:rPr>
          <w:lang w:val="en-US"/>
        </w:rPr>
        <w:t>The Group generated US$79.</w:t>
      </w:r>
      <w:r>
        <w:rPr>
          <w:lang w:val="en-US"/>
        </w:rPr>
        <w:t>9</w:t>
      </w:r>
      <w:r w:rsidRPr="00271ECA">
        <w:rPr>
          <w:lang w:val="en-US"/>
        </w:rPr>
        <w:t xml:space="preserve"> million of cash from operating activities for the six months ended June 30, 2015</w:t>
      </w:r>
      <w:r>
        <w:rPr>
          <w:lang w:val="en-US"/>
        </w:rPr>
        <w:t xml:space="preserve">, </w:t>
      </w:r>
      <w:r w:rsidRPr="00271ECA">
        <w:t>providing the Group with a net cash position of US$85.7 million</w:t>
      </w:r>
      <w:r>
        <w:t>.</w:t>
      </w:r>
    </w:p>
    <w:p w:rsidR="004F7545" w:rsidRDefault="004F7545" w:rsidP="002A3080">
      <w:pPr>
        <w:pStyle w:val="ListParagraph"/>
        <w:numPr>
          <w:ilvl w:val="0"/>
          <w:numId w:val="1"/>
        </w:numPr>
        <w:spacing w:after="0"/>
        <w:jc w:val="both"/>
      </w:pPr>
      <w:r w:rsidRPr="00F94E63">
        <w:t>Adjusted earnings per share</w:t>
      </w:r>
      <w:r>
        <w:rPr>
          <w:rStyle w:val="FootnoteReference"/>
        </w:rPr>
        <w:t>2</w:t>
      </w:r>
      <w:r w:rsidRPr="00F94E63">
        <w:t xml:space="preserve"> </w:t>
      </w:r>
      <w:r>
        <w:t>increased by 7.3% on a constant currency basis. US Dollar reported adjusted earnings per share decreased</w:t>
      </w:r>
      <w:r w:rsidRPr="00F94E63">
        <w:t xml:space="preserve"> </w:t>
      </w:r>
      <w:r>
        <w:t xml:space="preserve">by 4.0% </w:t>
      </w:r>
      <w:r w:rsidRPr="00F94E63">
        <w:t>to US$</w:t>
      </w:r>
      <w:r>
        <w:t>0.072</w:t>
      </w:r>
      <w:r w:rsidRPr="00F94E63">
        <w:t xml:space="preserve"> for the six months ended June 30, </w:t>
      </w:r>
      <w:r>
        <w:t>2015</w:t>
      </w:r>
      <w:r w:rsidRPr="00F94E63">
        <w:t xml:space="preserve"> from US$</w:t>
      </w:r>
      <w:r>
        <w:t>0.075</w:t>
      </w:r>
      <w:r w:rsidRPr="00F94E63">
        <w:t xml:space="preserve"> for the first half of </w:t>
      </w:r>
      <w:r>
        <w:t>2014</w:t>
      </w:r>
      <w:r w:rsidRPr="00F94E63">
        <w:t>.</w:t>
      </w:r>
      <w:r>
        <w:rPr>
          <w:lang w:eastAsia="zh-TW"/>
        </w:rPr>
        <w:t xml:space="preserve"> </w:t>
      </w:r>
      <w:r w:rsidRPr="00ED78B9">
        <w:t xml:space="preserve"> </w:t>
      </w:r>
    </w:p>
    <w:p w:rsidR="004F7545" w:rsidRPr="002A3080" w:rsidRDefault="004F7545" w:rsidP="00737044">
      <w:pPr>
        <w:spacing w:after="0" w:line="240" w:lineRule="auto"/>
        <w:jc w:val="both"/>
        <w:rPr>
          <w:b/>
          <w:i/>
          <w:u w:val="single"/>
        </w:rPr>
      </w:pPr>
      <w:r w:rsidRPr="002A3080">
        <w:rPr>
          <w:b/>
          <w:i/>
          <w:u w:val="single"/>
        </w:rPr>
        <w:t>Operational Highlights</w:t>
      </w:r>
    </w:p>
    <w:p w:rsidR="004F7545" w:rsidRPr="00841158" w:rsidRDefault="004F7545" w:rsidP="00737044">
      <w:pPr>
        <w:pStyle w:val="ListParagraph"/>
        <w:numPr>
          <w:ilvl w:val="0"/>
          <w:numId w:val="1"/>
        </w:numPr>
        <w:spacing w:after="0"/>
        <w:jc w:val="both"/>
      </w:pPr>
      <w:r>
        <w:rPr>
          <w:iCs/>
        </w:rPr>
        <w:t>All</w:t>
      </w:r>
      <w:r w:rsidRPr="009B3CE7">
        <w:rPr>
          <w:iCs/>
        </w:rPr>
        <w:t xml:space="preserve"> </w:t>
      </w:r>
      <w:r>
        <w:rPr>
          <w:iCs/>
        </w:rPr>
        <w:t xml:space="preserve">regions achieved strong </w:t>
      </w:r>
      <w:r>
        <w:t>constant currency</w:t>
      </w:r>
      <w:r>
        <w:rPr>
          <w:rStyle w:val="FootnoteReference"/>
        </w:rPr>
        <w:t>1</w:t>
      </w:r>
      <w:r>
        <w:t xml:space="preserve"> </w:t>
      </w:r>
      <w:r w:rsidRPr="00754F32">
        <w:t>growth</w:t>
      </w:r>
      <w:r w:rsidRPr="00841158">
        <w:t xml:space="preserve">. </w:t>
      </w:r>
    </w:p>
    <w:p w:rsidR="004F7545" w:rsidRDefault="004F7545" w:rsidP="00737044">
      <w:pPr>
        <w:pStyle w:val="ListParagraph"/>
        <w:numPr>
          <w:ilvl w:val="1"/>
          <w:numId w:val="1"/>
        </w:numPr>
        <w:spacing w:after="0"/>
        <w:jc w:val="both"/>
      </w:pPr>
      <w:r w:rsidRPr="00841158">
        <w:t xml:space="preserve">Asia – </w:t>
      </w:r>
      <w:r>
        <w:t>17.2</w:t>
      </w:r>
      <w:r w:rsidRPr="00841158">
        <w:t>%</w:t>
      </w:r>
      <w:r>
        <w:rPr>
          <w:rStyle w:val="FootnoteReference"/>
        </w:rPr>
        <w:t>1</w:t>
      </w:r>
      <w:r w:rsidRPr="00841158">
        <w:t xml:space="preserve"> year-on-year </w:t>
      </w:r>
      <w:r>
        <w:rPr>
          <w:rFonts w:eastAsia="SimSun"/>
          <w:lang w:eastAsia="zh-CN"/>
        </w:rPr>
        <w:t xml:space="preserve">net </w:t>
      </w:r>
      <w:r w:rsidRPr="00841158">
        <w:t>sales growth</w:t>
      </w:r>
      <w:r>
        <w:t xml:space="preserve">. </w:t>
      </w:r>
    </w:p>
    <w:p w:rsidR="004F7545" w:rsidRPr="00841158" w:rsidRDefault="004F7545" w:rsidP="00737044">
      <w:pPr>
        <w:pStyle w:val="ListParagraph"/>
        <w:numPr>
          <w:ilvl w:val="1"/>
          <w:numId w:val="1"/>
        </w:numPr>
        <w:spacing w:after="0"/>
        <w:jc w:val="both"/>
      </w:pPr>
      <w:r w:rsidRPr="00841158">
        <w:t xml:space="preserve">North America – </w:t>
      </w:r>
      <w:r>
        <w:t>17.3</w:t>
      </w:r>
      <w:r w:rsidRPr="00841158">
        <w:t>%</w:t>
      </w:r>
      <w:r>
        <w:rPr>
          <w:rStyle w:val="FootnoteReference"/>
        </w:rPr>
        <w:t>1</w:t>
      </w:r>
      <w:r w:rsidRPr="00841158">
        <w:t xml:space="preserve"> year-on-year </w:t>
      </w:r>
      <w:r>
        <w:rPr>
          <w:rFonts w:eastAsia="SimSun"/>
          <w:lang w:eastAsia="zh-CN"/>
        </w:rPr>
        <w:t xml:space="preserve">net </w:t>
      </w:r>
      <w:r w:rsidRPr="00841158">
        <w:t>sales growth</w:t>
      </w:r>
      <w:r>
        <w:t>.</w:t>
      </w:r>
    </w:p>
    <w:p w:rsidR="004F7545" w:rsidRPr="00841158" w:rsidRDefault="004F7545" w:rsidP="00737044">
      <w:pPr>
        <w:pStyle w:val="ListParagraph"/>
        <w:numPr>
          <w:ilvl w:val="1"/>
          <w:numId w:val="1"/>
        </w:numPr>
        <w:spacing w:after="0"/>
        <w:jc w:val="both"/>
      </w:pPr>
      <w:r w:rsidRPr="00841158">
        <w:t xml:space="preserve">Europe – </w:t>
      </w:r>
      <w:r>
        <w:t>17.4</w:t>
      </w:r>
      <w:r w:rsidRPr="00841158">
        <w:t>%</w:t>
      </w:r>
      <w:r>
        <w:rPr>
          <w:rStyle w:val="FootnoteReference"/>
        </w:rPr>
        <w:t>1</w:t>
      </w:r>
      <w:r w:rsidRPr="00841158">
        <w:t xml:space="preserve"> year-on-year </w:t>
      </w:r>
      <w:r>
        <w:rPr>
          <w:rFonts w:eastAsia="SimSun"/>
          <w:lang w:eastAsia="zh-CN"/>
        </w:rPr>
        <w:t xml:space="preserve">net </w:t>
      </w:r>
      <w:r w:rsidRPr="00841158">
        <w:t>sales growth</w:t>
      </w:r>
      <w:r>
        <w:t>.</w:t>
      </w:r>
    </w:p>
    <w:p w:rsidR="004F7545" w:rsidRPr="00841158" w:rsidRDefault="004F7545" w:rsidP="00737044">
      <w:pPr>
        <w:pStyle w:val="ListParagraph"/>
        <w:numPr>
          <w:ilvl w:val="1"/>
          <w:numId w:val="1"/>
        </w:numPr>
        <w:spacing w:after="0"/>
        <w:jc w:val="both"/>
      </w:pPr>
      <w:r w:rsidRPr="00841158">
        <w:t>Latin America –</w:t>
      </w:r>
      <w:r>
        <w:t xml:space="preserve"> 7.3</w:t>
      </w:r>
      <w:r w:rsidRPr="00841158">
        <w:t>%</w:t>
      </w:r>
      <w:r>
        <w:rPr>
          <w:rStyle w:val="FootnoteReference"/>
        </w:rPr>
        <w:t>1</w:t>
      </w:r>
      <w:r w:rsidRPr="00841158">
        <w:t xml:space="preserve"> year-on-year </w:t>
      </w:r>
      <w:r>
        <w:rPr>
          <w:rFonts w:eastAsia="SimSun"/>
          <w:lang w:eastAsia="zh-CN"/>
        </w:rPr>
        <w:t xml:space="preserve">net </w:t>
      </w:r>
      <w:r w:rsidRPr="00841158">
        <w:t>sales growth</w:t>
      </w:r>
      <w:r>
        <w:t>.</w:t>
      </w:r>
    </w:p>
    <w:p w:rsidR="004F7545" w:rsidRPr="009C5B56" w:rsidRDefault="004F7545" w:rsidP="0090764E">
      <w:pPr>
        <w:pStyle w:val="ListParagraph"/>
        <w:numPr>
          <w:ilvl w:val="0"/>
          <w:numId w:val="1"/>
        </w:numPr>
        <w:spacing w:after="0"/>
        <w:ind w:left="31680" w:hangingChars="162" w:firstLine="31680"/>
        <w:jc w:val="both"/>
        <w:rPr>
          <w:iCs/>
        </w:rPr>
      </w:pPr>
      <w:r w:rsidRPr="00A96CDD">
        <w:t xml:space="preserve">Net sales of the </w:t>
      </w:r>
      <w:r w:rsidRPr="00A96CDD">
        <w:rPr>
          <w:i/>
        </w:rPr>
        <w:t>Samsonite</w:t>
      </w:r>
      <w:r w:rsidRPr="00A96CDD">
        <w:t xml:space="preserve"> and </w:t>
      </w:r>
      <w:r w:rsidRPr="00A96CDD">
        <w:rPr>
          <w:i/>
        </w:rPr>
        <w:t xml:space="preserve">American Tourister </w:t>
      </w:r>
      <w:r w:rsidRPr="00A96CDD">
        <w:t>brands grew</w:t>
      </w:r>
      <w:r w:rsidRPr="00A96CDD">
        <w:rPr>
          <w:lang w:eastAsia="zh-HK"/>
        </w:rPr>
        <w:t xml:space="preserve"> by</w:t>
      </w:r>
      <w:r w:rsidRPr="00A96CDD">
        <w:t xml:space="preserve"> </w:t>
      </w:r>
      <w:r>
        <w:t>7.5</w:t>
      </w:r>
      <w:r w:rsidRPr="00A96CDD">
        <w:t>%</w:t>
      </w:r>
      <w:r w:rsidRPr="00A96CDD">
        <w:rPr>
          <w:rStyle w:val="FootnoteReference"/>
        </w:rPr>
        <w:t>1</w:t>
      </w:r>
      <w:r w:rsidRPr="00A96CDD">
        <w:t xml:space="preserve"> and </w:t>
      </w:r>
      <w:r>
        <w:t>18.4</w:t>
      </w:r>
      <w:r w:rsidRPr="00A96CDD">
        <w:t>%</w:t>
      </w:r>
      <w:r w:rsidRPr="00A96CDD">
        <w:rPr>
          <w:rStyle w:val="FootnoteReference"/>
        </w:rPr>
        <w:t>1</w:t>
      </w:r>
      <w:r w:rsidRPr="00A96CDD">
        <w:rPr>
          <w:rStyle w:val="FootnoteReference"/>
          <w:vertAlign w:val="baseline"/>
        </w:rPr>
        <w:t>,</w:t>
      </w:r>
      <w:r w:rsidRPr="00A96CDD">
        <w:t xml:space="preserve"> respectively.  </w:t>
      </w:r>
    </w:p>
    <w:p w:rsidR="004F7545" w:rsidRPr="009B3CE7" w:rsidRDefault="004F7545" w:rsidP="0090764E">
      <w:pPr>
        <w:pStyle w:val="ListParagraph"/>
        <w:numPr>
          <w:ilvl w:val="0"/>
          <w:numId w:val="1"/>
        </w:numPr>
        <w:spacing w:after="0"/>
        <w:ind w:left="31680" w:hangingChars="162" w:firstLine="31680"/>
        <w:jc w:val="both"/>
        <w:rPr>
          <w:iCs/>
        </w:rPr>
      </w:pPr>
      <w:r>
        <w:rPr>
          <w:iCs/>
        </w:rPr>
        <w:t>All</w:t>
      </w:r>
      <w:r w:rsidRPr="009B3CE7">
        <w:rPr>
          <w:iCs/>
        </w:rPr>
        <w:t xml:space="preserve"> </w:t>
      </w:r>
      <w:r>
        <w:rPr>
          <w:iCs/>
        </w:rPr>
        <w:t xml:space="preserve">product </w:t>
      </w:r>
      <w:r w:rsidRPr="009B3CE7">
        <w:rPr>
          <w:iCs/>
        </w:rPr>
        <w:t>categories</w:t>
      </w:r>
      <w:r>
        <w:rPr>
          <w:iCs/>
        </w:rPr>
        <w:t xml:space="preserve"> saw strong year-on-year growth in net sales.</w:t>
      </w:r>
    </w:p>
    <w:p w:rsidR="004F7545" w:rsidRDefault="004F7545" w:rsidP="00650E22">
      <w:pPr>
        <w:pStyle w:val="ListParagraph"/>
        <w:numPr>
          <w:ilvl w:val="1"/>
          <w:numId w:val="1"/>
        </w:numPr>
        <w:spacing w:after="0"/>
        <w:jc w:val="both"/>
        <w:rPr>
          <w:iCs/>
        </w:rPr>
      </w:pPr>
      <w:r>
        <w:rPr>
          <w:iCs/>
        </w:rPr>
        <w:t xml:space="preserve">Travel – </w:t>
      </w:r>
      <w:r>
        <w:t>9.5</w:t>
      </w:r>
      <w:r>
        <w:rPr>
          <w:iCs/>
        </w:rPr>
        <w:t>%</w:t>
      </w:r>
      <w:r>
        <w:rPr>
          <w:rStyle w:val="FootnoteReference"/>
        </w:rPr>
        <w:t>1</w:t>
      </w:r>
      <w:r>
        <w:rPr>
          <w:iCs/>
        </w:rPr>
        <w:t xml:space="preserve"> </w:t>
      </w:r>
      <w:r>
        <w:rPr>
          <w:iCs/>
          <w:lang w:eastAsia="zh-TW"/>
        </w:rPr>
        <w:t>increase in net sales</w:t>
      </w:r>
      <w:r w:rsidRPr="009B3CE7">
        <w:rPr>
          <w:iCs/>
        </w:rPr>
        <w:t xml:space="preserve"> to US$</w:t>
      </w:r>
      <w:r>
        <w:t xml:space="preserve">808.9 </w:t>
      </w:r>
      <w:r w:rsidRPr="009B3CE7">
        <w:rPr>
          <w:iCs/>
        </w:rPr>
        <w:t>million.</w:t>
      </w:r>
    </w:p>
    <w:p w:rsidR="004F7545" w:rsidRPr="009B3CE7" w:rsidRDefault="004F7545" w:rsidP="00650E22">
      <w:pPr>
        <w:pStyle w:val="ListParagraph"/>
        <w:numPr>
          <w:ilvl w:val="1"/>
          <w:numId w:val="1"/>
        </w:numPr>
        <w:spacing w:after="0"/>
        <w:jc w:val="both"/>
        <w:rPr>
          <w:iCs/>
        </w:rPr>
      </w:pPr>
      <w:r>
        <w:rPr>
          <w:iCs/>
        </w:rPr>
        <w:t>C</w:t>
      </w:r>
      <w:r w:rsidRPr="009B3CE7">
        <w:rPr>
          <w:iCs/>
        </w:rPr>
        <w:t xml:space="preserve">asual </w:t>
      </w:r>
      <w:r>
        <w:rPr>
          <w:iCs/>
        </w:rPr>
        <w:t xml:space="preserve">– </w:t>
      </w:r>
      <w:r>
        <w:t>21.7</w:t>
      </w:r>
      <w:r>
        <w:rPr>
          <w:iCs/>
          <w:lang w:eastAsia="zh-TW"/>
        </w:rPr>
        <w:t>%</w:t>
      </w:r>
      <w:r>
        <w:rPr>
          <w:rStyle w:val="FootnoteReference"/>
        </w:rPr>
        <w:t>1</w:t>
      </w:r>
      <w:r>
        <w:rPr>
          <w:iCs/>
          <w:lang w:eastAsia="zh-TW"/>
        </w:rPr>
        <w:t xml:space="preserve"> increase in net sales </w:t>
      </w:r>
      <w:r w:rsidRPr="009B3CE7">
        <w:rPr>
          <w:iCs/>
        </w:rPr>
        <w:t>to US$</w:t>
      </w:r>
      <w:r>
        <w:t>155.9</w:t>
      </w:r>
      <w:r w:rsidRPr="009B3CE7">
        <w:rPr>
          <w:iCs/>
        </w:rPr>
        <w:t xml:space="preserve"> million. </w:t>
      </w:r>
    </w:p>
    <w:p w:rsidR="004F7545" w:rsidRPr="00C753F4" w:rsidRDefault="004F7545" w:rsidP="00650E22">
      <w:pPr>
        <w:pStyle w:val="ListParagraph"/>
        <w:numPr>
          <w:ilvl w:val="1"/>
          <w:numId w:val="1"/>
        </w:numPr>
        <w:spacing w:after="0"/>
        <w:jc w:val="both"/>
        <w:rPr>
          <w:iCs/>
        </w:rPr>
      </w:pPr>
      <w:r>
        <w:rPr>
          <w:iCs/>
        </w:rPr>
        <w:t>Business</w:t>
      </w:r>
      <w:r w:rsidRPr="009B3CE7">
        <w:rPr>
          <w:iCs/>
        </w:rPr>
        <w:t xml:space="preserve"> </w:t>
      </w:r>
      <w:r>
        <w:rPr>
          <w:iCs/>
        </w:rPr>
        <w:t xml:space="preserve">– </w:t>
      </w:r>
      <w:r>
        <w:t>44.4</w:t>
      </w:r>
      <w:r>
        <w:rPr>
          <w:iCs/>
        </w:rPr>
        <w:t>%</w:t>
      </w:r>
      <w:r>
        <w:rPr>
          <w:rStyle w:val="FootnoteReference"/>
        </w:rPr>
        <w:t>1</w:t>
      </w:r>
      <w:r>
        <w:rPr>
          <w:iCs/>
        </w:rPr>
        <w:t xml:space="preserve"> </w:t>
      </w:r>
      <w:r>
        <w:rPr>
          <w:iCs/>
          <w:lang w:eastAsia="zh-TW"/>
        </w:rPr>
        <w:t>increase in net sales</w:t>
      </w:r>
      <w:r w:rsidRPr="009B3CE7">
        <w:rPr>
          <w:iCs/>
        </w:rPr>
        <w:t xml:space="preserve"> to US$</w:t>
      </w:r>
      <w:r>
        <w:t xml:space="preserve">130.1 </w:t>
      </w:r>
      <w:r w:rsidRPr="009B3CE7">
        <w:rPr>
          <w:iCs/>
        </w:rPr>
        <w:t xml:space="preserve">million. </w:t>
      </w:r>
    </w:p>
    <w:p w:rsidR="004F7545" w:rsidRPr="00737044" w:rsidRDefault="004F7545" w:rsidP="002A3080">
      <w:pPr>
        <w:pStyle w:val="ListParagraph"/>
        <w:numPr>
          <w:ilvl w:val="1"/>
          <w:numId w:val="1"/>
        </w:numPr>
        <w:spacing w:after="0"/>
        <w:jc w:val="both"/>
      </w:pPr>
      <w:r w:rsidRPr="001D3353">
        <w:rPr>
          <w:iCs/>
        </w:rPr>
        <w:t xml:space="preserve">Accessories – </w:t>
      </w:r>
      <w:r>
        <w:t>52.7</w:t>
      </w:r>
      <w:r w:rsidRPr="001D3353">
        <w:rPr>
          <w:iCs/>
          <w:lang w:eastAsia="zh-TW"/>
        </w:rPr>
        <w:t>%</w:t>
      </w:r>
      <w:r>
        <w:rPr>
          <w:rStyle w:val="FootnoteReference"/>
        </w:rPr>
        <w:t>1</w:t>
      </w:r>
      <w:r w:rsidRPr="001D3353">
        <w:rPr>
          <w:iCs/>
          <w:lang w:eastAsia="zh-TW"/>
        </w:rPr>
        <w:t xml:space="preserve"> increase in </w:t>
      </w:r>
      <w:r>
        <w:rPr>
          <w:iCs/>
          <w:lang w:eastAsia="zh-TW"/>
        </w:rPr>
        <w:t xml:space="preserve">net </w:t>
      </w:r>
      <w:r w:rsidRPr="001D3353">
        <w:rPr>
          <w:iCs/>
          <w:lang w:eastAsia="zh-TW"/>
        </w:rPr>
        <w:t>sales</w:t>
      </w:r>
      <w:r w:rsidRPr="001D3353">
        <w:rPr>
          <w:iCs/>
        </w:rPr>
        <w:t xml:space="preserve"> to US$</w:t>
      </w:r>
      <w:r>
        <w:t>76.9</w:t>
      </w:r>
      <w:r w:rsidRPr="001D3353">
        <w:rPr>
          <w:iCs/>
        </w:rPr>
        <w:t xml:space="preserve"> million. </w:t>
      </w:r>
    </w:p>
    <w:p w:rsidR="004F7545" w:rsidRDefault="004F7545" w:rsidP="002A3080">
      <w:pPr>
        <w:pStyle w:val="ListParagraph"/>
        <w:numPr>
          <w:ilvl w:val="0"/>
          <w:numId w:val="1"/>
        </w:numPr>
        <w:spacing w:after="0"/>
        <w:jc w:val="both"/>
      </w:pPr>
      <w:r>
        <w:t xml:space="preserve">The Group </w:t>
      </w:r>
      <w:r w:rsidRPr="00650E22">
        <w:t xml:space="preserve">delivered </w:t>
      </w:r>
      <w:r>
        <w:t xml:space="preserve">strong growth in its </w:t>
      </w:r>
      <w:r w:rsidRPr="00663165">
        <w:t xml:space="preserve">direct-to-consumer e-commerce </w:t>
      </w:r>
      <w:r>
        <w:t>business</w:t>
      </w:r>
      <w:r w:rsidRPr="00650E22">
        <w:t xml:space="preserve">, with </w:t>
      </w:r>
      <w:r>
        <w:t>net sales up 29.0%</w:t>
      </w:r>
      <w:r>
        <w:rPr>
          <w:rStyle w:val="FootnoteReference"/>
        </w:rPr>
        <w:t>1</w:t>
      </w:r>
      <w:r>
        <w:t xml:space="preserve"> year-on-</w:t>
      </w:r>
      <w:r w:rsidRPr="00650E22">
        <w:t>year</w:t>
      </w:r>
      <w:r w:rsidRPr="00663165">
        <w:t xml:space="preserve"> led by North America </w:t>
      </w:r>
      <w:r>
        <w:t>(</w:t>
      </w:r>
      <w:r w:rsidRPr="00663165">
        <w:t>+29.9%</w:t>
      </w:r>
      <w:r w:rsidRPr="002A3080">
        <w:rPr>
          <w:vertAlign w:val="superscript"/>
        </w:rPr>
        <w:t>1</w:t>
      </w:r>
      <w:r w:rsidRPr="00663165">
        <w:t xml:space="preserve">), Asia </w:t>
      </w:r>
      <w:r>
        <w:t>(</w:t>
      </w:r>
      <w:r w:rsidRPr="00663165">
        <w:t>+28.4%</w:t>
      </w:r>
      <w:r w:rsidRPr="002A3080">
        <w:rPr>
          <w:vertAlign w:val="superscript"/>
        </w:rPr>
        <w:t>1</w:t>
      </w:r>
      <w:r w:rsidRPr="00663165">
        <w:t xml:space="preserve">) and Europe </w:t>
      </w:r>
      <w:r>
        <w:t>(</w:t>
      </w:r>
      <w:r w:rsidRPr="00663165">
        <w:t>+28.3%</w:t>
      </w:r>
      <w:r w:rsidRPr="002A3080">
        <w:rPr>
          <w:vertAlign w:val="superscript"/>
        </w:rPr>
        <w:t>1</w:t>
      </w:r>
      <w:r w:rsidRPr="00663165">
        <w:t>).</w:t>
      </w:r>
      <w:r w:rsidRPr="00650E22">
        <w:t xml:space="preserve"> </w:t>
      </w:r>
    </w:p>
    <w:p w:rsidR="004F7545" w:rsidRDefault="004F7545" w:rsidP="0090764E">
      <w:pPr>
        <w:pStyle w:val="ListParagraph"/>
        <w:numPr>
          <w:ilvl w:val="0"/>
          <w:numId w:val="1"/>
        </w:numPr>
        <w:spacing w:after="0"/>
        <w:ind w:left="31680" w:hangingChars="162" w:firstLine="31680"/>
        <w:jc w:val="both"/>
      </w:pPr>
      <w:r w:rsidRPr="00EA1EA3">
        <w:t xml:space="preserve">The Group strategically enhanced its retail footprint by acquiring </w:t>
      </w:r>
      <w:r>
        <w:t>Rolling Luggage, one of the world’s leading airport retailers of branded luggage and travel products, in February 2015.</w:t>
      </w:r>
    </w:p>
    <w:p w:rsidR="004F7545" w:rsidRPr="00C30960" w:rsidRDefault="004F7545" w:rsidP="002A3080">
      <w:pPr>
        <w:jc w:val="both"/>
      </w:pPr>
      <w:r w:rsidRPr="00C30960">
        <w:rPr>
          <w:b/>
        </w:rPr>
        <w:t xml:space="preserve">HONG KONG, </w:t>
      </w:r>
      <w:r w:rsidRPr="007B2F5E">
        <w:rPr>
          <w:b/>
        </w:rPr>
        <w:t xml:space="preserve">August </w:t>
      </w:r>
      <w:r>
        <w:rPr>
          <w:b/>
        </w:rPr>
        <w:t>26</w:t>
      </w:r>
      <w:r w:rsidRPr="007B2F5E">
        <w:rPr>
          <w:b/>
        </w:rPr>
        <w:t xml:space="preserve">, </w:t>
      </w:r>
      <w:r>
        <w:rPr>
          <w:b/>
        </w:rPr>
        <w:t>2015</w:t>
      </w:r>
      <w:r w:rsidRPr="00C30960">
        <w:t xml:space="preserve"> – Samsonite International S.A. (“Samsonite” or “the </w:t>
      </w:r>
      <w:r>
        <w:t>Group</w:t>
      </w:r>
      <w:r w:rsidRPr="00C30960">
        <w:t xml:space="preserve">”; </w:t>
      </w:r>
      <w:r>
        <w:rPr>
          <w:lang w:eastAsia="zh-TW"/>
        </w:rPr>
        <w:t xml:space="preserve">SEHK </w:t>
      </w:r>
      <w:r w:rsidRPr="00C30960">
        <w:t>stock code</w:t>
      </w:r>
      <w:r>
        <w:rPr>
          <w:lang w:eastAsia="zh-TW"/>
        </w:rPr>
        <w:t>:</w:t>
      </w:r>
      <w:r w:rsidRPr="00C30960">
        <w:t xml:space="preserve"> 1910), </w:t>
      </w:r>
      <w:r>
        <w:t xml:space="preserve">the world’s largest travel luggage company, </w:t>
      </w:r>
      <w:r w:rsidRPr="00C30960">
        <w:t xml:space="preserve">today announced its </w:t>
      </w:r>
      <w:r>
        <w:t xml:space="preserve">interim </w:t>
      </w:r>
      <w:r w:rsidRPr="00C30960">
        <w:t xml:space="preserve">results for the </w:t>
      </w:r>
      <w:r>
        <w:t>six months ended June 30, 2015</w:t>
      </w:r>
      <w:r w:rsidRPr="00C30960">
        <w:t>.</w:t>
      </w:r>
    </w:p>
    <w:p w:rsidR="004F7545" w:rsidRPr="00E930A9" w:rsidRDefault="004F7545" w:rsidP="00DA5CDC">
      <w:pPr>
        <w:spacing w:after="0"/>
        <w:jc w:val="both"/>
      </w:pPr>
      <w:r>
        <w:t>The Group</w:t>
      </w:r>
      <w:r w:rsidRPr="000A6394">
        <w:t xml:space="preserve"> continued to benefit from the </w:t>
      </w:r>
      <w:r>
        <w:t xml:space="preserve">robust </w:t>
      </w:r>
      <w:r w:rsidRPr="000A6394">
        <w:t>growth in travel and tourism</w:t>
      </w:r>
      <w:r>
        <w:rPr>
          <w:rStyle w:val="FootnoteReference"/>
        </w:rPr>
        <w:footnoteReference w:id="4"/>
      </w:r>
      <w:r>
        <w:rPr>
          <w:lang w:eastAsia="zh-TW"/>
        </w:rPr>
        <w:t xml:space="preserve"> </w:t>
      </w:r>
      <w:r>
        <w:t>w</w:t>
      </w:r>
      <w:r w:rsidRPr="000A6394">
        <w:t>orldwide</w:t>
      </w:r>
      <w:r>
        <w:t xml:space="preserve"> as</w:t>
      </w:r>
      <w:r w:rsidRPr="00E930A9">
        <w:t xml:space="preserve"> net sales increased by </w:t>
      </w:r>
      <w:r>
        <w:t>16.6</w:t>
      </w:r>
      <w:r w:rsidRPr="00E930A9">
        <w:t xml:space="preserve">% </w:t>
      </w:r>
      <w:r>
        <w:t xml:space="preserve">on a constant currency basis to </w:t>
      </w:r>
      <w:r w:rsidRPr="00E930A9">
        <w:t>US$</w:t>
      </w:r>
      <w:r>
        <w:t>1,196.5</w:t>
      </w:r>
      <w:r w:rsidRPr="00E930A9">
        <w:t xml:space="preserve"> million for the six months ended June 30, </w:t>
      </w:r>
      <w:r>
        <w:t>2015. US Dollar reported net sales increased by 8.2%. Excluding foreign currency effects, Samsonite’s</w:t>
      </w:r>
      <w:r w:rsidRPr="00E930A9">
        <w:t xml:space="preserve"> </w:t>
      </w:r>
      <w:r w:rsidRPr="00294B90">
        <w:t>profit attributable to the equity holders increased by 8.9%</w:t>
      </w:r>
      <w:r>
        <w:t xml:space="preserve">. On a constant currency basis, </w:t>
      </w:r>
      <w:r w:rsidRPr="00E930A9">
        <w:t>Adjusted Net Income</w:t>
      </w:r>
      <w:r>
        <w:rPr>
          <w:rStyle w:val="FootnoteReference"/>
        </w:rPr>
        <w:footnoteReference w:id="5"/>
      </w:r>
      <w:r w:rsidRPr="00E930A9">
        <w:t xml:space="preserve"> </w:t>
      </w:r>
      <w:r>
        <w:t>increased by 7.2%, while Adjusted EBITDA</w:t>
      </w:r>
      <w:r>
        <w:rPr>
          <w:rFonts w:eastAsia="SimSun"/>
          <w:vertAlign w:val="superscript"/>
          <w:lang w:eastAsia="zh-CN"/>
        </w:rPr>
        <w:t>4</w:t>
      </w:r>
      <w:r>
        <w:t xml:space="preserve"> </w:t>
      </w:r>
      <w:r w:rsidRPr="00A161E1">
        <w:t xml:space="preserve">increased </w:t>
      </w:r>
      <w:r>
        <w:t xml:space="preserve">by 8.4% </w:t>
      </w:r>
      <w:r w:rsidRPr="00A161E1">
        <w:t xml:space="preserve">for the </w:t>
      </w:r>
      <w:r>
        <w:t>six months ended June 30, 2015</w:t>
      </w:r>
      <w:r w:rsidRPr="00A161E1">
        <w:t>.</w:t>
      </w:r>
      <w:r>
        <w:t xml:space="preserve">  </w:t>
      </w:r>
    </w:p>
    <w:p w:rsidR="004F7545" w:rsidRDefault="004F7545" w:rsidP="0019619A">
      <w:pPr>
        <w:spacing w:after="0"/>
        <w:jc w:val="both"/>
        <w:rPr>
          <w:lang w:eastAsia="zh-TW"/>
        </w:rPr>
      </w:pPr>
    </w:p>
    <w:p w:rsidR="004F7545" w:rsidRPr="0019619A" w:rsidRDefault="004F7545" w:rsidP="009F444E">
      <w:pPr>
        <w:spacing w:after="0"/>
        <w:jc w:val="both"/>
        <w:rPr>
          <w:lang w:eastAsia="zh-TW"/>
        </w:rPr>
      </w:pPr>
      <w:r w:rsidRPr="0019619A">
        <w:rPr>
          <w:lang w:eastAsia="zh-TW"/>
        </w:rPr>
        <w:t xml:space="preserve">The </w:t>
      </w:r>
      <w:r>
        <w:rPr>
          <w:lang w:eastAsia="zh-TW"/>
        </w:rPr>
        <w:t>Group</w:t>
      </w:r>
      <w:r w:rsidRPr="0019619A">
        <w:rPr>
          <w:lang w:eastAsia="zh-TW"/>
        </w:rPr>
        <w:t xml:space="preserve"> generated cash from operating activities of US$</w:t>
      </w:r>
      <w:r>
        <w:rPr>
          <w:lang w:eastAsia="zh-TW"/>
        </w:rPr>
        <w:t>79.9</w:t>
      </w:r>
      <w:r w:rsidRPr="0019619A">
        <w:rPr>
          <w:lang w:eastAsia="zh-TW"/>
        </w:rPr>
        <w:t xml:space="preserve"> million for the six months ended June 30, 201</w:t>
      </w:r>
      <w:r>
        <w:rPr>
          <w:lang w:eastAsia="zh-TW"/>
        </w:rPr>
        <w:t xml:space="preserve">5, </w:t>
      </w:r>
      <w:r w:rsidRPr="0019619A">
        <w:rPr>
          <w:lang w:eastAsia="zh-TW"/>
        </w:rPr>
        <w:t xml:space="preserve">compared to US$53.1 million </w:t>
      </w:r>
      <w:r>
        <w:rPr>
          <w:lang w:eastAsia="zh-TW"/>
        </w:rPr>
        <w:t>in the first half of</w:t>
      </w:r>
      <w:r w:rsidRPr="0019619A">
        <w:rPr>
          <w:lang w:eastAsia="zh-TW"/>
        </w:rPr>
        <w:t xml:space="preserve"> 201</w:t>
      </w:r>
      <w:r>
        <w:rPr>
          <w:lang w:eastAsia="zh-TW"/>
        </w:rPr>
        <w:t xml:space="preserve">4, </w:t>
      </w:r>
      <w:r>
        <w:t>leaving a net cash position of US$85.7 million</w:t>
      </w:r>
      <w:r>
        <w:rPr>
          <w:lang w:eastAsia="zh-TW"/>
        </w:rPr>
        <w:t xml:space="preserve">. </w:t>
      </w:r>
      <w:r w:rsidRPr="00A549FE">
        <w:rPr>
          <w:lang w:eastAsia="zh-TW"/>
        </w:rPr>
        <w:t xml:space="preserve">This increase is primarily attributable to </w:t>
      </w:r>
      <w:r>
        <w:rPr>
          <w:lang w:eastAsia="zh-TW"/>
        </w:rPr>
        <w:t>more efficiently managed working capital</w:t>
      </w:r>
      <w:r w:rsidRPr="00A549FE">
        <w:rPr>
          <w:lang w:eastAsia="zh-TW"/>
        </w:rPr>
        <w:t>.</w:t>
      </w:r>
      <w:r w:rsidRPr="00504B45">
        <w:rPr>
          <w:lang w:eastAsia="zh-TW"/>
        </w:rPr>
        <w:t xml:space="preserve"> </w:t>
      </w:r>
    </w:p>
    <w:p w:rsidR="004F7545" w:rsidRDefault="004F7545" w:rsidP="00DA5CDC">
      <w:pPr>
        <w:spacing w:after="0"/>
        <w:jc w:val="both"/>
        <w:rPr>
          <w:rFonts w:cs="Calibri"/>
        </w:rPr>
      </w:pPr>
    </w:p>
    <w:p w:rsidR="004F7545" w:rsidRDefault="004F7545" w:rsidP="008876BA">
      <w:pPr>
        <w:spacing w:after="0"/>
        <w:jc w:val="both"/>
        <w:rPr>
          <w:rFonts w:cs="Calibri"/>
        </w:rPr>
      </w:pPr>
      <w:r>
        <w:rPr>
          <w:rFonts w:cs="Calibri"/>
        </w:rPr>
        <w:t xml:space="preserve">Samsonite continues to evaluate further potential acquisition opportunities that offer both a compelling strategic and financial rationale. In February 2015, the Group </w:t>
      </w:r>
      <w:r w:rsidRPr="005A200E">
        <w:t>acquir</w:t>
      </w:r>
      <w:r>
        <w:t>ed</w:t>
      </w:r>
      <w:r w:rsidRPr="005A200E">
        <w:t xml:space="preserve"> </w:t>
      </w:r>
      <w:r>
        <w:t xml:space="preserve">Rolling Luggage, one of the world’s leading airport retailers of branded luggage and travel products. </w:t>
      </w:r>
      <w:r w:rsidRPr="003320B0">
        <w:t xml:space="preserve">The acquisition provides </w:t>
      </w:r>
      <w:r>
        <w:t xml:space="preserve">Samsonite with </w:t>
      </w:r>
      <w:r w:rsidRPr="003320B0">
        <w:t>a significant retail footprint in some of the leading airports in Europe and the Asia Pacific region</w:t>
      </w:r>
      <w:r>
        <w:t xml:space="preserve">, and establishes a strong </w:t>
      </w:r>
      <w:r w:rsidRPr="003320B0">
        <w:t xml:space="preserve">multi-brand platform </w:t>
      </w:r>
      <w:r>
        <w:t xml:space="preserve">to </w:t>
      </w:r>
      <w:r w:rsidRPr="003320B0">
        <w:t>showcas</w:t>
      </w:r>
      <w:r>
        <w:t>e</w:t>
      </w:r>
      <w:r w:rsidRPr="003320B0">
        <w:t xml:space="preserve"> </w:t>
      </w:r>
      <w:r>
        <w:t>the Group’s</w:t>
      </w:r>
      <w:r w:rsidRPr="003320B0">
        <w:t xml:space="preserve"> brands and collecti</w:t>
      </w:r>
      <w:r>
        <w:t>ons.</w:t>
      </w:r>
    </w:p>
    <w:p w:rsidR="004F7545" w:rsidRDefault="004F7545" w:rsidP="00DA5CDC">
      <w:pPr>
        <w:spacing w:after="0"/>
        <w:jc w:val="both"/>
        <w:rPr>
          <w:rFonts w:cs="Calibri"/>
        </w:rPr>
      </w:pPr>
    </w:p>
    <w:p w:rsidR="004F7545" w:rsidRDefault="004F7545" w:rsidP="00DA5CDC">
      <w:pPr>
        <w:spacing w:after="0"/>
        <w:jc w:val="both"/>
      </w:pPr>
      <w:r w:rsidRPr="00911977">
        <w:t>Commenting on the results, Mr. Tim Parker, Chairman, said</w:t>
      </w:r>
      <w:r>
        <w:t>,</w:t>
      </w:r>
      <w:r w:rsidRPr="00911977">
        <w:t xml:space="preserve"> </w:t>
      </w:r>
      <w:r>
        <w:t xml:space="preserve">“In our performance in the first half of 2015 there is much to be pleased about. Behind the numbers, some strong foundations are being laid for future growth. It is worth bearing in mind that </w:t>
      </w:r>
      <w:r w:rsidRPr="002A3080">
        <w:rPr>
          <w:i/>
        </w:rPr>
        <w:t>Samsonite</w:t>
      </w:r>
      <w:r>
        <w:t>, our flagship brand, is still number one in most markets of the world. One of the key strengths of our business is its diversity in terms of brands, segments and geographical markets. Thus, in the first half of 2015, pockets of local market pressure were more than compensated for by good performances elsewhere.”</w:t>
      </w:r>
    </w:p>
    <w:p w:rsidR="004F7545" w:rsidRDefault="004F7545">
      <w:pPr>
        <w:spacing w:after="0" w:line="240" w:lineRule="auto"/>
        <w:rPr>
          <w:b/>
        </w:rPr>
      </w:pPr>
    </w:p>
    <w:p w:rsidR="004F7545" w:rsidRPr="00A910B5" w:rsidRDefault="004F7545" w:rsidP="00860DF6">
      <w:pPr>
        <w:spacing w:after="0"/>
        <w:jc w:val="both"/>
      </w:pPr>
      <w:r w:rsidRPr="00A910B5">
        <w:t>Mr. R</w:t>
      </w:r>
      <w:r>
        <w:t>amesh Tainwala, Chief Executive Officer, added, “</w:t>
      </w:r>
      <w:r w:rsidRPr="00FE790D">
        <w:t xml:space="preserve">Samsonite achieved </w:t>
      </w:r>
      <w:r>
        <w:t>a</w:t>
      </w:r>
      <w:r w:rsidRPr="00FE790D">
        <w:t xml:space="preserve"> very encouraging set of results</w:t>
      </w:r>
      <w:r>
        <w:t xml:space="preserve"> for the first half of 2015</w:t>
      </w:r>
      <w:r w:rsidRPr="00FE790D">
        <w:t xml:space="preserve"> despite challenging economic and trading conditions in almost all of our major markets</w:t>
      </w:r>
      <w:r>
        <w:t>. A</w:t>
      </w:r>
      <w:r w:rsidRPr="007F0680">
        <w:t xml:space="preserve">ll of our operating regions </w:t>
      </w:r>
      <w:r>
        <w:t>posted</w:t>
      </w:r>
      <w:r w:rsidRPr="007F0680">
        <w:t xml:space="preserve"> solid </w:t>
      </w:r>
      <w:r>
        <w:t xml:space="preserve">constant currency </w:t>
      </w:r>
      <w:r w:rsidRPr="007F0680">
        <w:t>net sales growth</w:t>
      </w:r>
      <w:r>
        <w:t>,</w:t>
      </w:r>
      <w:r w:rsidRPr="00FE790D">
        <w:t xml:space="preserve"> underscor</w:t>
      </w:r>
      <w:r>
        <w:t>ing</w:t>
      </w:r>
      <w:r w:rsidRPr="00FE790D">
        <w:t xml:space="preserve"> the resilience of our multi-brand, multi-category and multi-channel business model.</w:t>
      </w:r>
      <w:r>
        <w:t>”</w:t>
      </w:r>
      <w:r w:rsidRPr="00A910B5">
        <w:br w:type="page"/>
      </w:r>
    </w:p>
    <w:p w:rsidR="004F7545" w:rsidRPr="00C30960" w:rsidRDefault="004F7545" w:rsidP="00E24150">
      <w:pPr>
        <w:rPr>
          <w:b/>
        </w:rPr>
      </w:pPr>
      <w:r w:rsidRPr="00C30960">
        <w:rPr>
          <w:b/>
        </w:rPr>
        <w:t>Table 1: Key Financial Highlights</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8"/>
        <w:gridCol w:w="1829"/>
        <w:gridCol w:w="1829"/>
        <w:gridCol w:w="1829"/>
        <w:gridCol w:w="1829"/>
      </w:tblGrid>
      <w:tr w:rsidR="004F7545" w:rsidRPr="00D6018D" w:rsidTr="001555ED">
        <w:trPr>
          <w:trHeight w:val="432"/>
        </w:trPr>
        <w:tc>
          <w:tcPr>
            <w:tcW w:w="2538" w:type="dxa"/>
          </w:tcPr>
          <w:p w:rsidR="004F7545" w:rsidRPr="00D6018D" w:rsidRDefault="004F7545" w:rsidP="00D6018D">
            <w:pPr>
              <w:jc w:val="center"/>
              <w:rPr>
                <w:sz w:val="20"/>
                <w:szCs w:val="20"/>
              </w:rPr>
            </w:pPr>
          </w:p>
        </w:tc>
        <w:tc>
          <w:tcPr>
            <w:tcW w:w="1829" w:type="dxa"/>
          </w:tcPr>
          <w:p w:rsidR="004F7545" w:rsidRPr="00D6018D" w:rsidRDefault="004F7545" w:rsidP="00D6018D">
            <w:pPr>
              <w:spacing w:after="0" w:line="240" w:lineRule="auto"/>
              <w:jc w:val="center"/>
              <w:rPr>
                <w:b/>
                <w:sz w:val="20"/>
                <w:szCs w:val="20"/>
              </w:rPr>
            </w:pPr>
            <w:r>
              <w:rPr>
                <w:b/>
                <w:sz w:val="20"/>
                <w:szCs w:val="20"/>
              </w:rPr>
              <w:t>Six months</w:t>
            </w:r>
            <w:r w:rsidRPr="00D6018D">
              <w:rPr>
                <w:b/>
                <w:sz w:val="20"/>
                <w:szCs w:val="20"/>
              </w:rPr>
              <w:t xml:space="preserve"> ended</w:t>
            </w:r>
          </w:p>
          <w:p w:rsidR="004F7545" w:rsidRDefault="004F7545" w:rsidP="00D6018D">
            <w:pPr>
              <w:spacing w:after="0" w:line="240" w:lineRule="auto"/>
              <w:jc w:val="center"/>
              <w:rPr>
                <w:b/>
                <w:sz w:val="20"/>
                <w:szCs w:val="20"/>
                <w:lang w:eastAsia="zh-HK"/>
              </w:rPr>
            </w:pPr>
            <w:r>
              <w:rPr>
                <w:b/>
                <w:sz w:val="20"/>
                <w:szCs w:val="20"/>
              </w:rPr>
              <w:t>June 30, 2015</w:t>
            </w:r>
          </w:p>
          <w:p w:rsidR="004F7545" w:rsidRPr="00D6018D" w:rsidRDefault="004F7545" w:rsidP="00E356B9">
            <w:pPr>
              <w:spacing w:after="0" w:line="240" w:lineRule="auto"/>
              <w:jc w:val="center"/>
              <w:rPr>
                <w:b/>
                <w:sz w:val="20"/>
                <w:szCs w:val="20"/>
              </w:rPr>
            </w:pPr>
            <w:r w:rsidRPr="00D6018D">
              <w:rPr>
                <w:b/>
                <w:sz w:val="20"/>
                <w:szCs w:val="20"/>
              </w:rPr>
              <w:t xml:space="preserve">US$ </w:t>
            </w:r>
            <w:r>
              <w:rPr>
                <w:b/>
                <w:sz w:val="20"/>
                <w:szCs w:val="20"/>
                <w:lang w:eastAsia="zh-HK"/>
              </w:rPr>
              <w:t>m</w:t>
            </w:r>
            <w:r w:rsidRPr="00D6018D">
              <w:rPr>
                <w:b/>
                <w:sz w:val="20"/>
                <w:szCs w:val="20"/>
              </w:rPr>
              <w:t>illion</w:t>
            </w:r>
            <w:r>
              <w:rPr>
                <w:b/>
                <w:sz w:val="20"/>
                <w:szCs w:val="20"/>
              </w:rPr>
              <w:t>s</w:t>
            </w:r>
          </w:p>
        </w:tc>
        <w:tc>
          <w:tcPr>
            <w:tcW w:w="1829" w:type="dxa"/>
          </w:tcPr>
          <w:p w:rsidR="004F7545" w:rsidRPr="00D6018D" w:rsidRDefault="004F7545" w:rsidP="00D6018D">
            <w:pPr>
              <w:spacing w:after="0" w:line="240" w:lineRule="auto"/>
              <w:jc w:val="center"/>
              <w:rPr>
                <w:b/>
                <w:sz w:val="20"/>
                <w:szCs w:val="20"/>
              </w:rPr>
            </w:pPr>
            <w:r>
              <w:rPr>
                <w:b/>
                <w:sz w:val="20"/>
                <w:szCs w:val="20"/>
              </w:rPr>
              <w:t>Six months</w:t>
            </w:r>
            <w:r w:rsidRPr="00D6018D">
              <w:rPr>
                <w:b/>
                <w:sz w:val="20"/>
                <w:szCs w:val="20"/>
              </w:rPr>
              <w:t xml:space="preserve"> ended</w:t>
            </w:r>
          </w:p>
          <w:p w:rsidR="004F7545" w:rsidRDefault="004F7545" w:rsidP="00D6018D">
            <w:pPr>
              <w:spacing w:after="0" w:line="240" w:lineRule="auto"/>
              <w:jc w:val="center"/>
              <w:rPr>
                <w:b/>
                <w:sz w:val="20"/>
                <w:szCs w:val="20"/>
                <w:lang w:eastAsia="zh-HK"/>
              </w:rPr>
            </w:pPr>
            <w:r>
              <w:rPr>
                <w:b/>
                <w:sz w:val="20"/>
                <w:szCs w:val="20"/>
              </w:rPr>
              <w:t>June 30, 2014</w:t>
            </w:r>
          </w:p>
          <w:p w:rsidR="004F7545" w:rsidRPr="00D6018D" w:rsidRDefault="004F7545" w:rsidP="00E356B9">
            <w:pPr>
              <w:spacing w:after="0" w:line="240" w:lineRule="auto"/>
              <w:jc w:val="center"/>
              <w:rPr>
                <w:b/>
                <w:sz w:val="20"/>
                <w:szCs w:val="20"/>
              </w:rPr>
            </w:pPr>
            <w:r w:rsidRPr="00D6018D">
              <w:rPr>
                <w:b/>
                <w:sz w:val="20"/>
                <w:szCs w:val="20"/>
              </w:rPr>
              <w:t xml:space="preserve">US$ </w:t>
            </w:r>
            <w:r>
              <w:rPr>
                <w:b/>
                <w:sz w:val="20"/>
                <w:szCs w:val="20"/>
                <w:lang w:eastAsia="zh-HK"/>
              </w:rPr>
              <w:t>m</w:t>
            </w:r>
            <w:r w:rsidRPr="00D6018D">
              <w:rPr>
                <w:b/>
                <w:sz w:val="20"/>
                <w:szCs w:val="20"/>
              </w:rPr>
              <w:t>illion</w:t>
            </w:r>
            <w:r>
              <w:rPr>
                <w:b/>
                <w:sz w:val="20"/>
                <w:szCs w:val="20"/>
              </w:rPr>
              <w:t>s</w:t>
            </w:r>
          </w:p>
        </w:tc>
        <w:tc>
          <w:tcPr>
            <w:tcW w:w="1829" w:type="dxa"/>
          </w:tcPr>
          <w:p w:rsidR="004F7545" w:rsidRPr="00D6018D" w:rsidRDefault="004F7545" w:rsidP="00D6018D">
            <w:pPr>
              <w:spacing w:after="0" w:line="240" w:lineRule="auto"/>
              <w:jc w:val="center"/>
              <w:rPr>
                <w:b/>
                <w:sz w:val="20"/>
                <w:szCs w:val="20"/>
              </w:rPr>
            </w:pPr>
            <w:r w:rsidRPr="00D6018D">
              <w:rPr>
                <w:b/>
                <w:sz w:val="20"/>
                <w:szCs w:val="20"/>
              </w:rPr>
              <w:t xml:space="preserve">Percentage </w:t>
            </w:r>
            <w:r>
              <w:rPr>
                <w:b/>
                <w:sz w:val="20"/>
                <w:szCs w:val="20"/>
              </w:rPr>
              <w:t>increase (decrease)</w:t>
            </w:r>
          </w:p>
          <w:p w:rsidR="004F7545" w:rsidRPr="00D6018D" w:rsidRDefault="004F7545" w:rsidP="00F624D9">
            <w:pPr>
              <w:spacing w:after="0" w:line="240" w:lineRule="auto"/>
              <w:jc w:val="center"/>
              <w:rPr>
                <w:b/>
                <w:sz w:val="20"/>
                <w:szCs w:val="20"/>
              </w:rPr>
            </w:pPr>
            <w:r w:rsidRPr="00D6018D">
              <w:rPr>
                <w:b/>
                <w:sz w:val="20"/>
                <w:szCs w:val="20"/>
              </w:rPr>
              <w:t>201</w:t>
            </w:r>
            <w:r>
              <w:rPr>
                <w:b/>
                <w:sz w:val="20"/>
                <w:szCs w:val="20"/>
              </w:rPr>
              <w:t>5</w:t>
            </w:r>
            <w:r w:rsidRPr="00D6018D">
              <w:rPr>
                <w:b/>
                <w:sz w:val="20"/>
                <w:szCs w:val="20"/>
              </w:rPr>
              <w:t xml:space="preserve"> vs. 201</w:t>
            </w:r>
            <w:r>
              <w:rPr>
                <w:b/>
                <w:sz w:val="20"/>
                <w:szCs w:val="20"/>
              </w:rPr>
              <w:t>4</w:t>
            </w:r>
          </w:p>
        </w:tc>
        <w:tc>
          <w:tcPr>
            <w:tcW w:w="1829" w:type="dxa"/>
          </w:tcPr>
          <w:p w:rsidR="004F7545" w:rsidRPr="00D6018D" w:rsidRDefault="004F7545" w:rsidP="0048243C">
            <w:pPr>
              <w:spacing w:after="0" w:line="240" w:lineRule="auto"/>
              <w:jc w:val="center"/>
              <w:rPr>
                <w:b/>
                <w:sz w:val="20"/>
                <w:szCs w:val="20"/>
              </w:rPr>
            </w:pPr>
            <w:r w:rsidRPr="00D6018D">
              <w:rPr>
                <w:b/>
                <w:sz w:val="20"/>
                <w:szCs w:val="20"/>
              </w:rPr>
              <w:t xml:space="preserve">Percentage </w:t>
            </w:r>
            <w:r>
              <w:rPr>
                <w:b/>
                <w:sz w:val="20"/>
                <w:szCs w:val="20"/>
              </w:rPr>
              <w:t>increase (decrease)</w:t>
            </w:r>
          </w:p>
          <w:p w:rsidR="004F7545" w:rsidRPr="00D6018D" w:rsidRDefault="004F7545">
            <w:pPr>
              <w:spacing w:after="0" w:line="240" w:lineRule="auto"/>
              <w:jc w:val="center"/>
              <w:rPr>
                <w:b/>
                <w:sz w:val="20"/>
                <w:szCs w:val="20"/>
              </w:rPr>
            </w:pPr>
            <w:r w:rsidRPr="00D6018D">
              <w:rPr>
                <w:b/>
                <w:sz w:val="20"/>
                <w:szCs w:val="20"/>
              </w:rPr>
              <w:t>201</w:t>
            </w:r>
            <w:r>
              <w:rPr>
                <w:b/>
                <w:sz w:val="20"/>
                <w:szCs w:val="20"/>
              </w:rPr>
              <w:t xml:space="preserve">5 </w:t>
            </w:r>
            <w:r w:rsidRPr="00D6018D">
              <w:rPr>
                <w:b/>
                <w:sz w:val="20"/>
                <w:szCs w:val="20"/>
              </w:rPr>
              <w:t>vs. 201</w:t>
            </w:r>
            <w:r>
              <w:rPr>
                <w:b/>
                <w:sz w:val="20"/>
                <w:szCs w:val="20"/>
              </w:rPr>
              <w:t>4</w:t>
            </w:r>
          </w:p>
          <w:p w:rsidR="004F7545" w:rsidRPr="00D6018D" w:rsidRDefault="004F7545">
            <w:pPr>
              <w:spacing w:after="0" w:line="240" w:lineRule="auto"/>
              <w:jc w:val="center"/>
              <w:rPr>
                <w:b/>
                <w:sz w:val="20"/>
                <w:szCs w:val="20"/>
              </w:rPr>
            </w:pPr>
            <w:r>
              <w:rPr>
                <w:b/>
                <w:sz w:val="20"/>
                <w:szCs w:val="20"/>
              </w:rPr>
              <w:t>e</w:t>
            </w:r>
            <w:r w:rsidRPr="00D6018D">
              <w:rPr>
                <w:b/>
                <w:sz w:val="20"/>
                <w:szCs w:val="20"/>
              </w:rPr>
              <w:t xml:space="preserve">xcl. </w:t>
            </w:r>
            <w:r>
              <w:rPr>
                <w:b/>
                <w:sz w:val="20"/>
                <w:szCs w:val="20"/>
              </w:rPr>
              <w:t>f</w:t>
            </w:r>
            <w:r w:rsidRPr="00D6018D">
              <w:rPr>
                <w:b/>
                <w:sz w:val="20"/>
                <w:szCs w:val="20"/>
              </w:rPr>
              <w:t>oreign</w:t>
            </w:r>
          </w:p>
          <w:p w:rsidR="004F7545" w:rsidRPr="00D6018D" w:rsidRDefault="004F7545" w:rsidP="00142FEE">
            <w:pPr>
              <w:spacing w:after="0" w:line="240" w:lineRule="auto"/>
              <w:jc w:val="center"/>
              <w:rPr>
                <w:b/>
                <w:sz w:val="20"/>
                <w:szCs w:val="20"/>
              </w:rPr>
            </w:pPr>
            <w:r>
              <w:rPr>
                <w:b/>
                <w:sz w:val="20"/>
                <w:szCs w:val="20"/>
              </w:rPr>
              <w:t>c</w:t>
            </w:r>
            <w:r w:rsidRPr="00D6018D">
              <w:rPr>
                <w:b/>
                <w:sz w:val="20"/>
                <w:szCs w:val="20"/>
              </w:rPr>
              <w:t xml:space="preserve">urrency </w:t>
            </w:r>
            <w:r>
              <w:rPr>
                <w:b/>
                <w:sz w:val="20"/>
                <w:szCs w:val="20"/>
              </w:rPr>
              <w:t>e</w:t>
            </w:r>
            <w:r w:rsidRPr="00D6018D">
              <w:rPr>
                <w:b/>
                <w:sz w:val="20"/>
                <w:szCs w:val="20"/>
              </w:rPr>
              <w:t>ffects</w:t>
            </w:r>
          </w:p>
        </w:tc>
      </w:tr>
      <w:tr w:rsidR="004F7545" w:rsidRPr="00D6018D" w:rsidTr="004D329D">
        <w:trPr>
          <w:trHeight w:val="20"/>
        </w:trPr>
        <w:tc>
          <w:tcPr>
            <w:tcW w:w="2538" w:type="dxa"/>
            <w:vAlign w:val="center"/>
          </w:tcPr>
          <w:p w:rsidR="004F7545" w:rsidRPr="00D6018D" w:rsidRDefault="004F7545" w:rsidP="005E39E2">
            <w:pPr>
              <w:spacing w:beforeLines="50" w:afterLines="50"/>
              <w:rPr>
                <w:b/>
                <w:sz w:val="20"/>
                <w:szCs w:val="20"/>
              </w:rPr>
            </w:pPr>
            <w:r w:rsidRPr="00D6018D">
              <w:rPr>
                <w:b/>
                <w:sz w:val="20"/>
                <w:szCs w:val="20"/>
              </w:rPr>
              <w:t>Net Sales</w:t>
            </w:r>
          </w:p>
        </w:tc>
        <w:tc>
          <w:tcPr>
            <w:tcW w:w="1829" w:type="dxa"/>
          </w:tcPr>
          <w:p w:rsidR="004F7545" w:rsidRPr="00A96CDD" w:rsidRDefault="004F7545" w:rsidP="005E39E2">
            <w:pPr>
              <w:spacing w:beforeLines="50" w:afterLines="50"/>
              <w:jc w:val="center"/>
              <w:rPr>
                <w:sz w:val="20"/>
                <w:szCs w:val="20"/>
              </w:rPr>
            </w:pPr>
            <w:r>
              <w:rPr>
                <w:sz w:val="20"/>
                <w:szCs w:val="20"/>
              </w:rPr>
              <w:t>1,196.5</w:t>
            </w:r>
          </w:p>
        </w:tc>
        <w:tc>
          <w:tcPr>
            <w:tcW w:w="1829" w:type="dxa"/>
          </w:tcPr>
          <w:p w:rsidR="004F7545" w:rsidRPr="00A96CDD" w:rsidRDefault="004F7545" w:rsidP="005E39E2">
            <w:pPr>
              <w:spacing w:beforeLines="50" w:afterLines="50"/>
              <w:jc w:val="center"/>
              <w:rPr>
                <w:sz w:val="20"/>
                <w:szCs w:val="20"/>
              </w:rPr>
            </w:pPr>
            <w:r w:rsidRPr="00A96CDD">
              <w:rPr>
                <w:sz w:val="20"/>
                <w:szCs w:val="20"/>
              </w:rPr>
              <w:t>1,105.3</w:t>
            </w:r>
          </w:p>
        </w:tc>
        <w:tc>
          <w:tcPr>
            <w:tcW w:w="1829" w:type="dxa"/>
          </w:tcPr>
          <w:p w:rsidR="004F7545" w:rsidRPr="00A96CDD" w:rsidRDefault="004F7545" w:rsidP="005E39E2">
            <w:pPr>
              <w:spacing w:beforeLines="50" w:afterLines="50"/>
              <w:jc w:val="center"/>
              <w:rPr>
                <w:sz w:val="20"/>
                <w:szCs w:val="20"/>
              </w:rPr>
            </w:pPr>
            <w:r>
              <w:rPr>
                <w:sz w:val="20"/>
                <w:szCs w:val="20"/>
              </w:rPr>
              <w:t>8.2%</w:t>
            </w:r>
          </w:p>
        </w:tc>
        <w:tc>
          <w:tcPr>
            <w:tcW w:w="1829" w:type="dxa"/>
            <w:vAlign w:val="center"/>
          </w:tcPr>
          <w:p w:rsidR="004F7545" w:rsidRPr="00B86D96" w:rsidRDefault="004F7545" w:rsidP="005E39E2">
            <w:pPr>
              <w:spacing w:beforeLines="50" w:afterLines="50" w:line="240" w:lineRule="auto"/>
              <w:jc w:val="center"/>
              <w:rPr>
                <w:rFonts w:ascii="Cambria" w:hAnsi="Cambria"/>
                <w:i/>
                <w:iCs/>
                <w:color w:val="404040"/>
                <w:sz w:val="20"/>
                <w:szCs w:val="20"/>
              </w:rPr>
            </w:pPr>
            <w:r>
              <w:rPr>
                <w:sz w:val="20"/>
                <w:szCs w:val="20"/>
              </w:rPr>
              <w:t>16.6%</w:t>
            </w:r>
          </w:p>
        </w:tc>
      </w:tr>
      <w:tr w:rsidR="004F7545" w:rsidRPr="00D6018D" w:rsidTr="00DC1755">
        <w:trPr>
          <w:trHeight w:val="20"/>
        </w:trPr>
        <w:tc>
          <w:tcPr>
            <w:tcW w:w="2538" w:type="dxa"/>
            <w:vAlign w:val="center"/>
          </w:tcPr>
          <w:p w:rsidR="004F7545" w:rsidRPr="00D6018D" w:rsidRDefault="004F7545" w:rsidP="005E39E2">
            <w:pPr>
              <w:spacing w:beforeLines="50" w:afterLines="50" w:line="240" w:lineRule="auto"/>
              <w:rPr>
                <w:b/>
                <w:iCs/>
                <w:sz w:val="20"/>
                <w:szCs w:val="20"/>
              </w:rPr>
            </w:pPr>
            <w:r w:rsidRPr="00D6018D">
              <w:rPr>
                <w:b/>
                <w:iCs/>
                <w:sz w:val="20"/>
                <w:szCs w:val="20"/>
              </w:rPr>
              <w:t xml:space="preserve">Profit </w:t>
            </w:r>
            <w:r>
              <w:rPr>
                <w:b/>
                <w:iCs/>
                <w:sz w:val="20"/>
                <w:szCs w:val="20"/>
              </w:rPr>
              <w:t>attributable to equity holders</w:t>
            </w:r>
          </w:p>
        </w:tc>
        <w:tc>
          <w:tcPr>
            <w:tcW w:w="1829" w:type="dxa"/>
          </w:tcPr>
          <w:p w:rsidR="004F7545" w:rsidRPr="00A96CDD" w:rsidRDefault="004F7545" w:rsidP="005E39E2">
            <w:pPr>
              <w:spacing w:beforeLines="50" w:afterLines="50"/>
              <w:jc w:val="center"/>
              <w:rPr>
                <w:sz w:val="20"/>
                <w:szCs w:val="20"/>
              </w:rPr>
            </w:pPr>
            <w:r>
              <w:rPr>
                <w:sz w:val="20"/>
                <w:szCs w:val="20"/>
              </w:rPr>
              <w:t>94.4</w:t>
            </w:r>
          </w:p>
        </w:tc>
        <w:tc>
          <w:tcPr>
            <w:tcW w:w="1829" w:type="dxa"/>
          </w:tcPr>
          <w:p w:rsidR="004F7545" w:rsidRPr="00A96CDD" w:rsidRDefault="004F7545" w:rsidP="005E39E2">
            <w:pPr>
              <w:spacing w:beforeLines="50" w:afterLines="50"/>
              <w:jc w:val="center"/>
              <w:rPr>
                <w:sz w:val="20"/>
                <w:szCs w:val="20"/>
              </w:rPr>
            </w:pPr>
            <w:r>
              <w:rPr>
                <w:sz w:val="20"/>
                <w:szCs w:val="20"/>
              </w:rPr>
              <w:t>97.0</w:t>
            </w:r>
          </w:p>
        </w:tc>
        <w:tc>
          <w:tcPr>
            <w:tcW w:w="1829" w:type="dxa"/>
          </w:tcPr>
          <w:p w:rsidR="004F7545" w:rsidRPr="00A96CDD" w:rsidRDefault="004F7545" w:rsidP="005E39E2">
            <w:pPr>
              <w:spacing w:beforeLines="50" w:afterLines="50"/>
              <w:jc w:val="center"/>
              <w:rPr>
                <w:sz w:val="20"/>
                <w:szCs w:val="20"/>
              </w:rPr>
            </w:pPr>
            <w:r>
              <w:rPr>
                <w:sz w:val="20"/>
                <w:szCs w:val="20"/>
              </w:rPr>
              <w:t>(2.7)%</w:t>
            </w:r>
          </w:p>
        </w:tc>
        <w:tc>
          <w:tcPr>
            <w:tcW w:w="1829" w:type="dxa"/>
          </w:tcPr>
          <w:p w:rsidR="004F7545" w:rsidRPr="005C75B1" w:rsidRDefault="004F7545" w:rsidP="005E39E2">
            <w:pPr>
              <w:spacing w:beforeLines="50" w:afterLines="50" w:line="240" w:lineRule="auto"/>
              <w:jc w:val="center"/>
              <w:rPr>
                <w:rFonts w:ascii="Cambria" w:hAnsi="Cambria"/>
                <w:i/>
                <w:iCs/>
                <w:color w:val="404040"/>
                <w:sz w:val="20"/>
                <w:szCs w:val="20"/>
              </w:rPr>
            </w:pPr>
            <w:r>
              <w:rPr>
                <w:sz w:val="20"/>
                <w:szCs w:val="20"/>
              </w:rPr>
              <w:t>8.9%</w:t>
            </w:r>
          </w:p>
        </w:tc>
      </w:tr>
      <w:tr w:rsidR="004F7545" w:rsidRPr="00D6018D" w:rsidTr="004D329D">
        <w:trPr>
          <w:trHeight w:val="20"/>
        </w:trPr>
        <w:tc>
          <w:tcPr>
            <w:tcW w:w="2538" w:type="dxa"/>
            <w:vAlign w:val="center"/>
          </w:tcPr>
          <w:p w:rsidR="004F7545" w:rsidRPr="00D6018D" w:rsidRDefault="004F7545" w:rsidP="005E39E2">
            <w:pPr>
              <w:spacing w:beforeLines="50" w:afterLines="50"/>
              <w:rPr>
                <w:b/>
                <w:sz w:val="20"/>
                <w:szCs w:val="20"/>
              </w:rPr>
            </w:pPr>
            <w:r w:rsidRPr="00D6018D">
              <w:rPr>
                <w:b/>
                <w:sz w:val="20"/>
                <w:szCs w:val="20"/>
              </w:rPr>
              <w:t>Adjusted Net Income</w:t>
            </w:r>
            <w:bookmarkStart w:id="1" w:name="_Ref393981994"/>
            <w:r>
              <w:rPr>
                <w:rStyle w:val="FootnoteReference"/>
                <w:b/>
                <w:sz w:val="20"/>
                <w:szCs w:val="20"/>
              </w:rPr>
              <w:footnoteReference w:id="6"/>
            </w:r>
            <w:bookmarkEnd w:id="1"/>
          </w:p>
        </w:tc>
        <w:tc>
          <w:tcPr>
            <w:tcW w:w="1829" w:type="dxa"/>
          </w:tcPr>
          <w:p w:rsidR="004F7545" w:rsidRPr="00A96CDD" w:rsidRDefault="004F7545" w:rsidP="005E39E2">
            <w:pPr>
              <w:spacing w:beforeLines="50" w:afterLines="50"/>
              <w:jc w:val="center"/>
              <w:rPr>
                <w:sz w:val="20"/>
                <w:szCs w:val="20"/>
              </w:rPr>
            </w:pPr>
            <w:r>
              <w:rPr>
                <w:sz w:val="20"/>
                <w:szCs w:val="20"/>
              </w:rPr>
              <w:t>102.1</w:t>
            </w:r>
          </w:p>
        </w:tc>
        <w:tc>
          <w:tcPr>
            <w:tcW w:w="1829" w:type="dxa"/>
          </w:tcPr>
          <w:p w:rsidR="004F7545" w:rsidRPr="00A96CDD" w:rsidRDefault="004F7545" w:rsidP="005E39E2">
            <w:pPr>
              <w:spacing w:beforeLines="50" w:afterLines="50"/>
              <w:jc w:val="center"/>
              <w:rPr>
                <w:sz w:val="20"/>
                <w:szCs w:val="20"/>
              </w:rPr>
            </w:pPr>
            <w:r w:rsidRPr="00524E85">
              <w:rPr>
                <w:sz w:val="20"/>
                <w:szCs w:val="20"/>
              </w:rPr>
              <w:t>105.7</w:t>
            </w:r>
          </w:p>
        </w:tc>
        <w:tc>
          <w:tcPr>
            <w:tcW w:w="1829" w:type="dxa"/>
          </w:tcPr>
          <w:p w:rsidR="004F7545" w:rsidRPr="00A96CDD" w:rsidRDefault="004F7545" w:rsidP="005E39E2">
            <w:pPr>
              <w:spacing w:beforeLines="50" w:afterLines="50"/>
              <w:jc w:val="center"/>
              <w:rPr>
                <w:sz w:val="20"/>
                <w:szCs w:val="20"/>
              </w:rPr>
            </w:pPr>
            <w:r>
              <w:rPr>
                <w:sz w:val="20"/>
                <w:szCs w:val="20"/>
              </w:rPr>
              <w:t>(3.5)%</w:t>
            </w:r>
          </w:p>
        </w:tc>
        <w:tc>
          <w:tcPr>
            <w:tcW w:w="1829" w:type="dxa"/>
            <w:vAlign w:val="center"/>
          </w:tcPr>
          <w:p w:rsidR="004F7545" w:rsidRPr="005C75B1" w:rsidRDefault="004F7545" w:rsidP="005E39E2">
            <w:pPr>
              <w:spacing w:beforeLines="50" w:afterLines="50" w:line="240" w:lineRule="auto"/>
              <w:jc w:val="center"/>
              <w:rPr>
                <w:rFonts w:ascii="Tahoma" w:hAnsi="Tahoma" w:cs="Tahoma"/>
                <w:i/>
                <w:iCs/>
                <w:color w:val="404040"/>
                <w:sz w:val="20"/>
                <w:szCs w:val="20"/>
              </w:rPr>
            </w:pPr>
            <w:r>
              <w:rPr>
                <w:sz w:val="20"/>
                <w:szCs w:val="20"/>
              </w:rPr>
              <w:t>7.2%</w:t>
            </w:r>
          </w:p>
        </w:tc>
      </w:tr>
      <w:tr w:rsidR="004F7545" w:rsidRPr="00D6018D" w:rsidTr="004D329D">
        <w:trPr>
          <w:trHeight w:val="20"/>
        </w:trPr>
        <w:tc>
          <w:tcPr>
            <w:tcW w:w="2538" w:type="dxa"/>
            <w:vAlign w:val="center"/>
          </w:tcPr>
          <w:p w:rsidR="004F7545" w:rsidRPr="00D6018D" w:rsidRDefault="004F7545" w:rsidP="005E39E2">
            <w:pPr>
              <w:spacing w:beforeLines="50" w:afterLines="50"/>
              <w:rPr>
                <w:b/>
                <w:sz w:val="20"/>
                <w:szCs w:val="20"/>
              </w:rPr>
            </w:pPr>
            <w:r w:rsidRPr="00D6018D">
              <w:rPr>
                <w:b/>
                <w:sz w:val="20"/>
                <w:szCs w:val="20"/>
              </w:rPr>
              <w:t>Adjusted EBITDA</w:t>
            </w:r>
            <w:r>
              <w:rPr>
                <w:rStyle w:val="FootnoteReference"/>
                <w:b/>
                <w:sz w:val="20"/>
                <w:szCs w:val="20"/>
              </w:rPr>
              <w:t>5</w:t>
            </w:r>
          </w:p>
        </w:tc>
        <w:tc>
          <w:tcPr>
            <w:tcW w:w="1829" w:type="dxa"/>
          </w:tcPr>
          <w:p w:rsidR="004F7545" w:rsidRPr="00A96CDD" w:rsidRDefault="004F7545" w:rsidP="005E39E2">
            <w:pPr>
              <w:spacing w:beforeLines="50" w:afterLines="50"/>
              <w:jc w:val="center"/>
              <w:rPr>
                <w:sz w:val="20"/>
                <w:szCs w:val="20"/>
              </w:rPr>
            </w:pPr>
            <w:r>
              <w:rPr>
                <w:sz w:val="20"/>
                <w:szCs w:val="20"/>
              </w:rPr>
              <w:t>190.0</w:t>
            </w:r>
          </w:p>
        </w:tc>
        <w:tc>
          <w:tcPr>
            <w:tcW w:w="1829" w:type="dxa"/>
          </w:tcPr>
          <w:p w:rsidR="004F7545" w:rsidRPr="00A96CDD" w:rsidRDefault="004F7545" w:rsidP="005E39E2">
            <w:pPr>
              <w:spacing w:beforeLines="50" w:afterLines="50"/>
              <w:jc w:val="center"/>
              <w:rPr>
                <w:sz w:val="20"/>
                <w:szCs w:val="20"/>
              </w:rPr>
            </w:pPr>
            <w:r w:rsidRPr="00A96CDD">
              <w:rPr>
                <w:sz w:val="20"/>
                <w:szCs w:val="20"/>
              </w:rPr>
              <w:t>186.7</w:t>
            </w:r>
          </w:p>
        </w:tc>
        <w:tc>
          <w:tcPr>
            <w:tcW w:w="1829" w:type="dxa"/>
          </w:tcPr>
          <w:p w:rsidR="004F7545" w:rsidRPr="00A96CDD" w:rsidRDefault="004F7545" w:rsidP="005E39E2">
            <w:pPr>
              <w:spacing w:beforeLines="50" w:afterLines="50"/>
              <w:jc w:val="center"/>
              <w:rPr>
                <w:sz w:val="20"/>
                <w:szCs w:val="20"/>
              </w:rPr>
            </w:pPr>
            <w:r>
              <w:rPr>
                <w:sz w:val="20"/>
                <w:szCs w:val="20"/>
              </w:rPr>
              <w:t>1.8%</w:t>
            </w:r>
          </w:p>
        </w:tc>
        <w:tc>
          <w:tcPr>
            <w:tcW w:w="1829" w:type="dxa"/>
            <w:vAlign w:val="center"/>
          </w:tcPr>
          <w:p w:rsidR="004F7545" w:rsidRPr="005C75B1" w:rsidRDefault="004F7545" w:rsidP="005E39E2">
            <w:pPr>
              <w:spacing w:beforeLines="50" w:afterLines="50" w:line="240" w:lineRule="auto"/>
              <w:jc w:val="center"/>
              <w:rPr>
                <w:rFonts w:ascii="Tahoma" w:hAnsi="Tahoma" w:cs="Tahoma"/>
                <w:i/>
                <w:iCs/>
                <w:color w:val="404040"/>
                <w:sz w:val="20"/>
                <w:szCs w:val="20"/>
              </w:rPr>
            </w:pPr>
            <w:r>
              <w:rPr>
                <w:sz w:val="20"/>
                <w:szCs w:val="20"/>
              </w:rPr>
              <w:t>8.4%</w:t>
            </w:r>
          </w:p>
        </w:tc>
      </w:tr>
      <w:tr w:rsidR="004F7545" w:rsidRPr="00D6018D" w:rsidTr="00B86D96">
        <w:trPr>
          <w:trHeight w:val="734"/>
        </w:trPr>
        <w:tc>
          <w:tcPr>
            <w:tcW w:w="2538" w:type="dxa"/>
          </w:tcPr>
          <w:p w:rsidR="004F7545" w:rsidRPr="00D6018D" w:rsidRDefault="004F7545" w:rsidP="005E39E2">
            <w:pPr>
              <w:spacing w:beforeLines="50" w:afterLines="50" w:line="240" w:lineRule="auto"/>
              <w:rPr>
                <w:b/>
                <w:iCs/>
                <w:sz w:val="20"/>
                <w:szCs w:val="20"/>
              </w:rPr>
            </w:pPr>
            <w:r w:rsidRPr="00D6018D">
              <w:rPr>
                <w:b/>
                <w:iCs/>
                <w:sz w:val="20"/>
                <w:szCs w:val="20"/>
              </w:rPr>
              <w:t>Basic and diluted earnings per share (US$)</w:t>
            </w:r>
          </w:p>
        </w:tc>
        <w:tc>
          <w:tcPr>
            <w:tcW w:w="1829" w:type="dxa"/>
          </w:tcPr>
          <w:p w:rsidR="004F7545" w:rsidRPr="00A96CDD" w:rsidRDefault="004F7545" w:rsidP="005E39E2">
            <w:pPr>
              <w:spacing w:beforeLines="50" w:afterLines="50"/>
              <w:jc w:val="center"/>
              <w:rPr>
                <w:sz w:val="20"/>
                <w:szCs w:val="20"/>
              </w:rPr>
            </w:pPr>
            <w:r>
              <w:rPr>
                <w:sz w:val="20"/>
                <w:szCs w:val="20"/>
              </w:rPr>
              <w:t>0.067</w:t>
            </w:r>
          </w:p>
        </w:tc>
        <w:tc>
          <w:tcPr>
            <w:tcW w:w="1829" w:type="dxa"/>
          </w:tcPr>
          <w:p w:rsidR="004F7545" w:rsidRPr="00A96CDD" w:rsidRDefault="004F7545" w:rsidP="005E39E2">
            <w:pPr>
              <w:spacing w:beforeLines="50" w:afterLines="50"/>
              <w:jc w:val="center"/>
              <w:rPr>
                <w:sz w:val="20"/>
                <w:szCs w:val="20"/>
              </w:rPr>
            </w:pPr>
            <w:r w:rsidRPr="00A96CDD">
              <w:rPr>
                <w:sz w:val="20"/>
                <w:szCs w:val="20"/>
              </w:rPr>
              <w:t>0.069</w:t>
            </w:r>
          </w:p>
        </w:tc>
        <w:tc>
          <w:tcPr>
            <w:tcW w:w="1829" w:type="dxa"/>
          </w:tcPr>
          <w:p w:rsidR="004F7545" w:rsidRPr="00A96CDD" w:rsidRDefault="004F7545" w:rsidP="005E39E2">
            <w:pPr>
              <w:spacing w:beforeLines="50" w:afterLines="50"/>
              <w:jc w:val="center"/>
              <w:rPr>
                <w:sz w:val="20"/>
                <w:szCs w:val="20"/>
              </w:rPr>
            </w:pPr>
            <w:r>
              <w:rPr>
                <w:sz w:val="20"/>
                <w:szCs w:val="20"/>
              </w:rPr>
              <w:t>(2.9)%</w:t>
            </w:r>
          </w:p>
        </w:tc>
        <w:tc>
          <w:tcPr>
            <w:tcW w:w="1829" w:type="dxa"/>
          </w:tcPr>
          <w:p w:rsidR="004F7545" w:rsidRPr="005C75B1" w:rsidRDefault="004F7545" w:rsidP="005E39E2">
            <w:pPr>
              <w:spacing w:beforeLines="50" w:afterLines="50" w:line="240" w:lineRule="auto"/>
              <w:jc w:val="center"/>
              <w:rPr>
                <w:rFonts w:ascii="Tahoma" w:hAnsi="Tahoma" w:cs="Tahoma"/>
                <w:i/>
                <w:iCs/>
                <w:color w:val="404040"/>
                <w:sz w:val="20"/>
                <w:szCs w:val="20"/>
              </w:rPr>
            </w:pPr>
            <w:r>
              <w:rPr>
                <w:sz w:val="20"/>
                <w:szCs w:val="20"/>
              </w:rPr>
              <w:t>8.6%</w:t>
            </w:r>
          </w:p>
        </w:tc>
      </w:tr>
      <w:tr w:rsidR="004F7545" w:rsidRPr="00D6018D" w:rsidTr="001555ED">
        <w:trPr>
          <w:trHeight w:val="20"/>
        </w:trPr>
        <w:tc>
          <w:tcPr>
            <w:tcW w:w="2538" w:type="dxa"/>
          </w:tcPr>
          <w:p w:rsidR="004F7545" w:rsidRPr="00D6018D" w:rsidRDefault="004F7545" w:rsidP="005E39E2">
            <w:pPr>
              <w:spacing w:beforeLines="50" w:afterLines="50"/>
              <w:rPr>
                <w:b/>
                <w:sz w:val="20"/>
                <w:szCs w:val="20"/>
              </w:rPr>
            </w:pPr>
            <w:r w:rsidRPr="00D6018D">
              <w:rPr>
                <w:b/>
                <w:sz w:val="20"/>
                <w:szCs w:val="20"/>
              </w:rPr>
              <w:t>Adjusted basic and diluted earnings per share</w:t>
            </w:r>
            <w:r>
              <w:rPr>
                <w:rStyle w:val="FootnoteReference"/>
                <w:b/>
                <w:sz w:val="20"/>
                <w:szCs w:val="20"/>
              </w:rPr>
              <w:t>5</w:t>
            </w:r>
            <w:r w:rsidRPr="00D6018D">
              <w:rPr>
                <w:b/>
                <w:sz w:val="20"/>
                <w:szCs w:val="20"/>
              </w:rPr>
              <w:t xml:space="preserve"> (US$)</w:t>
            </w:r>
          </w:p>
        </w:tc>
        <w:tc>
          <w:tcPr>
            <w:tcW w:w="1829" w:type="dxa"/>
          </w:tcPr>
          <w:p w:rsidR="004F7545" w:rsidRPr="00A96CDD" w:rsidRDefault="004F7545" w:rsidP="005E39E2">
            <w:pPr>
              <w:spacing w:beforeLines="50" w:afterLines="50"/>
              <w:jc w:val="center"/>
              <w:rPr>
                <w:sz w:val="20"/>
                <w:szCs w:val="20"/>
              </w:rPr>
            </w:pPr>
            <w:r>
              <w:rPr>
                <w:sz w:val="20"/>
                <w:szCs w:val="20"/>
              </w:rPr>
              <w:t>0.072</w:t>
            </w:r>
          </w:p>
        </w:tc>
        <w:tc>
          <w:tcPr>
            <w:tcW w:w="1829" w:type="dxa"/>
          </w:tcPr>
          <w:p w:rsidR="004F7545" w:rsidRPr="00A96CDD" w:rsidRDefault="004F7545" w:rsidP="005E39E2">
            <w:pPr>
              <w:spacing w:beforeLines="50" w:afterLines="50"/>
              <w:jc w:val="center"/>
              <w:rPr>
                <w:sz w:val="20"/>
                <w:szCs w:val="20"/>
              </w:rPr>
            </w:pPr>
            <w:r w:rsidRPr="00B86D96">
              <w:rPr>
                <w:sz w:val="20"/>
                <w:szCs w:val="20"/>
              </w:rPr>
              <w:t>0.0</w:t>
            </w:r>
            <w:r>
              <w:rPr>
                <w:sz w:val="20"/>
                <w:szCs w:val="20"/>
              </w:rPr>
              <w:t>75</w:t>
            </w:r>
          </w:p>
        </w:tc>
        <w:tc>
          <w:tcPr>
            <w:tcW w:w="1829" w:type="dxa"/>
          </w:tcPr>
          <w:p w:rsidR="004F7545" w:rsidRPr="00A96CDD" w:rsidRDefault="004F7545" w:rsidP="005E39E2">
            <w:pPr>
              <w:spacing w:beforeLines="50" w:afterLines="50"/>
              <w:jc w:val="center"/>
              <w:rPr>
                <w:sz w:val="20"/>
                <w:szCs w:val="20"/>
              </w:rPr>
            </w:pPr>
            <w:r>
              <w:rPr>
                <w:sz w:val="20"/>
                <w:szCs w:val="20"/>
              </w:rPr>
              <w:t>(4.0)%</w:t>
            </w:r>
          </w:p>
        </w:tc>
        <w:tc>
          <w:tcPr>
            <w:tcW w:w="1829" w:type="dxa"/>
          </w:tcPr>
          <w:p w:rsidR="004F7545" w:rsidRPr="005C75B1" w:rsidRDefault="004F7545" w:rsidP="005E39E2">
            <w:pPr>
              <w:spacing w:beforeLines="50" w:afterLines="50" w:line="240" w:lineRule="auto"/>
              <w:jc w:val="center"/>
              <w:rPr>
                <w:rFonts w:ascii="Tahoma" w:hAnsi="Tahoma" w:cs="Tahoma"/>
                <w:i/>
                <w:iCs/>
                <w:color w:val="404040"/>
                <w:sz w:val="20"/>
                <w:szCs w:val="20"/>
              </w:rPr>
            </w:pPr>
            <w:r>
              <w:rPr>
                <w:sz w:val="20"/>
                <w:szCs w:val="20"/>
              </w:rPr>
              <w:t>7.3%</w:t>
            </w:r>
          </w:p>
        </w:tc>
      </w:tr>
    </w:tbl>
    <w:p w:rsidR="004F7545" w:rsidRDefault="004F7545" w:rsidP="00DA5CDC">
      <w:pPr>
        <w:spacing w:after="0"/>
        <w:jc w:val="both"/>
        <w:rPr>
          <w:b/>
          <w:i/>
        </w:rPr>
      </w:pPr>
    </w:p>
    <w:p w:rsidR="004F7545" w:rsidRPr="00DB0587" w:rsidRDefault="004F7545" w:rsidP="00DA5CDC">
      <w:pPr>
        <w:spacing w:after="0"/>
        <w:jc w:val="both"/>
        <w:rPr>
          <w:b/>
          <w:i/>
        </w:rPr>
      </w:pPr>
      <w:r w:rsidRPr="00DB0587">
        <w:rPr>
          <w:b/>
          <w:i/>
        </w:rPr>
        <w:t>Net Sales by Brand</w:t>
      </w:r>
    </w:p>
    <w:p w:rsidR="004F7545" w:rsidRDefault="004F7545" w:rsidP="002004A1">
      <w:pPr>
        <w:spacing w:after="0"/>
        <w:jc w:val="both"/>
      </w:pPr>
      <w:r>
        <w:t>Net sales of the Group</w:t>
      </w:r>
      <w:r w:rsidRPr="00DB0587">
        <w:t xml:space="preserve">’s </w:t>
      </w:r>
      <w:r>
        <w:t>flagship</w:t>
      </w:r>
      <w:r w:rsidRPr="00DB0587">
        <w:t xml:space="preserve"> brand, </w:t>
      </w:r>
      <w:r w:rsidRPr="00EC7C9A">
        <w:rPr>
          <w:i/>
        </w:rPr>
        <w:t>Samsonite</w:t>
      </w:r>
      <w:r w:rsidRPr="00DB0587">
        <w:t>, increas</w:t>
      </w:r>
      <w:r>
        <w:t>ed</w:t>
      </w:r>
      <w:r w:rsidRPr="00DB0587">
        <w:t xml:space="preserve"> by </w:t>
      </w:r>
      <w:r>
        <w:t>7.5</w:t>
      </w:r>
      <w:r w:rsidRPr="00DB0587">
        <w:t>%</w:t>
      </w:r>
      <w:r>
        <w:rPr>
          <w:rStyle w:val="FootnoteReference"/>
        </w:rPr>
        <w:footnoteReference w:id="7"/>
      </w:r>
      <w:r w:rsidRPr="00DB0587">
        <w:t xml:space="preserve"> </w:t>
      </w:r>
      <w:r>
        <w:t xml:space="preserve">year-on-year </w:t>
      </w:r>
      <w:r w:rsidRPr="00DB0587">
        <w:t>to</w:t>
      </w:r>
      <w:r>
        <w:t xml:space="preserve"> </w:t>
      </w:r>
      <w:r w:rsidRPr="005C75B1">
        <w:t>US$</w:t>
      </w:r>
      <w:r>
        <w:t>736.3</w:t>
      </w:r>
      <w:r w:rsidRPr="005C75B1">
        <w:t xml:space="preserve"> million</w:t>
      </w:r>
      <w:r w:rsidRPr="00DB0587">
        <w:t xml:space="preserve">, accounting for </w:t>
      </w:r>
      <w:r>
        <w:t>61.5</w:t>
      </w:r>
      <w:r w:rsidRPr="00DB0587">
        <w:t xml:space="preserve">% of the </w:t>
      </w:r>
      <w:r>
        <w:t>Group</w:t>
      </w:r>
      <w:r w:rsidRPr="00DB0587">
        <w:t xml:space="preserve">’s </w:t>
      </w:r>
      <w:r>
        <w:t xml:space="preserve">total US Dollar Reported </w:t>
      </w:r>
      <w:r w:rsidRPr="00DB0587">
        <w:t>net sales</w:t>
      </w:r>
      <w:r>
        <w:t xml:space="preserve">. That </w:t>
      </w:r>
      <w:r>
        <w:rPr>
          <w:iCs/>
        </w:rPr>
        <w:t xml:space="preserve">compared to </w:t>
      </w:r>
      <w:r>
        <w:t>67.3</w:t>
      </w:r>
      <w:r>
        <w:rPr>
          <w:iCs/>
        </w:rPr>
        <w:t>% for the same period in 2014, reflecting continued diversification of the Group’s brand portfolio</w:t>
      </w:r>
      <w:r w:rsidRPr="00DB0587">
        <w:t>.</w:t>
      </w:r>
      <w:r>
        <w:t xml:space="preserve"> </w:t>
      </w:r>
    </w:p>
    <w:p w:rsidR="004F7545" w:rsidRDefault="004F7545" w:rsidP="002004A1">
      <w:pPr>
        <w:spacing w:after="0"/>
        <w:jc w:val="both"/>
      </w:pPr>
    </w:p>
    <w:p w:rsidR="004F7545" w:rsidRDefault="004F7545" w:rsidP="002004A1">
      <w:pPr>
        <w:spacing w:after="0"/>
        <w:jc w:val="both"/>
      </w:pPr>
      <w:r w:rsidRPr="00DB0587">
        <w:t xml:space="preserve">The </w:t>
      </w:r>
      <w:r w:rsidRPr="00EC7C9A">
        <w:rPr>
          <w:i/>
        </w:rPr>
        <w:t>American Tourister</w:t>
      </w:r>
      <w:r>
        <w:rPr>
          <w:i/>
          <w:lang w:eastAsia="zh-TW"/>
        </w:rPr>
        <w:t xml:space="preserve"> </w:t>
      </w:r>
      <w:r w:rsidRPr="007F6CE6">
        <w:rPr>
          <w:lang w:eastAsia="zh-TW"/>
        </w:rPr>
        <w:t>brand</w:t>
      </w:r>
      <w:r w:rsidRPr="00DB0587">
        <w:t xml:space="preserve"> recorded net sales of US$</w:t>
      </w:r>
      <w:r>
        <w:t>263.8</w:t>
      </w:r>
      <w:r w:rsidRPr="00DB0587">
        <w:t xml:space="preserve"> million</w:t>
      </w:r>
      <w:r>
        <w:t>,</w:t>
      </w:r>
      <w:r w:rsidRPr="00DB0587">
        <w:t xml:space="preserve"> an increase of </w:t>
      </w:r>
      <w:r>
        <w:t>18.4%</w:t>
      </w:r>
      <w:r>
        <w:rPr>
          <w:rStyle w:val="FootnoteReference"/>
        </w:rPr>
        <w:t>6</w:t>
      </w:r>
      <w:r>
        <w:t xml:space="preserve"> </w:t>
      </w:r>
      <w:r w:rsidRPr="00DB0587">
        <w:t xml:space="preserve">from </w:t>
      </w:r>
      <w:r>
        <w:t xml:space="preserve">the same period in 2015, with the </w:t>
      </w:r>
      <w:r w:rsidRPr="00DB0587">
        <w:t xml:space="preserve">growth largely driven by </w:t>
      </w:r>
      <w:r>
        <w:t xml:space="preserve">Europe and </w:t>
      </w:r>
      <w:r w:rsidRPr="00DB0587">
        <w:t>Asia</w:t>
      </w:r>
      <w:r>
        <w:t>. The increase in sales for both brands was</w:t>
      </w:r>
      <w:r w:rsidRPr="00DB0587">
        <w:t xml:space="preserve"> attributable to expanded product offerings and further penetration of existing markets, all of which was supported by target</w:t>
      </w:r>
      <w:r>
        <w:t>ed</w:t>
      </w:r>
      <w:r w:rsidRPr="00DB0587">
        <w:t xml:space="preserve"> advertising</w:t>
      </w:r>
      <w:r>
        <w:t xml:space="preserve"> activities</w:t>
      </w:r>
      <w:r w:rsidRPr="00DB0587">
        <w:t>.</w:t>
      </w:r>
      <w:r>
        <w:t xml:space="preserve"> </w:t>
      </w:r>
    </w:p>
    <w:p w:rsidR="004F7545" w:rsidRDefault="004F7545" w:rsidP="00E930A9">
      <w:pPr>
        <w:spacing w:after="0"/>
        <w:jc w:val="both"/>
      </w:pPr>
    </w:p>
    <w:p w:rsidR="004F7545" w:rsidRDefault="004F7545" w:rsidP="00C753F4">
      <w:pPr>
        <w:jc w:val="both"/>
      </w:pPr>
      <w:r>
        <w:t>Samsonite’s investment in</w:t>
      </w:r>
      <w:r w:rsidRPr="00A44B4D">
        <w:t xml:space="preserve"> </w:t>
      </w:r>
      <w:r>
        <w:rPr>
          <w:lang w:val="en-US"/>
        </w:rPr>
        <w:t xml:space="preserve">the </w:t>
      </w:r>
      <w:r w:rsidRPr="00A50550">
        <w:rPr>
          <w:i/>
          <w:lang w:val="en-US"/>
        </w:rPr>
        <w:t>High Sierra</w:t>
      </w:r>
      <w:r w:rsidRPr="00A50550">
        <w:rPr>
          <w:lang w:val="en-US"/>
        </w:rPr>
        <w:t xml:space="preserve"> and </w:t>
      </w:r>
      <w:r w:rsidRPr="00A50550">
        <w:rPr>
          <w:i/>
          <w:lang w:val="en-US"/>
        </w:rPr>
        <w:t>Hartmann</w:t>
      </w:r>
      <w:r w:rsidRPr="00A50550">
        <w:rPr>
          <w:lang w:val="en-US"/>
        </w:rPr>
        <w:t xml:space="preserve"> brands, acquired in the second half of 2012,</w:t>
      </w:r>
      <w:r>
        <w:rPr>
          <w:lang w:val="en-US"/>
        </w:rPr>
        <w:t xml:space="preserve"> is beginning to show its return, with net sales having</w:t>
      </w:r>
      <w:r w:rsidRPr="00A50550">
        <w:rPr>
          <w:lang w:val="en-US"/>
        </w:rPr>
        <w:t xml:space="preserve"> increased by </w:t>
      </w:r>
      <w:r>
        <w:t>5.3</w:t>
      </w:r>
      <w:r w:rsidRPr="00A50550">
        <w:rPr>
          <w:lang w:val="en-US"/>
        </w:rPr>
        <w:t xml:space="preserve">% and </w:t>
      </w:r>
      <w:r>
        <w:t>9.7</w:t>
      </w:r>
      <w:r w:rsidRPr="00A50550">
        <w:rPr>
          <w:lang w:val="en-US"/>
        </w:rPr>
        <w:t>%, respectively, on a constant currency basis</w:t>
      </w:r>
      <w:r>
        <w:rPr>
          <w:lang w:val="en-US"/>
        </w:rPr>
        <w:t>.</w:t>
      </w:r>
      <w:r w:rsidRPr="00A50550">
        <w:rPr>
          <w:lang w:val="en-US"/>
        </w:rPr>
        <w:t xml:space="preserve">  </w:t>
      </w:r>
    </w:p>
    <w:p w:rsidR="004F7545" w:rsidRPr="00860DF6" w:rsidRDefault="004F7545" w:rsidP="00AE68E0">
      <w:pPr>
        <w:spacing w:after="0"/>
        <w:jc w:val="both"/>
        <w:rPr>
          <w:b/>
        </w:rPr>
      </w:pPr>
      <w:r>
        <w:t>Mr. Tainwala said, “</w:t>
      </w:r>
      <w:r w:rsidRPr="00A51989">
        <w:t xml:space="preserve">We continue to execute our strategy of deploying </w:t>
      </w:r>
      <w:r>
        <w:t>multiple</w:t>
      </w:r>
      <w:r w:rsidRPr="00A51989">
        <w:t xml:space="preserve"> brands to target different price points and product categories a</w:t>
      </w:r>
      <w:r>
        <w:t xml:space="preserve">s well as </w:t>
      </w:r>
      <w:r w:rsidRPr="00A51989">
        <w:t xml:space="preserve">adapting our brands and products to suit local market conditions. </w:t>
      </w:r>
      <w:r>
        <w:t>Moreover, the brands we have acquired are beginning to gain traction as we fine tune their product, marketing and channel strategies to expand and compete outside their home markets. We believe this diverse mix of brands and products will contribute significantly to the Group’s future</w:t>
      </w:r>
      <w:r w:rsidRPr="00A51989">
        <w:t xml:space="preserve"> growth </w:t>
      </w:r>
      <w:r>
        <w:t>in net sales and profitability.”</w:t>
      </w:r>
    </w:p>
    <w:p w:rsidR="004F7545" w:rsidRDefault="004F7545" w:rsidP="00970896">
      <w:pPr>
        <w:rPr>
          <w:b/>
        </w:rPr>
      </w:pPr>
    </w:p>
    <w:p w:rsidR="004F7545" w:rsidRDefault="004F7545">
      <w:pPr>
        <w:spacing w:after="0" w:line="240" w:lineRule="auto"/>
        <w:rPr>
          <w:b/>
        </w:rPr>
      </w:pPr>
      <w:r>
        <w:rPr>
          <w:b/>
        </w:rPr>
        <w:br w:type="page"/>
      </w:r>
    </w:p>
    <w:p w:rsidR="004F7545" w:rsidRPr="00DB0587" w:rsidRDefault="004F7545" w:rsidP="00970896">
      <w:pPr>
        <w:rPr>
          <w:b/>
        </w:rPr>
      </w:pPr>
      <w:r w:rsidRPr="00DB0587">
        <w:rPr>
          <w:b/>
        </w:rPr>
        <w:t xml:space="preserve">Table </w:t>
      </w:r>
      <w:r w:rsidRPr="00DB0587">
        <w:rPr>
          <w:b/>
          <w:lang w:eastAsia="zh-HK"/>
        </w:rPr>
        <w:t>2</w:t>
      </w:r>
      <w:r w:rsidRPr="00DB0587">
        <w:rPr>
          <w:b/>
        </w:rPr>
        <w:t>: Net Sales by Brand</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34"/>
        <w:gridCol w:w="1824"/>
        <w:gridCol w:w="1824"/>
        <w:gridCol w:w="1953"/>
        <w:gridCol w:w="2316"/>
      </w:tblGrid>
      <w:tr w:rsidR="004F7545" w:rsidRPr="00D6018D" w:rsidTr="00EC7C9A">
        <w:trPr>
          <w:trHeight w:val="1137"/>
        </w:trPr>
        <w:tc>
          <w:tcPr>
            <w:tcW w:w="0" w:type="auto"/>
          </w:tcPr>
          <w:p w:rsidR="004F7545" w:rsidRPr="00D6018D" w:rsidRDefault="004F7545" w:rsidP="004A56D1">
            <w:pPr>
              <w:spacing w:after="0" w:line="240" w:lineRule="auto"/>
              <w:jc w:val="both"/>
              <w:rPr>
                <w:b/>
                <w:sz w:val="20"/>
                <w:szCs w:val="20"/>
              </w:rPr>
            </w:pPr>
            <w:r w:rsidRPr="00D6018D">
              <w:rPr>
                <w:b/>
                <w:sz w:val="20"/>
                <w:szCs w:val="20"/>
              </w:rPr>
              <w:t>Brand</w:t>
            </w:r>
          </w:p>
        </w:tc>
        <w:tc>
          <w:tcPr>
            <w:tcW w:w="0" w:type="auto"/>
          </w:tcPr>
          <w:p w:rsidR="004F7545" w:rsidRPr="00D6018D" w:rsidRDefault="004F7545" w:rsidP="00D6018D">
            <w:pPr>
              <w:spacing w:after="0" w:line="240" w:lineRule="auto"/>
              <w:jc w:val="center"/>
              <w:rPr>
                <w:b/>
                <w:sz w:val="20"/>
                <w:szCs w:val="20"/>
              </w:rPr>
            </w:pPr>
            <w:r>
              <w:rPr>
                <w:b/>
                <w:sz w:val="20"/>
                <w:szCs w:val="20"/>
              </w:rPr>
              <w:t>Six months</w:t>
            </w:r>
            <w:r w:rsidRPr="00D6018D">
              <w:rPr>
                <w:b/>
                <w:sz w:val="20"/>
                <w:szCs w:val="20"/>
              </w:rPr>
              <w:t xml:space="preserve"> ended</w:t>
            </w:r>
          </w:p>
          <w:p w:rsidR="004F7545" w:rsidRPr="00D6018D" w:rsidRDefault="004F7545" w:rsidP="00D6018D">
            <w:pPr>
              <w:spacing w:after="0" w:line="240" w:lineRule="auto"/>
              <w:jc w:val="center"/>
              <w:rPr>
                <w:b/>
                <w:sz w:val="20"/>
                <w:szCs w:val="20"/>
              </w:rPr>
            </w:pPr>
            <w:r>
              <w:rPr>
                <w:b/>
                <w:sz w:val="20"/>
                <w:szCs w:val="20"/>
              </w:rPr>
              <w:t>June 30, 2015</w:t>
            </w:r>
          </w:p>
          <w:p w:rsidR="004F7545" w:rsidRPr="00D6018D" w:rsidRDefault="004F7545" w:rsidP="00163039">
            <w:pPr>
              <w:spacing w:after="0" w:line="240" w:lineRule="auto"/>
              <w:jc w:val="center"/>
              <w:rPr>
                <w:b/>
                <w:sz w:val="20"/>
                <w:szCs w:val="20"/>
                <w:lang w:eastAsia="zh-HK"/>
              </w:rPr>
            </w:pPr>
            <w:r w:rsidRPr="00D6018D">
              <w:rPr>
                <w:b/>
                <w:sz w:val="20"/>
                <w:szCs w:val="20"/>
              </w:rPr>
              <w:t>US$</w:t>
            </w:r>
            <w:r>
              <w:rPr>
                <w:b/>
                <w:sz w:val="20"/>
                <w:szCs w:val="20"/>
              </w:rPr>
              <w:t xml:space="preserve"> millions</w:t>
            </w:r>
          </w:p>
        </w:tc>
        <w:tc>
          <w:tcPr>
            <w:tcW w:w="0" w:type="auto"/>
          </w:tcPr>
          <w:p w:rsidR="004F7545" w:rsidRPr="00D6018D" w:rsidRDefault="004F7545" w:rsidP="00D6018D">
            <w:pPr>
              <w:spacing w:after="0" w:line="240" w:lineRule="auto"/>
              <w:jc w:val="center"/>
              <w:rPr>
                <w:b/>
                <w:sz w:val="20"/>
                <w:szCs w:val="20"/>
              </w:rPr>
            </w:pPr>
            <w:r>
              <w:rPr>
                <w:b/>
                <w:sz w:val="20"/>
                <w:szCs w:val="20"/>
              </w:rPr>
              <w:t>Six months</w:t>
            </w:r>
            <w:r w:rsidRPr="00D6018D">
              <w:rPr>
                <w:b/>
                <w:sz w:val="20"/>
                <w:szCs w:val="20"/>
              </w:rPr>
              <w:t xml:space="preserve"> ended</w:t>
            </w:r>
          </w:p>
          <w:p w:rsidR="004F7545" w:rsidRPr="00D6018D" w:rsidRDefault="004F7545" w:rsidP="00D6018D">
            <w:pPr>
              <w:spacing w:after="0" w:line="240" w:lineRule="auto"/>
              <w:jc w:val="center"/>
              <w:rPr>
                <w:b/>
                <w:sz w:val="20"/>
                <w:szCs w:val="20"/>
              </w:rPr>
            </w:pPr>
            <w:r>
              <w:rPr>
                <w:b/>
                <w:sz w:val="20"/>
                <w:szCs w:val="20"/>
              </w:rPr>
              <w:t>June 30, 2014</w:t>
            </w:r>
          </w:p>
          <w:p w:rsidR="004F7545" w:rsidRPr="00D6018D" w:rsidRDefault="004F7545" w:rsidP="00163039">
            <w:pPr>
              <w:spacing w:after="0" w:line="240" w:lineRule="auto"/>
              <w:jc w:val="center"/>
              <w:rPr>
                <w:b/>
                <w:sz w:val="20"/>
                <w:szCs w:val="20"/>
              </w:rPr>
            </w:pPr>
            <w:r w:rsidRPr="00D6018D">
              <w:rPr>
                <w:b/>
                <w:sz w:val="20"/>
                <w:szCs w:val="20"/>
              </w:rPr>
              <w:t>US$</w:t>
            </w:r>
            <w:r>
              <w:rPr>
                <w:b/>
                <w:sz w:val="20"/>
                <w:szCs w:val="20"/>
              </w:rPr>
              <w:t xml:space="preserve"> millions</w:t>
            </w:r>
          </w:p>
        </w:tc>
        <w:tc>
          <w:tcPr>
            <w:tcW w:w="0" w:type="auto"/>
          </w:tcPr>
          <w:p w:rsidR="004F7545" w:rsidRDefault="004F7545" w:rsidP="00D6018D">
            <w:pPr>
              <w:spacing w:after="0" w:line="240" w:lineRule="auto"/>
              <w:jc w:val="center"/>
              <w:rPr>
                <w:b/>
                <w:sz w:val="20"/>
                <w:szCs w:val="20"/>
              </w:rPr>
            </w:pPr>
            <w:r w:rsidRPr="00D6018D">
              <w:rPr>
                <w:b/>
                <w:sz w:val="20"/>
                <w:szCs w:val="20"/>
              </w:rPr>
              <w:t xml:space="preserve">Percentage </w:t>
            </w:r>
          </w:p>
          <w:p w:rsidR="004F7545" w:rsidRPr="00D6018D" w:rsidRDefault="004F7545" w:rsidP="00D6018D">
            <w:pPr>
              <w:spacing w:after="0" w:line="240" w:lineRule="auto"/>
              <w:jc w:val="center"/>
              <w:rPr>
                <w:b/>
                <w:sz w:val="20"/>
                <w:szCs w:val="20"/>
              </w:rPr>
            </w:pPr>
            <w:r>
              <w:rPr>
                <w:b/>
                <w:sz w:val="20"/>
                <w:szCs w:val="20"/>
              </w:rPr>
              <w:t>increase (decrease)</w:t>
            </w:r>
          </w:p>
          <w:p w:rsidR="004F7545" w:rsidRPr="00D6018D" w:rsidRDefault="004F7545" w:rsidP="00347B39">
            <w:pPr>
              <w:spacing w:after="0" w:line="240" w:lineRule="auto"/>
              <w:jc w:val="center"/>
              <w:rPr>
                <w:b/>
                <w:sz w:val="20"/>
                <w:szCs w:val="20"/>
              </w:rPr>
            </w:pPr>
            <w:r>
              <w:rPr>
                <w:b/>
                <w:sz w:val="20"/>
                <w:szCs w:val="20"/>
              </w:rPr>
              <w:t>2015</w:t>
            </w:r>
            <w:r w:rsidRPr="00D6018D">
              <w:rPr>
                <w:b/>
                <w:sz w:val="20"/>
                <w:szCs w:val="20"/>
              </w:rPr>
              <w:t xml:space="preserve"> vs. </w:t>
            </w:r>
            <w:r>
              <w:rPr>
                <w:b/>
                <w:sz w:val="20"/>
                <w:szCs w:val="20"/>
              </w:rPr>
              <w:t>2014</w:t>
            </w:r>
          </w:p>
        </w:tc>
        <w:tc>
          <w:tcPr>
            <w:tcW w:w="2316" w:type="dxa"/>
          </w:tcPr>
          <w:p w:rsidR="004F7545" w:rsidRDefault="004F7545" w:rsidP="004D7E3F">
            <w:pPr>
              <w:spacing w:after="0" w:line="240" w:lineRule="auto"/>
              <w:jc w:val="center"/>
              <w:rPr>
                <w:b/>
                <w:sz w:val="20"/>
                <w:szCs w:val="20"/>
              </w:rPr>
            </w:pPr>
            <w:r w:rsidRPr="00D6018D">
              <w:rPr>
                <w:b/>
                <w:sz w:val="20"/>
                <w:szCs w:val="20"/>
              </w:rPr>
              <w:t xml:space="preserve">Percentage </w:t>
            </w:r>
          </w:p>
          <w:p w:rsidR="004F7545" w:rsidRPr="00D6018D" w:rsidRDefault="004F7545" w:rsidP="004D7E3F">
            <w:pPr>
              <w:spacing w:after="0" w:line="240" w:lineRule="auto"/>
              <w:jc w:val="center"/>
              <w:rPr>
                <w:b/>
                <w:sz w:val="20"/>
                <w:szCs w:val="20"/>
              </w:rPr>
            </w:pPr>
            <w:r>
              <w:rPr>
                <w:b/>
                <w:sz w:val="20"/>
                <w:szCs w:val="20"/>
              </w:rPr>
              <w:t>increase (decrease)</w:t>
            </w:r>
          </w:p>
          <w:p w:rsidR="004F7545" w:rsidRPr="00D6018D" w:rsidRDefault="004F7545" w:rsidP="004D7E3F">
            <w:pPr>
              <w:spacing w:after="0" w:line="240" w:lineRule="auto"/>
              <w:jc w:val="center"/>
              <w:rPr>
                <w:b/>
                <w:sz w:val="20"/>
                <w:szCs w:val="20"/>
              </w:rPr>
            </w:pPr>
            <w:r>
              <w:rPr>
                <w:b/>
                <w:sz w:val="20"/>
                <w:szCs w:val="20"/>
              </w:rPr>
              <w:t>2015</w:t>
            </w:r>
            <w:r w:rsidRPr="00D6018D">
              <w:rPr>
                <w:b/>
                <w:sz w:val="20"/>
                <w:szCs w:val="20"/>
              </w:rPr>
              <w:t xml:space="preserve"> vs. </w:t>
            </w:r>
            <w:r>
              <w:rPr>
                <w:b/>
                <w:sz w:val="20"/>
                <w:szCs w:val="20"/>
              </w:rPr>
              <w:t>2014</w:t>
            </w:r>
          </w:p>
          <w:p w:rsidR="004F7545" w:rsidRPr="00D6018D" w:rsidRDefault="004F7545" w:rsidP="004D7E3F">
            <w:pPr>
              <w:spacing w:after="0" w:line="240" w:lineRule="auto"/>
              <w:jc w:val="center"/>
              <w:rPr>
                <w:b/>
                <w:sz w:val="20"/>
                <w:szCs w:val="20"/>
              </w:rPr>
            </w:pPr>
            <w:r>
              <w:rPr>
                <w:b/>
                <w:sz w:val="20"/>
                <w:szCs w:val="20"/>
              </w:rPr>
              <w:t>e</w:t>
            </w:r>
            <w:r w:rsidRPr="00D6018D">
              <w:rPr>
                <w:b/>
                <w:sz w:val="20"/>
                <w:szCs w:val="20"/>
              </w:rPr>
              <w:t xml:space="preserve">xcl. </w:t>
            </w:r>
            <w:r>
              <w:rPr>
                <w:b/>
                <w:sz w:val="20"/>
                <w:szCs w:val="20"/>
              </w:rPr>
              <w:t>f</w:t>
            </w:r>
            <w:r w:rsidRPr="00D6018D">
              <w:rPr>
                <w:b/>
                <w:sz w:val="20"/>
                <w:szCs w:val="20"/>
              </w:rPr>
              <w:t>oreign</w:t>
            </w:r>
          </w:p>
          <w:p w:rsidR="004F7545" w:rsidRPr="00D6018D" w:rsidRDefault="004F7545" w:rsidP="004D7E3F">
            <w:pPr>
              <w:spacing w:after="0" w:line="240" w:lineRule="auto"/>
              <w:jc w:val="center"/>
              <w:rPr>
                <w:b/>
                <w:sz w:val="20"/>
                <w:szCs w:val="20"/>
              </w:rPr>
            </w:pPr>
            <w:r>
              <w:rPr>
                <w:b/>
                <w:sz w:val="20"/>
                <w:szCs w:val="20"/>
              </w:rPr>
              <w:t>c</w:t>
            </w:r>
            <w:r w:rsidRPr="00D6018D">
              <w:rPr>
                <w:b/>
                <w:sz w:val="20"/>
                <w:szCs w:val="20"/>
              </w:rPr>
              <w:t xml:space="preserve">urrency </w:t>
            </w:r>
            <w:r>
              <w:rPr>
                <w:b/>
                <w:sz w:val="20"/>
                <w:szCs w:val="20"/>
              </w:rPr>
              <w:t>e</w:t>
            </w:r>
            <w:r w:rsidRPr="00D6018D">
              <w:rPr>
                <w:b/>
                <w:sz w:val="20"/>
                <w:szCs w:val="20"/>
              </w:rPr>
              <w:t>ffects</w:t>
            </w:r>
          </w:p>
          <w:p w:rsidR="004F7545" w:rsidRPr="00D6018D" w:rsidRDefault="004F7545" w:rsidP="00D6018D">
            <w:pPr>
              <w:spacing w:after="0" w:line="240" w:lineRule="auto"/>
              <w:rPr>
                <w:b/>
                <w:sz w:val="20"/>
                <w:szCs w:val="20"/>
                <w:lang w:eastAsia="zh-TW"/>
              </w:rPr>
            </w:pPr>
          </w:p>
        </w:tc>
      </w:tr>
      <w:tr w:rsidR="004F7545" w:rsidRPr="004D7E3F" w:rsidTr="00EC7C9A">
        <w:trPr>
          <w:trHeight w:val="494"/>
        </w:trPr>
        <w:tc>
          <w:tcPr>
            <w:tcW w:w="0" w:type="auto"/>
          </w:tcPr>
          <w:p w:rsidR="004F7545" w:rsidRPr="004A256C" w:rsidRDefault="004F7545" w:rsidP="005E39E2">
            <w:pPr>
              <w:spacing w:beforeLines="50" w:afterLines="50" w:line="240" w:lineRule="auto"/>
              <w:rPr>
                <w:b/>
                <w:i/>
                <w:sz w:val="20"/>
                <w:szCs w:val="20"/>
              </w:rPr>
            </w:pPr>
            <w:r w:rsidRPr="004A256C">
              <w:rPr>
                <w:b/>
                <w:i/>
                <w:sz w:val="20"/>
                <w:szCs w:val="20"/>
              </w:rPr>
              <w:t>Samsonite</w:t>
            </w:r>
          </w:p>
        </w:tc>
        <w:tc>
          <w:tcPr>
            <w:tcW w:w="0" w:type="auto"/>
          </w:tcPr>
          <w:p w:rsidR="004F7545" w:rsidRPr="008C3097" w:rsidRDefault="004F7545" w:rsidP="005E39E2">
            <w:pPr>
              <w:spacing w:beforeLines="50" w:afterLines="50" w:line="240" w:lineRule="auto"/>
              <w:jc w:val="center"/>
              <w:rPr>
                <w:rStyle w:val="TableBoldColor"/>
                <w:rFonts w:ascii="Calibri" w:cs="Calibri"/>
                <w:color w:val="auto"/>
                <w:sz w:val="20"/>
                <w:szCs w:val="20"/>
              </w:rPr>
            </w:pPr>
            <w:r>
              <w:rPr>
                <w:sz w:val="20"/>
                <w:szCs w:val="20"/>
              </w:rPr>
              <w:t>736.3</w:t>
            </w:r>
          </w:p>
        </w:tc>
        <w:tc>
          <w:tcPr>
            <w:tcW w:w="0" w:type="auto"/>
          </w:tcPr>
          <w:p w:rsidR="004F7545" w:rsidRPr="008C3097" w:rsidRDefault="004F7545" w:rsidP="005E39E2">
            <w:pPr>
              <w:spacing w:beforeLines="50" w:afterLines="50" w:line="240" w:lineRule="auto"/>
              <w:jc w:val="center"/>
              <w:rPr>
                <w:rStyle w:val="TableBoldColor"/>
                <w:rFonts w:ascii="Calibri" w:cs="Calibri"/>
                <w:color w:val="auto"/>
                <w:sz w:val="20"/>
                <w:szCs w:val="20"/>
              </w:rPr>
            </w:pPr>
            <w:r>
              <w:rPr>
                <w:rFonts w:cs="Calibri"/>
                <w:sz w:val="20"/>
                <w:szCs w:val="20"/>
              </w:rPr>
              <w:t>743.7</w:t>
            </w:r>
          </w:p>
        </w:tc>
        <w:tc>
          <w:tcPr>
            <w:tcW w:w="0" w:type="auto"/>
            <w:vAlign w:val="center"/>
          </w:tcPr>
          <w:p w:rsidR="004F7545" w:rsidRPr="002A3080" w:rsidRDefault="004F7545" w:rsidP="005E39E2">
            <w:pPr>
              <w:spacing w:beforeLines="50" w:afterLines="50" w:line="240" w:lineRule="auto"/>
              <w:jc w:val="center"/>
              <w:rPr>
                <w:sz w:val="20"/>
                <w:szCs w:val="20"/>
              </w:rPr>
            </w:pPr>
            <w:r>
              <w:rPr>
                <w:sz w:val="20"/>
                <w:szCs w:val="20"/>
              </w:rPr>
              <w:t>(1.0)%</w:t>
            </w:r>
          </w:p>
        </w:tc>
        <w:tc>
          <w:tcPr>
            <w:tcW w:w="2316" w:type="dxa"/>
            <w:vAlign w:val="center"/>
          </w:tcPr>
          <w:p w:rsidR="004F7545" w:rsidRPr="002A3080" w:rsidRDefault="004F7545" w:rsidP="005E39E2">
            <w:pPr>
              <w:spacing w:beforeLines="50" w:afterLines="50" w:line="240" w:lineRule="auto"/>
              <w:jc w:val="center"/>
              <w:rPr>
                <w:sz w:val="20"/>
                <w:szCs w:val="20"/>
              </w:rPr>
            </w:pPr>
            <w:r>
              <w:rPr>
                <w:sz w:val="20"/>
                <w:szCs w:val="20"/>
              </w:rPr>
              <w:t>7.5%</w:t>
            </w:r>
          </w:p>
        </w:tc>
      </w:tr>
      <w:tr w:rsidR="004F7545" w:rsidRPr="004D7E3F" w:rsidTr="00EC7C9A">
        <w:trPr>
          <w:trHeight w:val="546"/>
        </w:trPr>
        <w:tc>
          <w:tcPr>
            <w:tcW w:w="0" w:type="auto"/>
          </w:tcPr>
          <w:p w:rsidR="004F7545" w:rsidRPr="004A256C" w:rsidRDefault="004F7545" w:rsidP="005E39E2">
            <w:pPr>
              <w:spacing w:beforeLines="50" w:afterLines="50" w:line="240" w:lineRule="auto"/>
              <w:rPr>
                <w:b/>
                <w:i/>
                <w:sz w:val="20"/>
                <w:szCs w:val="20"/>
              </w:rPr>
            </w:pPr>
            <w:r w:rsidRPr="004A256C">
              <w:rPr>
                <w:b/>
                <w:i/>
                <w:sz w:val="20"/>
                <w:szCs w:val="20"/>
              </w:rPr>
              <w:t>American Tourister</w:t>
            </w:r>
          </w:p>
        </w:tc>
        <w:tc>
          <w:tcPr>
            <w:tcW w:w="0" w:type="auto"/>
          </w:tcPr>
          <w:p w:rsidR="004F7545" w:rsidRPr="008C3097" w:rsidRDefault="004F7545" w:rsidP="005E39E2">
            <w:pPr>
              <w:spacing w:beforeLines="50" w:afterLines="50"/>
              <w:jc w:val="center"/>
              <w:rPr>
                <w:rStyle w:val="TableBoldColor"/>
                <w:rFonts w:ascii="Calibri" w:cs="Calibri"/>
                <w:color w:val="auto"/>
                <w:position w:val="4"/>
                <w:sz w:val="20"/>
                <w:szCs w:val="20"/>
                <w:lang w:eastAsia="zh-TW"/>
              </w:rPr>
            </w:pPr>
            <w:r>
              <w:rPr>
                <w:sz w:val="20"/>
                <w:szCs w:val="20"/>
              </w:rPr>
              <w:t>263.8</w:t>
            </w:r>
          </w:p>
        </w:tc>
        <w:tc>
          <w:tcPr>
            <w:tcW w:w="0" w:type="auto"/>
          </w:tcPr>
          <w:p w:rsidR="004F7545" w:rsidRPr="008C3097" w:rsidRDefault="004F7545" w:rsidP="005E39E2">
            <w:pPr>
              <w:spacing w:beforeLines="50" w:afterLines="50"/>
              <w:jc w:val="center"/>
              <w:rPr>
                <w:rStyle w:val="TableBoldColor"/>
                <w:rFonts w:ascii="Calibri" w:cs="Calibri"/>
                <w:color w:val="auto"/>
                <w:position w:val="4"/>
                <w:sz w:val="20"/>
                <w:szCs w:val="20"/>
                <w:lang w:eastAsia="zh-TW"/>
              </w:rPr>
            </w:pPr>
            <w:r>
              <w:rPr>
                <w:rFonts w:cs="Calibri"/>
                <w:sz w:val="20"/>
                <w:szCs w:val="20"/>
              </w:rPr>
              <w:t>236.3</w:t>
            </w:r>
          </w:p>
        </w:tc>
        <w:tc>
          <w:tcPr>
            <w:tcW w:w="0" w:type="auto"/>
            <w:vAlign w:val="center"/>
          </w:tcPr>
          <w:p w:rsidR="004F7545" w:rsidRPr="002A3080" w:rsidRDefault="004F7545" w:rsidP="005E39E2">
            <w:pPr>
              <w:spacing w:beforeLines="50" w:afterLines="50" w:line="240" w:lineRule="auto"/>
              <w:jc w:val="center"/>
              <w:rPr>
                <w:sz w:val="20"/>
                <w:szCs w:val="20"/>
              </w:rPr>
            </w:pPr>
            <w:r>
              <w:rPr>
                <w:sz w:val="20"/>
                <w:szCs w:val="20"/>
              </w:rPr>
              <w:t>11.6%</w:t>
            </w:r>
          </w:p>
        </w:tc>
        <w:tc>
          <w:tcPr>
            <w:tcW w:w="2316" w:type="dxa"/>
            <w:vAlign w:val="center"/>
          </w:tcPr>
          <w:p w:rsidR="004F7545" w:rsidRPr="002A3080" w:rsidRDefault="004F7545" w:rsidP="005E39E2">
            <w:pPr>
              <w:spacing w:beforeLines="50" w:afterLines="50" w:line="240" w:lineRule="auto"/>
              <w:jc w:val="center"/>
              <w:rPr>
                <w:sz w:val="20"/>
                <w:szCs w:val="20"/>
              </w:rPr>
            </w:pPr>
            <w:r>
              <w:rPr>
                <w:sz w:val="20"/>
                <w:szCs w:val="20"/>
              </w:rPr>
              <w:t>18.4%</w:t>
            </w:r>
          </w:p>
        </w:tc>
      </w:tr>
      <w:tr w:rsidR="004F7545" w:rsidRPr="004D7E3F" w:rsidTr="00EC7C9A">
        <w:trPr>
          <w:trHeight w:val="494"/>
        </w:trPr>
        <w:tc>
          <w:tcPr>
            <w:tcW w:w="0" w:type="auto"/>
          </w:tcPr>
          <w:p w:rsidR="004F7545" w:rsidRPr="004A256C" w:rsidRDefault="004F7545" w:rsidP="005E39E2">
            <w:pPr>
              <w:spacing w:beforeLines="50" w:afterLines="50" w:line="240" w:lineRule="auto"/>
              <w:rPr>
                <w:b/>
                <w:i/>
                <w:sz w:val="20"/>
                <w:szCs w:val="20"/>
              </w:rPr>
            </w:pPr>
            <w:r w:rsidRPr="004A256C">
              <w:rPr>
                <w:b/>
                <w:i/>
                <w:sz w:val="20"/>
                <w:szCs w:val="20"/>
              </w:rPr>
              <w:t>High Sierra</w:t>
            </w:r>
          </w:p>
        </w:tc>
        <w:tc>
          <w:tcPr>
            <w:tcW w:w="0" w:type="auto"/>
          </w:tcPr>
          <w:p w:rsidR="004F7545" w:rsidRPr="008C3097" w:rsidRDefault="004F7545" w:rsidP="005E39E2">
            <w:pPr>
              <w:spacing w:beforeLines="50" w:afterLines="50" w:line="240" w:lineRule="auto"/>
              <w:jc w:val="center"/>
              <w:rPr>
                <w:rStyle w:val="TableBoldColor"/>
                <w:rFonts w:ascii="Calibri" w:cs="Calibri"/>
                <w:color w:val="auto"/>
                <w:position w:val="4"/>
                <w:sz w:val="20"/>
                <w:szCs w:val="20"/>
                <w:lang w:eastAsia="zh-TW"/>
              </w:rPr>
            </w:pPr>
            <w:r>
              <w:rPr>
                <w:sz w:val="20"/>
                <w:szCs w:val="20"/>
              </w:rPr>
              <w:t>54.4</w:t>
            </w:r>
          </w:p>
        </w:tc>
        <w:tc>
          <w:tcPr>
            <w:tcW w:w="0" w:type="auto"/>
          </w:tcPr>
          <w:p w:rsidR="004F7545" w:rsidRPr="008C3097" w:rsidRDefault="004F7545" w:rsidP="005E39E2">
            <w:pPr>
              <w:spacing w:beforeLines="50" w:afterLines="50" w:line="240" w:lineRule="auto"/>
              <w:jc w:val="center"/>
              <w:rPr>
                <w:rStyle w:val="TableBoldColor"/>
                <w:rFonts w:ascii="Calibri" w:cs="Calibri"/>
                <w:color w:val="auto"/>
                <w:position w:val="4"/>
                <w:sz w:val="20"/>
                <w:szCs w:val="20"/>
                <w:lang w:eastAsia="zh-TW"/>
              </w:rPr>
            </w:pPr>
            <w:r>
              <w:rPr>
                <w:rFonts w:cs="Calibri"/>
                <w:sz w:val="20"/>
                <w:szCs w:val="20"/>
              </w:rPr>
              <w:t>52.8</w:t>
            </w:r>
          </w:p>
        </w:tc>
        <w:tc>
          <w:tcPr>
            <w:tcW w:w="0" w:type="auto"/>
            <w:vAlign w:val="center"/>
          </w:tcPr>
          <w:p w:rsidR="004F7545" w:rsidRPr="002A3080" w:rsidRDefault="004F7545" w:rsidP="005E39E2">
            <w:pPr>
              <w:spacing w:beforeLines="50" w:afterLines="50" w:line="240" w:lineRule="auto"/>
              <w:jc w:val="center"/>
              <w:rPr>
                <w:sz w:val="20"/>
                <w:szCs w:val="20"/>
              </w:rPr>
            </w:pPr>
            <w:r>
              <w:rPr>
                <w:sz w:val="20"/>
                <w:szCs w:val="20"/>
              </w:rPr>
              <w:t>3.0%</w:t>
            </w:r>
          </w:p>
        </w:tc>
        <w:tc>
          <w:tcPr>
            <w:tcW w:w="2316" w:type="dxa"/>
            <w:vAlign w:val="center"/>
          </w:tcPr>
          <w:p w:rsidR="004F7545" w:rsidRPr="002A3080" w:rsidRDefault="004F7545" w:rsidP="005E39E2">
            <w:pPr>
              <w:spacing w:beforeLines="50" w:afterLines="50" w:line="240" w:lineRule="auto"/>
              <w:jc w:val="center"/>
              <w:rPr>
                <w:sz w:val="20"/>
                <w:szCs w:val="20"/>
              </w:rPr>
            </w:pPr>
            <w:r>
              <w:rPr>
                <w:sz w:val="20"/>
                <w:szCs w:val="20"/>
              </w:rPr>
              <w:t>5.3%</w:t>
            </w:r>
          </w:p>
        </w:tc>
      </w:tr>
      <w:tr w:rsidR="004F7545" w:rsidRPr="004D7E3F" w:rsidTr="00EC7C9A">
        <w:trPr>
          <w:trHeight w:val="494"/>
        </w:trPr>
        <w:tc>
          <w:tcPr>
            <w:tcW w:w="0" w:type="auto"/>
          </w:tcPr>
          <w:p w:rsidR="004F7545" w:rsidRPr="004A256C" w:rsidRDefault="004F7545" w:rsidP="005E39E2">
            <w:pPr>
              <w:spacing w:beforeLines="50" w:afterLines="50" w:line="240" w:lineRule="auto"/>
              <w:rPr>
                <w:b/>
                <w:i/>
                <w:sz w:val="20"/>
                <w:szCs w:val="20"/>
              </w:rPr>
            </w:pPr>
            <w:r>
              <w:rPr>
                <w:b/>
                <w:i/>
                <w:sz w:val="20"/>
                <w:szCs w:val="20"/>
              </w:rPr>
              <w:t>Speck</w:t>
            </w:r>
          </w:p>
        </w:tc>
        <w:tc>
          <w:tcPr>
            <w:tcW w:w="0" w:type="auto"/>
          </w:tcPr>
          <w:p w:rsidR="004F7545" w:rsidRDefault="004F7545" w:rsidP="005E39E2">
            <w:pPr>
              <w:spacing w:beforeLines="50" w:afterLines="50" w:line="240" w:lineRule="auto"/>
              <w:jc w:val="center"/>
              <w:rPr>
                <w:rFonts w:cs="Calibri"/>
                <w:sz w:val="20"/>
                <w:szCs w:val="20"/>
              </w:rPr>
            </w:pPr>
            <w:r>
              <w:rPr>
                <w:sz w:val="20"/>
                <w:szCs w:val="20"/>
              </w:rPr>
              <w:t>50.2</w:t>
            </w:r>
          </w:p>
        </w:tc>
        <w:tc>
          <w:tcPr>
            <w:tcW w:w="0" w:type="auto"/>
          </w:tcPr>
          <w:p w:rsidR="004F7545" w:rsidRDefault="004F7545" w:rsidP="005E39E2">
            <w:pPr>
              <w:spacing w:beforeLines="50" w:afterLines="50" w:line="240" w:lineRule="auto"/>
              <w:jc w:val="center"/>
              <w:rPr>
                <w:rStyle w:val="TableBoldColor"/>
                <w:rFonts w:ascii="Calibri" w:cs="Calibri"/>
                <w:color w:val="auto"/>
                <w:position w:val="4"/>
                <w:sz w:val="20"/>
                <w:szCs w:val="20"/>
                <w:lang w:eastAsia="zh-TW"/>
              </w:rPr>
            </w:pPr>
            <w:r>
              <w:rPr>
                <w:rFonts w:cs="Calibri"/>
                <w:sz w:val="20"/>
                <w:szCs w:val="20"/>
              </w:rPr>
              <w:t>10.5</w:t>
            </w:r>
          </w:p>
        </w:tc>
        <w:tc>
          <w:tcPr>
            <w:tcW w:w="0" w:type="auto"/>
            <w:vAlign w:val="center"/>
          </w:tcPr>
          <w:p w:rsidR="004F7545" w:rsidRPr="008C3097" w:rsidRDefault="004F7545">
            <w:pPr>
              <w:pStyle w:val="NormalTable25mm"/>
              <w:tabs>
                <w:tab w:val="clear" w:pos="1304"/>
                <w:tab w:val="left" w:pos="879"/>
                <w:tab w:val="left" w:pos="1134"/>
              </w:tabs>
              <w:jc w:val="center"/>
              <w:rPr>
                <w:rFonts w:ascii="Calibri" w:hAnsi="Calibri" w:cs="Calibri"/>
                <w:color w:val="auto"/>
                <w:sz w:val="20"/>
                <w:szCs w:val="20"/>
              </w:rPr>
            </w:pPr>
            <w:r>
              <w:rPr>
                <w:rFonts w:ascii="Calibri" w:hAnsi="Calibri" w:cs="Calibri"/>
                <w:color w:val="auto"/>
                <w:sz w:val="20"/>
                <w:szCs w:val="20"/>
              </w:rPr>
              <w:t>nm</w:t>
            </w:r>
            <w:r w:rsidRPr="002E7E58">
              <w:rPr>
                <w:rStyle w:val="FootnoteReference"/>
                <w:rFonts w:ascii="Calibri" w:hAnsi="Calibri" w:cs="ATC-6b637dda*+Helvetica*0020*Ne"/>
                <w:b/>
                <w:sz w:val="20"/>
                <w:szCs w:val="20"/>
              </w:rPr>
              <w:footnoteReference w:id="8"/>
            </w:r>
          </w:p>
        </w:tc>
        <w:tc>
          <w:tcPr>
            <w:tcW w:w="2316" w:type="dxa"/>
            <w:vAlign w:val="center"/>
          </w:tcPr>
          <w:p w:rsidR="004F7545" w:rsidRDefault="004F7545" w:rsidP="00BE681D">
            <w:pPr>
              <w:pStyle w:val="NormalTable25mm"/>
              <w:tabs>
                <w:tab w:val="clear" w:pos="1304"/>
                <w:tab w:val="left" w:pos="1020"/>
                <w:tab w:val="left" w:pos="1134"/>
              </w:tabs>
              <w:jc w:val="center"/>
              <w:rPr>
                <w:rFonts w:ascii="Calibri" w:hAnsi="Calibri" w:cs="Calibri"/>
                <w:color w:val="auto"/>
                <w:sz w:val="20"/>
                <w:szCs w:val="20"/>
                <w:lang w:eastAsia="zh-HK"/>
              </w:rPr>
            </w:pPr>
            <w:r>
              <w:rPr>
                <w:rFonts w:ascii="Calibri" w:hAnsi="Calibri" w:cs="Calibri"/>
                <w:color w:val="auto"/>
                <w:sz w:val="20"/>
                <w:szCs w:val="20"/>
                <w:lang w:eastAsia="zh-HK"/>
              </w:rPr>
              <w:t>nm</w:t>
            </w:r>
            <w:r>
              <w:rPr>
                <w:rFonts w:ascii="Calibri" w:hAnsi="Calibri" w:cs="Calibri"/>
                <w:color w:val="auto"/>
                <w:sz w:val="20"/>
                <w:szCs w:val="20"/>
                <w:vertAlign w:val="superscript"/>
                <w:lang w:eastAsia="zh-HK"/>
              </w:rPr>
              <w:t>7</w:t>
            </w:r>
          </w:p>
        </w:tc>
      </w:tr>
      <w:tr w:rsidR="004F7545" w:rsidRPr="004D7E3F" w:rsidTr="00EC7C9A">
        <w:trPr>
          <w:trHeight w:val="507"/>
        </w:trPr>
        <w:tc>
          <w:tcPr>
            <w:tcW w:w="0" w:type="auto"/>
          </w:tcPr>
          <w:p w:rsidR="004F7545" w:rsidRPr="00DC1755" w:rsidRDefault="004F7545" w:rsidP="005E39E2">
            <w:pPr>
              <w:spacing w:beforeLines="50" w:afterLines="50" w:line="240" w:lineRule="auto"/>
              <w:rPr>
                <w:b/>
                <w:i/>
                <w:sz w:val="20"/>
                <w:szCs w:val="20"/>
              </w:rPr>
            </w:pPr>
            <w:r>
              <w:rPr>
                <w:b/>
                <w:i/>
                <w:sz w:val="20"/>
                <w:szCs w:val="20"/>
              </w:rPr>
              <w:t>Gregory</w:t>
            </w:r>
          </w:p>
        </w:tc>
        <w:tc>
          <w:tcPr>
            <w:tcW w:w="0" w:type="auto"/>
          </w:tcPr>
          <w:p w:rsidR="004F7545" w:rsidRDefault="004F7545" w:rsidP="005E39E2">
            <w:pPr>
              <w:spacing w:beforeLines="50" w:afterLines="50" w:line="240" w:lineRule="auto"/>
              <w:jc w:val="center"/>
              <w:rPr>
                <w:sz w:val="20"/>
                <w:szCs w:val="20"/>
              </w:rPr>
            </w:pPr>
            <w:r>
              <w:rPr>
                <w:sz w:val="20"/>
                <w:szCs w:val="20"/>
              </w:rPr>
              <w:t>18.0</w:t>
            </w:r>
          </w:p>
        </w:tc>
        <w:tc>
          <w:tcPr>
            <w:tcW w:w="0" w:type="auto"/>
          </w:tcPr>
          <w:p w:rsidR="004F7545" w:rsidRDefault="004F7545" w:rsidP="005E39E2">
            <w:pPr>
              <w:spacing w:beforeLines="50" w:afterLines="50" w:line="240" w:lineRule="auto"/>
              <w:jc w:val="center"/>
              <w:rPr>
                <w:rFonts w:cs="Calibri"/>
                <w:sz w:val="20"/>
                <w:szCs w:val="20"/>
              </w:rPr>
            </w:pPr>
            <w:r>
              <w:rPr>
                <w:rFonts w:cs="Calibri"/>
                <w:sz w:val="20"/>
                <w:szCs w:val="20"/>
              </w:rPr>
              <w:t>-</w:t>
            </w:r>
          </w:p>
        </w:tc>
        <w:tc>
          <w:tcPr>
            <w:tcW w:w="0" w:type="auto"/>
            <w:vAlign w:val="center"/>
          </w:tcPr>
          <w:p w:rsidR="004F7545" w:rsidRDefault="004F7545" w:rsidP="00BE681D">
            <w:pPr>
              <w:pStyle w:val="NormalTable25mm"/>
              <w:tabs>
                <w:tab w:val="clear" w:pos="1304"/>
                <w:tab w:val="left" w:pos="879"/>
                <w:tab w:val="left" w:pos="1134"/>
              </w:tabs>
              <w:jc w:val="center"/>
              <w:rPr>
                <w:sz w:val="20"/>
                <w:szCs w:val="20"/>
              </w:rPr>
            </w:pPr>
            <w:r>
              <w:rPr>
                <w:rFonts w:ascii="Calibri" w:hAnsi="Calibri" w:cs="Calibri"/>
                <w:color w:val="auto"/>
                <w:sz w:val="20"/>
                <w:szCs w:val="20"/>
              </w:rPr>
              <w:t>nm</w:t>
            </w:r>
            <w:r>
              <w:rPr>
                <w:rFonts w:ascii="Calibri" w:hAnsi="Calibri" w:cs="Calibri"/>
                <w:color w:val="auto"/>
                <w:sz w:val="20"/>
                <w:szCs w:val="20"/>
                <w:vertAlign w:val="superscript"/>
              </w:rPr>
              <w:t>7</w:t>
            </w:r>
          </w:p>
        </w:tc>
        <w:tc>
          <w:tcPr>
            <w:tcW w:w="2316" w:type="dxa"/>
            <w:vAlign w:val="center"/>
          </w:tcPr>
          <w:p w:rsidR="004F7545" w:rsidRDefault="004F7545" w:rsidP="00BE681D">
            <w:pPr>
              <w:pStyle w:val="NormalTable25mm"/>
              <w:tabs>
                <w:tab w:val="clear" w:pos="1304"/>
                <w:tab w:val="left" w:pos="1020"/>
                <w:tab w:val="left" w:pos="1134"/>
              </w:tabs>
              <w:jc w:val="center"/>
              <w:rPr>
                <w:sz w:val="20"/>
                <w:szCs w:val="20"/>
              </w:rPr>
            </w:pPr>
            <w:r>
              <w:rPr>
                <w:rFonts w:ascii="Calibri" w:hAnsi="Calibri" w:cs="Calibri"/>
                <w:color w:val="auto"/>
                <w:sz w:val="20"/>
                <w:szCs w:val="20"/>
                <w:lang w:eastAsia="zh-HK"/>
              </w:rPr>
              <w:t>nm</w:t>
            </w:r>
            <w:r>
              <w:rPr>
                <w:rFonts w:ascii="Calibri" w:hAnsi="Calibri" w:cs="Calibri"/>
                <w:color w:val="auto"/>
                <w:sz w:val="20"/>
                <w:szCs w:val="20"/>
                <w:vertAlign w:val="superscript"/>
                <w:lang w:eastAsia="zh-HK"/>
              </w:rPr>
              <w:t>7</w:t>
            </w:r>
          </w:p>
        </w:tc>
      </w:tr>
      <w:tr w:rsidR="004F7545" w:rsidRPr="004D7E3F" w:rsidTr="00EC7C9A">
        <w:trPr>
          <w:trHeight w:val="507"/>
        </w:trPr>
        <w:tc>
          <w:tcPr>
            <w:tcW w:w="0" w:type="auto"/>
          </w:tcPr>
          <w:p w:rsidR="004F7545" w:rsidRDefault="004F7545" w:rsidP="005E39E2">
            <w:pPr>
              <w:spacing w:beforeLines="50" w:afterLines="50" w:line="240" w:lineRule="auto"/>
              <w:rPr>
                <w:b/>
                <w:sz w:val="20"/>
                <w:szCs w:val="20"/>
              </w:rPr>
            </w:pPr>
            <w:r>
              <w:rPr>
                <w:b/>
                <w:i/>
                <w:sz w:val="20"/>
                <w:szCs w:val="20"/>
              </w:rPr>
              <w:t>Hartmann</w:t>
            </w:r>
          </w:p>
        </w:tc>
        <w:tc>
          <w:tcPr>
            <w:tcW w:w="0" w:type="auto"/>
          </w:tcPr>
          <w:p w:rsidR="004F7545" w:rsidRDefault="004F7545" w:rsidP="005E39E2">
            <w:pPr>
              <w:spacing w:beforeLines="50" w:afterLines="50" w:line="240" w:lineRule="auto"/>
              <w:jc w:val="center"/>
              <w:rPr>
                <w:sz w:val="20"/>
                <w:szCs w:val="20"/>
              </w:rPr>
            </w:pPr>
            <w:r>
              <w:rPr>
                <w:sz w:val="20"/>
                <w:szCs w:val="20"/>
              </w:rPr>
              <w:t>8.3</w:t>
            </w:r>
          </w:p>
        </w:tc>
        <w:tc>
          <w:tcPr>
            <w:tcW w:w="0" w:type="auto"/>
          </w:tcPr>
          <w:p w:rsidR="004F7545" w:rsidRDefault="004F7545" w:rsidP="005E39E2">
            <w:pPr>
              <w:spacing w:beforeLines="50" w:afterLines="50" w:line="240" w:lineRule="auto"/>
              <w:jc w:val="center"/>
              <w:rPr>
                <w:rFonts w:cs="Calibri"/>
                <w:sz w:val="20"/>
                <w:szCs w:val="20"/>
              </w:rPr>
            </w:pPr>
            <w:r>
              <w:rPr>
                <w:rFonts w:cs="Calibri"/>
                <w:sz w:val="20"/>
                <w:szCs w:val="20"/>
              </w:rPr>
              <w:t>7.9</w:t>
            </w:r>
          </w:p>
        </w:tc>
        <w:tc>
          <w:tcPr>
            <w:tcW w:w="0" w:type="auto"/>
            <w:vAlign w:val="center"/>
          </w:tcPr>
          <w:p w:rsidR="004F7545" w:rsidRDefault="004F7545" w:rsidP="005E39E2">
            <w:pPr>
              <w:spacing w:beforeLines="50" w:afterLines="50" w:line="240" w:lineRule="auto"/>
              <w:jc w:val="center"/>
              <w:rPr>
                <w:sz w:val="20"/>
                <w:szCs w:val="20"/>
              </w:rPr>
            </w:pPr>
            <w:r>
              <w:rPr>
                <w:sz w:val="20"/>
                <w:szCs w:val="20"/>
              </w:rPr>
              <w:t>5.1%</w:t>
            </w:r>
          </w:p>
        </w:tc>
        <w:tc>
          <w:tcPr>
            <w:tcW w:w="2316" w:type="dxa"/>
            <w:vAlign w:val="center"/>
          </w:tcPr>
          <w:p w:rsidR="004F7545" w:rsidRDefault="004F7545" w:rsidP="005E39E2">
            <w:pPr>
              <w:spacing w:beforeLines="50" w:afterLines="50" w:line="240" w:lineRule="auto"/>
              <w:jc w:val="center"/>
              <w:rPr>
                <w:sz w:val="20"/>
                <w:szCs w:val="20"/>
              </w:rPr>
            </w:pPr>
            <w:r>
              <w:rPr>
                <w:sz w:val="20"/>
                <w:szCs w:val="20"/>
              </w:rPr>
              <w:t>9.7%</w:t>
            </w:r>
          </w:p>
        </w:tc>
      </w:tr>
      <w:tr w:rsidR="004F7545" w:rsidRPr="004D7E3F" w:rsidTr="00EC7C9A">
        <w:trPr>
          <w:trHeight w:val="507"/>
        </w:trPr>
        <w:tc>
          <w:tcPr>
            <w:tcW w:w="0" w:type="auto"/>
          </w:tcPr>
          <w:p w:rsidR="004F7545" w:rsidRPr="004D7E3F" w:rsidRDefault="004F7545" w:rsidP="005E39E2">
            <w:pPr>
              <w:spacing w:beforeLines="50" w:afterLines="50" w:line="240" w:lineRule="auto"/>
              <w:rPr>
                <w:b/>
                <w:sz w:val="20"/>
                <w:szCs w:val="20"/>
              </w:rPr>
            </w:pPr>
            <w:r>
              <w:rPr>
                <w:b/>
                <w:sz w:val="20"/>
                <w:szCs w:val="20"/>
              </w:rPr>
              <w:t>Other</w:t>
            </w:r>
            <w:r>
              <w:rPr>
                <w:rStyle w:val="FootnoteReference"/>
                <w:b/>
                <w:sz w:val="20"/>
                <w:szCs w:val="20"/>
              </w:rPr>
              <w:footnoteReference w:id="9"/>
            </w:r>
          </w:p>
        </w:tc>
        <w:tc>
          <w:tcPr>
            <w:tcW w:w="0" w:type="auto"/>
          </w:tcPr>
          <w:p w:rsidR="004F7545" w:rsidRPr="008C3097" w:rsidRDefault="004F7545" w:rsidP="005E39E2">
            <w:pPr>
              <w:spacing w:beforeLines="50" w:afterLines="50" w:line="240" w:lineRule="auto"/>
              <w:jc w:val="center"/>
              <w:rPr>
                <w:rFonts w:cs="Calibri"/>
                <w:i/>
                <w:iCs/>
                <w:color w:val="404040"/>
                <w:sz w:val="20"/>
                <w:szCs w:val="20"/>
              </w:rPr>
            </w:pPr>
            <w:r>
              <w:rPr>
                <w:sz w:val="20"/>
                <w:szCs w:val="20"/>
              </w:rPr>
              <w:t>65.6</w:t>
            </w:r>
          </w:p>
        </w:tc>
        <w:tc>
          <w:tcPr>
            <w:tcW w:w="0" w:type="auto"/>
          </w:tcPr>
          <w:p w:rsidR="004F7545" w:rsidRPr="008C3097" w:rsidRDefault="004F7545" w:rsidP="005E39E2">
            <w:pPr>
              <w:spacing w:beforeLines="50" w:afterLines="50" w:line="240" w:lineRule="auto"/>
              <w:jc w:val="center"/>
              <w:rPr>
                <w:rStyle w:val="TableBoldColor"/>
                <w:rFonts w:ascii="Calibri" w:cs="Calibri"/>
                <w:color w:val="auto"/>
                <w:sz w:val="20"/>
                <w:szCs w:val="20"/>
              </w:rPr>
            </w:pPr>
            <w:r>
              <w:rPr>
                <w:rFonts w:cs="Calibri"/>
                <w:sz w:val="20"/>
                <w:szCs w:val="20"/>
              </w:rPr>
              <w:t>54.1</w:t>
            </w:r>
          </w:p>
        </w:tc>
        <w:tc>
          <w:tcPr>
            <w:tcW w:w="0" w:type="auto"/>
            <w:vAlign w:val="center"/>
          </w:tcPr>
          <w:p w:rsidR="004F7545" w:rsidRPr="002A3080" w:rsidDel="00552068" w:rsidRDefault="004F7545" w:rsidP="005E39E2">
            <w:pPr>
              <w:spacing w:beforeLines="50" w:afterLines="50" w:line="240" w:lineRule="auto"/>
              <w:jc w:val="center"/>
              <w:rPr>
                <w:sz w:val="20"/>
                <w:szCs w:val="20"/>
              </w:rPr>
            </w:pPr>
            <w:r>
              <w:rPr>
                <w:sz w:val="20"/>
                <w:szCs w:val="20"/>
              </w:rPr>
              <w:t>21.2%</w:t>
            </w:r>
          </w:p>
        </w:tc>
        <w:tc>
          <w:tcPr>
            <w:tcW w:w="2316" w:type="dxa"/>
            <w:vAlign w:val="center"/>
          </w:tcPr>
          <w:p w:rsidR="004F7545" w:rsidRPr="002A3080" w:rsidDel="00552068" w:rsidRDefault="004F7545" w:rsidP="005E39E2">
            <w:pPr>
              <w:spacing w:beforeLines="50" w:afterLines="50" w:line="240" w:lineRule="auto"/>
              <w:jc w:val="center"/>
              <w:rPr>
                <w:sz w:val="20"/>
                <w:szCs w:val="20"/>
              </w:rPr>
            </w:pPr>
            <w:r>
              <w:rPr>
                <w:sz w:val="20"/>
                <w:szCs w:val="20"/>
              </w:rPr>
              <w:t>39.3%</w:t>
            </w:r>
          </w:p>
        </w:tc>
      </w:tr>
    </w:tbl>
    <w:p w:rsidR="004F7545" w:rsidRDefault="004F7545" w:rsidP="00DA5CDC">
      <w:pPr>
        <w:spacing w:after="0"/>
        <w:jc w:val="both"/>
        <w:rPr>
          <w:b/>
          <w:i/>
        </w:rPr>
      </w:pPr>
    </w:p>
    <w:p w:rsidR="004F7545" w:rsidRPr="00DB0587" w:rsidRDefault="004F7545" w:rsidP="00DA5CDC">
      <w:pPr>
        <w:spacing w:after="0"/>
        <w:jc w:val="both"/>
        <w:rPr>
          <w:b/>
          <w:i/>
        </w:rPr>
      </w:pPr>
      <w:r w:rsidRPr="00DB0587">
        <w:rPr>
          <w:b/>
          <w:i/>
        </w:rPr>
        <w:t>Net Sales by Region</w:t>
      </w:r>
    </w:p>
    <w:p w:rsidR="004F7545" w:rsidRPr="001A761A" w:rsidRDefault="004F7545" w:rsidP="00DA5CDC">
      <w:pPr>
        <w:spacing w:after="0"/>
        <w:jc w:val="both"/>
      </w:pPr>
      <w:r w:rsidRPr="0020407E">
        <w:t xml:space="preserve">The </w:t>
      </w:r>
      <w:r>
        <w:t>Group</w:t>
      </w:r>
      <w:r w:rsidRPr="0020407E">
        <w:t xml:space="preserve"> achieve</w:t>
      </w:r>
      <w:r>
        <w:t>d</w:t>
      </w:r>
      <w:r w:rsidRPr="0020407E">
        <w:t xml:space="preserve"> </w:t>
      </w:r>
      <w:r>
        <w:t>strong</w:t>
      </w:r>
      <w:r w:rsidRPr="0020407E">
        <w:t xml:space="preserve"> </w:t>
      </w:r>
      <w:r>
        <w:t xml:space="preserve">constant currency sales </w:t>
      </w:r>
      <w:r w:rsidRPr="0020407E">
        <w:t xml:space="preserve">growth across </w:t>
      </w:r>
      <w:r>
        <w:t>all of its regions</w:t>
      </w:r>
      <w:r w:rsidRPr="0020407E">
        <w:t xml:space="preserve"> in the first half of 201</w:t>
      </w:r>
      <w:r>
        <w:t>5</w:t>
      </w:r>
      <w:r w:rsidRPr="0020407E">
        <w:t>.</w:t>
      </w:r>
      <w:r w:rsidRPr="001A761A">
        <w:t xml:space="preserve"> </w:t>
      </w:r>
    </w:p>
    <w:p w:rsidR="004F7545" w:rsidRPr="00E930A9" w:rsidRDefault="004F7545" w:rsidP="00E930A9">
      <w:pPr>
        <w:spacing w:after="0"/>
        <w:jc w:val="both"/>
      </w:pPr>
    </w:p>
    <w:p w:rsidR="004F7545" w:rsidRPr="00F7458B" w:rsidRDefault="004F7545" w:rsidP="004A6859">
      <w:pPr>
        <w:spacing w:after="0"/>
        <w:jc w:val="both"/>
      </w:pPr>
      <w:r w:rsidRPr="00A52573">
        <w:t>Samsonite’s net sales in Asia continued to grow across all markets within the region</w:t>
      </w:r>
      <w:r>
        <w:t xml:space="preserve">, reaching </w:t>
      </w:r>
      <w:r w:rsidRPr="00E107CB">
        <w:t>US$</w:t>
      </w:r>
      <w:r w:rsidRPr="002E7E58">
        <w:t>471.4</w:t>
      </w:r>
      <w:r w:rsidRPr="00E107CB">
        <w:t xml:space="preserve"> million for the </w:t>
      </w:r>
      <w:r>
        <w:t xml:space="preserve">six months ended June 30, 2015. This represents an increase of </w:t>
      </w:r>
      <w:r w:rsidRPr="002E7E58">
        <w:t>17.2</w:t>
      </w:r>
      <w:r w:rsidRPr="006458AB">
        <w:t>%</w:t>
      </w:r>
      <w:r>
        <w:rPr>
          <w:rStyle w:val="FootnoteReference"/>
        </w:rPr>
        <w:footnoteReference w:id="10"/>
      </w:r>
      <w:r>
        <w:t xml:space="preserve"> as</w:t>
      </w:r>
      <w:r w:rsidRPr="00E107CB">
        <w:t xml:space="preserve"> </w:t>
      </w:r>
      <w:r w:rsidRPr="00603274">
        <w:t>compared to the previous year. T</w:t>
      </w:r>
      <w:r>
        <w:t>he</w:t>
      </w:r>
      <w:r w:rsidRPr="00603274">
        <w:t xml:space="preserve"> growth </w:t>
      </w:r>
      <w:r>
        <w:t xml:space="preserve">was driven by both </w:t>
      </w:r>
      <w:r>
        <w:rPr>
          <w:i/>
        </w:rPr>
        <w:t xml:space="preserve">Samsonite </w:t>
      </w:r>
      <w:r>
        <w:t xml:space="preserve">and </w:t>
      </w:r>
      <w:r w:rsidRPr="00EC7C9A">
        <w:rPr>
          <w:i/>
        </w:rPr>
        <w:t>American Tourister</w:t>
      </w:r>
      <w:r>
        <w:t xml:space="preserve">, </w:t>
      </w:r>
      <w:r w:rsidRPr="00603274">
        <w:t>wh</w:t>
      </w:r>
      <w:r>
        <w:t xml:space="preserve">ose net sales grew by </w:t>
      </w:r>
      <w:r w:rsidRPr="006458AB">
        <w:t>15.1%</w:t>
      </w:r>
      <w:r w:rsidRPr="00DC1755">
        <w:rPr>
          <w:vertAlign w:val="superscript"/>
        </w:rPr>
        <w:t>9</w:t>
      </w:r>
      <w:r>
        <w:t xml:space="preserve"> and 9.6%</w:t>
      </w:r>
      <w:r w:rsidRPr="00CF0F46">
        <w:rPr>
          <w:vertAlign w:val="superscript"/>
        </w:rPr>
        <w:t>9</w:t>
      </w:r>
      <w:r>
        <w:t>, respectively.</w:t>
      </w:r>
      <w:r w:rsidRPr="00913FA6">
        <w:t xml:space="preserve"> The </w:t>
      </w:r>
      <w:r>
        <w:t>Group</w:t>
      </w:r>
      <w:r w:rsidRPr="00913FA6">
        <w:t xml:space="preserve">’s </w:t>
      </w:r>
      <w:r w:rsidRPr="00913FA6">
        <w:rPr>
          <w:i/>
        </w:rPr>
        <w:t>Samsonite Red</w:t>
      </w:r>
      <w:r w:rsidRPr="00913FA6">
        <w:t xml:space="preserve"> </w:t>
      </w:r>
      <w:r>
        <w:t>sub-</w:t>
      </w:r>
      <w:r w:rsidRPr="00913FA6">
        <w:t xml:space="preserve">brand was the driving force behind the </w:t>
      </w:r>
      <w:r w:rsidRPr="002E7E58">
        <w:t>42.3</w:t>
      </w:r>
      <w:r w:rsidRPr="006458AB">
        <w:t>%</w:t>
      </w:r>
      <w:r>
        <w:rPr>
          <w:rStyle w:val="FootnoteReference"/>
        </w:rPr>
        <w:t>9</w:t>
      </w:r>
      <w:r w:rsidRPr="00913FA6">
        <w:t xml:space="preserve"> increase in the casual product category in the Asia region.</w:t>
      </w:r>
      <w:r>
        <w:t xml:space="preserve"> </w:t>
      </w:r>
      <w:r w:rsidRPr="00164442">
        <w:t xml:space="preserve">The </w:t>
      </w:r>
      <w:r>
        <w:t>Group also</w:t>
      </w:r>
      <w:r w:rsidRPr="00164442">
        <w:t xml:space="preserve"> </w:t>
      </w:r>
      <w:r>
        <w:t>recorded net sales of US$</w:t>
      </w:r>
      <w:r w:rsidRPr="002E7E58">
        <w:t>7.1</w:t>
      </w:r>
      <w:r w:rsidRPr="00164442">
        <w:t xml:space="preserve"> million </w:t>
      </w:r>
      <w:r>
        <w:t>from</w:t>
      </w:r>
      <w:r w:rsidRPr="00164442">
        <w:t xml:space="preserve"> the </w:t>
      </w:r>
      <w:r w:rsidRPr="00EC7C9A">
        <w:rPr>
          <w:i/>
        </w:rPr>
        <w:t>High Sierra</w:t>
      </w:r>
      <w:r w:rsidRPr="00164442">
        <w:t xml:space="preserve"> brand in </w:t>
      </w:r>
      <w:r>
        <w:t xml:space="preserve">the region during the first half of 2015, representing an increase of </w:t>
      </w:r>
      <w:r w:rsidRPr="002E7E58">
        <w:t>64.4</w:t>
      </w:r>
      <w:r w:rsidRPr="006458AB">
        <w:t>%</w:t>
      </w:r>
      <w:r>
        <w:rPr>
          <w:rStyle w:val="FootnoteReference"/>
        </w:rPr>
        <w:t>9</w:t>
      </w:r>
      <w:r>
        <w:t xml:space="preserve"> from the previous year. </w:t>
      </w:r>
      <w:r w:rsidRPr="00BB2131">
        <w:t xml:space="preserve">The Group introduced the </w:t>
      </w:r>
      <w:r w:rsidRPr="002A3080">
        <w:rPr>
          <w:i/>
        </w:rPr>
        <w:t>Kamiliant</w:t>
      </w:r>
      <w:r w:rsidRPr="00BB2131">
        <w:t xml:space="preserve"> brand in Asia during the second half of 2014, which has contributed US$1.0 million of net sales in the first half of 2015.</w:t>
      </w:r>
      <w:r>
        <w:t xml:space="preserve"> All of the Group’s brands continue to benefit from products and marketing campaigns that are designed specifically for the region.</w:t>
      </w:r>
    </w:p>
    <w:p w:rsidR="004F7545" w:rsidRPr="00E930A9" w:rsidRDefault="004F7545" w:rsidP="004A6859">
      <w:pPr>
        <w:spacing w:after="0"/>
        <w:jc w:val="both"/>
      </w:pPr>
    </w:p>
    <w:p w:rsidR="004F7545" w:rsidRDefault="004F7545" w:rsidP="004A6859">
      <w:pPr>
        <w:spacing w:after="0"/>
        <w:jc w:val="both"/>
      </w:pPr>
      <w:r>
        <w:t xml:space="preserve">Driven by </w:t>
      </w:r>
      <w:r>
        <w:rPr>
          <w:i/>
        </w:rPr>
        <w:t xml:space="preserve">Samsonite </w:t>
      </w:r>
      <w:r>
        <w:t xml:space="preserve">and </w:t>
      </w:r>
      <w:r>
        <w:rPr>
          <w:i/>
        </w:rPr>
        <w:t>Samsonite Red</w:t>
      </w:r>
      <w:r>
        <w:t xml:space="preserve"> through the e-commerce channel and strong business-to-business sales, China saw first half net sales increase by </w:t>
      </w:r>
      <w:r w:rsidRPr="002E7E58">
        <w:t>29.8</w:t>
      </w:r>
      <w:r w:rsidRPr="006458AB">
        <w:t>%</w:t>
      </w:r>
      <w:r>
        <w:rPr>
          <w:rStyle w:val="FootnoteReference"/>
        </w:rPr>
        <w:t>9</w:t>
      </w:r>
      <w:r w:rsidRPr="00F7458B">
        <w:t xml:space="preserve"> year-on-year</w:t>
      </w:r>
      <w:r>
        <w:t xml:space="preserve">. South Korea continued to grow, recording a </w:t>
      </w:r>
      <w:r w:rsidRPr="002E7E58">
        <w:t>4.8</w:t>
      </w:r>
      <w:r w:rsidRPr="006458AB">
        <w:t>%</w:t>
      </w:r>
      <w:r>
        <w:rPr>
          <w:rStyle w:val="FootnoteReference"/>
        </w:rPr>
        <w:t>9</w:t>
      </w:r>
      <w:r>
        <w:t xml:space="preserve"> increase in net sales</w:t>
      </w:r>
      <w:r w:rsidRPr="00B32859">
        <w:t xml:space="preserve"> despite the negative impact from the MERS outbreak</w:t>
      </w:r>
      <w:r>
        <w:t xml:space="preserve">. India, Japan, Hong Kong and Australia all recorded strong year-on-year net sales growth of </w:t>
      </w:r>
      <w:r w:rsidRPr="002E7E58">
        <w:t>13.0</w:t>
      </w:r>
      <w:r w:rsidRPr="006458AB">
        <w:t>%</w:t>
      </w:r>
      <w:r>
        <w:rPr>
          <w:rStyle w:val="FootnoteReference"/>
        </w:rPr>
        <w:t>9</w:t>
      </w:r>
      <w:r>
        <w:t xml:space="preserve">, </w:t>
      </w:r>
      <w:r w:rsidRPr="002E7E58">
        <w:t>44.6</w:t>
      </w:r>
      <w:r w:rsidRPr="006458AB">
        <w:t>%</w:t>
      </w:r>
      <w:r w:rsidRPr="006458AB">
        <w:rPr>
          <w:rStyle w:val="FootnoteReference"/>
        </w:rPr>
        <w:t>9</w:t>
      </w:r>
      <w:r w:rsidRPr="006458AB">
        <w:t xml:space="preserve">, </w:t>
      </w:r>
      <w:r w:rsidRPr="002E7E58">
        <w:t>8.1</w:t>
      </w:r>
      <w:r w:rsidRPr="006458AB">
        <w:t>%</w:t>
      </w:r>
      <w:r w:rsidRPr="006458AB">
        <w:rPr>
          <w:rStyle w:val="FootnoteReference"/>
        </w:rPr>
        <w:t>9</w:t>
      </w:r>
      <w:r w:rsidRPr="00294B90">
        <w:rPr>
          <w:rStyle w:val="FootnoteReference"/>
          <w:vertAlign w:val="baseline"/>
        </w:rPr>
        <w:t>,</w:t>
      </w:r>
      <w:r w:rsidRPr="006458AB">
        <w:t xml:space="preserve"> and </w:t>
      </w:r>
      <w:r w:rsidRPr="002E7E58">
        <w:t>33.5</w:t>
      </w:r>
      <w:r w:rsidRPr="006458AB">
        <w:t>%</w:t>
      </w:r>
      <w:r w:rsidRPr="006458AB">
        <w:rPr>
          <w:rStyle w:val="FootnoteReference"/>
        </w:rPr>
        <w:t>9</w:t>
      </w:r>
      <w:r w:rsidRPr="006458AB">
        <w:t>,</w:t>
      </w:r>
      <w:r>
        <w:t xml:space="preserve"> respectively. </w:t>
      </w:r>
    </w:p>
    <w:p w:rsidR="004F7545" w:rsidRDefault="004F7545" w:rsidP="004A6859">
      <w:pPr>
        <w:spacing w:after="0"/>
        <w:jc w:val="both"/>
      </w:pPr>
    </w:p>
    <w:p w:rsidR="004F7545" w:rsidRDefault="004F7545" w:rsidP="00DA5CDC">
      <w:pPr>
        <w:spacing w:after="0"/>
        <w:jc w:val="both"/>
      </w:pPr>
      <w:r>
        <w:t>Aside from additional points of sale and increased product offerings,</w:t>
      </w:r>
      <w:r w:rsidRPr="00E107CB" w:rsidDel="00CA376D">
        <w:t xml:space="preserve"> </w:t>
      </w:r>
      <w:r>
        <w:t>t</w:t>
      </w:r>
      <w:r w:rsidRPr="00E107CB">
        <w:t xml:space="preserve">he </w:t>
      </w:r>
      <w:r>
        <w:t>success of the Group’s business in Asia has been bolstered by its continued focus on country-specific products and marketing strategies to drive increased awareness of, and demand for, the Group’s products.</w:t>
      </w:r>
    </w:p>
    <w:p w:rsidR="004F7545" w:rsidRPr="00E930A9" w:rsidRDefault="004F7545" w:rsidP="00DA5CDC">
      <w:pPr>
        <w:spacing w:after="0"/>
        <w:jc w:val="both"/>
      </w:pPr>
    </w:p>
    <w:p w:rsidR="004F7545" w:rsidRPr="0064198B" w:rsidRDefault="004F7545" w:rsidP="0064198B">
      <w:pPr>
        <w:spacing w:after="0"/>
        <w:jc w:val="both"/>
      </w:pPr>
      <w:r>
        <w:t>In North America, t</w:t>
      </w:r>
      <w:r w:rsidRPr="0064198B">
        <w:t xml:space="preserve">he </w:t>
      </w:r>
      <w:r>
        <w:t>Group</w:t>
      </w:r>
      <w:r w:rsidRPr="0064198B">
        <w:t xml:space="preserve">’s net sales increased </w:t>
      </w:r>
      <w:r>
        <w:t xml:space="preserve">by </w:t>
      </w:r>
      <w:r w:rsidRPr="002E7E58">
        <w:t>17.3</w:t>
      </w:r>
      <w:r w:rsidRPr="006458AB">
        <w:t>%</w:t>
      </w:r>
      <w:r>
        <w:rPr>
          <w:rStyle w:val="FootnoteReference"/>
        </w:rPr>
        <w:footnoteReference w:id="11"/>
      </w:r>
      <w:r w:rsidRPr="00A52573">
        <w:t xml:space="preserve"> </w:t>
      </w:r>
      <w:r>
        <w:t>to US$</w:t>
      </w:r>
      <w:r w:rsidRPr="002E7E58">
        <w:t>402.7</w:t>
      </w:r>
      <w:r>
        <w:t xml:space="preserve"> million </w:t>
      </w:r>
      <w:r w:rsidRPr="00A52573">
        <w:t xml:space="preserve">for the </w:t>
      </w:r>
      <w:r>
        <w:t>six months</w:t>
      </w:r>
      <w:r w:rsidRPr="00A52573">
        <w:t xml:space="preserve"> ended </w:t>
      </w:r>
      <w:r>
        <w:t xml:space="preserve">June 30, 2015, </w:t>
      </w:r>
      <w:r w:rsidRPr="009B046C">
        <w:t xml:space="preserve">or by </w:t>
      </w:r>
      <w:r w:rsidRPr="002E7E58">
        <w:t>16.5</w:t>
      </w:r>
      <w:r w:rsidRPr="006458AB">
        <w:t>%</w:t>
      </w:r>
      <w:r w:rsidRPr="009B046C">
        <w:t xml:space="preserve"> on a US Dollar reported basis</w:t>
      </w:r>
      <w:r w:rsidRPr="00E930A9">
        <w:t xml:space="preserve">. </w:t>
      </w:r>
      <w:r w:rsidRPr="0064198B">
        <w:t xml:space="preserve">Net sales of the </w:t>
      </w:r>
      <w:r w:rsidRPr="0064198B">
        <w:rPr>
          <w:i/>
        </w:rPr>
        <w:t>Samsonite</w:t>
      </w:r>
      <w:r w:rsidRPr="0064198B">
        <w:t xml:space="preserve"> brand increased </w:t>
      </w:r>
      <w:r>
        <w:t xml:space="preserve">by </w:t>
      </w:r>
      <w:r w:rsidRPr="002E7E58">
        <w:t>6.0</w:t>
      </w:r>
      <w:r w:rsidRPr="006458AB">
        <w:t>%</w:t>
      </w:r>
      <w:r w:rsidRPr="00840165">
        <w:rPr>
          <w:rStyle w:val="FootnoteReference"/>
        </w:rPr>
        <w:t>1</w:t>
      </w:r>
      <w:r w:rsidRPr="002E7E58">
        <w:rPr>
          <w:vertAlign w:val="superscript"/>
        </w:rPr>
        <w:t>0</w:t>
      </w:r>
      <w:r w:rsidRPr="0064198B">
        <w:t xml:space="preserve">, </w:t>
      </w:r>
      <w:r>
        <w:t>while</w:t>
      </w:r>
      <w:r w:rsidRPr="0064198B">
        <w:t xml:space="preserve"> net sales of </w:t>
      </w:r>
      <w:r w:rsidRPr="0064198B">
        <w:rPr>
          <w:i/>
          <w:iCs/>
        </w:rPr>
        <w:t>American Tourister</w:t>
      </w:r>
      <w:r>
        <w:rPr>
          <w:i/>
          <w:iCs/>
        </w:rPr>
        <w:t xml:space="preserve"> </w:t>
      </w:r>
      <w:r w:rsidRPr="0064198B">
        <w:t xml:space="preserve">increased </w:t>
      </w:r>
      <w:r>
        <w:t xml:space="preserve">by </w:t>
      </w:r>
      <w:r w:rsidRPr="002E7E58">
        <w:t>11.4</w:t>
      </w:r>
      <w:r w:rsidRPr="006458AB">
        <w:t>%</w:t>
      </w:r>
      <w:r w:rsidRPr="00840165">
        <w:rPr>
          <w:rStyle w:val="FootnoteReference"/>
        </w:rPr>
        <w:t>1</w:t>
      </w:r>
      <w:r w:rsidRPr="002E7E58">
        <w:rPr>
          <w:vertAlign w:val="superscript"/>
        </w:rPr>
        <w:t>0</w:t>
      </w:r>
      <w:r>
        <w:t>. Excluding foreign currency effects, the travel product category recorded a net sales increase of</w:t>
      </w:r>
      <w:r w:rsidRPr="0064198B">
        <w:t xml:space="preserve"> </w:t>
      </w:r>
      <w:r w:rsidRPr="002E7E58">
        <w:t>5.7</w:t>
      </w:r>
      <w:r w:rsidRPr="00502188">
        <w:t>%</w:t>
      </w:r>
      <w:r w:rsidRPr="0064198B">
        <w:t xml:space="preserve"> year-on-year</w:t>
      </w:r>
      <w:r>
        <w:t>, while n</w:t>
      </w:r>
      <w:r w:rsidRPr="0064198B">
        <w:t xml:space="preserve">et sales in the casual product category increased </w:t>
      </w:r>
      <w:r>
        <w:t xml:space="preserve">by </w:t>
      </w:r>
      <w:r w:rsidRPr="002E7E58">
        <w:t>6.3</w:t>
      </w:r>
      <w:r w:rsidRPr="00502188">
        <w:t>%.</w:t>
      </w:r>
      <w:r>
        <w:t xml:space="preserve"> N</w:t>
      </w:r>
      <w:r w:rsidRPr="0064198B">
        <w:t xml:space="preserve">et sales in the </w:t>
      </w:r>
      <w:r>
        <w:t>business category increased by 121.1%</w:t>
      </w:r>
      <w:r w:rsidRPr="002A3080">
        <w:rPr>
          <w:vertAlign w:val="superscript"/>
        </w:rPr>
        <w:t>1</w:t>
      </w:r>
      <w:r>
        <w:rPr>
          <w:vertAlign w:val="superscript"/>
        </w:rPr>
        <w:t>0</w:t>
      </w:r>
      <w:r>
        <w:t xml:space="preserve"> and in the </w:t>
      </w:r>
      <w:r w:rsidRPr="0064198B">
        <w:t xml:space="preserve">accessories category </w:t>
      </w:r>
      <w:r>
        <w:t xml:space="preserve">by </w:t>
      </w:r>
      <w:r w:rsidRPr="002E7E58">
        <w:t>98.3</w:t>
      </w:r>
      <w:r w:rsidRPr="00502188">
        <w:t>%</w:t>
      </w:r>
      <w:r w:rsidRPr="00840165">
        <w:rPr>
          <w:rStyle w:val="FootnoteReference"/>
        </w:rPr>
        <w:t>1</w:t>
      </w:r>
      <w:r w:rsidRPr="002E7E58">
        <w:rPr>
          <w:vertAlign w:val="superscript"/>
        </w:rPr>
        <w:t>0</w:t>
      </w:r>
      <w:r>
        <w:t>, year-on-year</w:t>
      </w:r>
      <w:r w:rsidRPr="0064198B">
        <w:t xml:space="preserve">, </w:t>
      </w:r>
      <w:r w:rsidRPr="009F781E">
        <w:t xml:space="preserve">primarily due </w:t>
      </w:r>
      <w:r>
        <w:t xml:space="preserve">to </w:t>
      </w:r>
      <w:r w:rsidRPr="009F781E">
        <w:t xml:space="preserve">net sales attributable to the </w:t>
      </w:r>
      <w:r w:rsidRPr="002E7E58">
        <w:rPr>
          <w:i/>
        </w:rPr>
        <w:t>Speck</w:t>
      </w:r>
      <w:r w:rsidRPr="00F64069">
        <w:t xml:space="preserve"> brand acquired on May 28, 2014</w:t>
      </w:r>
      <w:r>
        <w:t>.</w:t>
      </w:r>
      <w:r w:rsidRPr="0064198B">
        <w:t xml:space="preserve"> </w:t>
      </w:r>
      <w:r w:rsidRPr="009F781E">
        <w:t>Excluding foreign currency effects, net sales in Canada increased 34.4% as the Group’s business continues to thrive in the country</w:t>
      </w:r>
      <w:r w:rsidRPr="001C5484">
        <w:t xml:space="preserve"> </w:t>
      </w:r>
      <w:r>
        <w:t xml:space="preserve">driven by </w:t>
      </w:r>
      <w:r w:rsidRPr="00142FEE">
        <w:t xml:space="preserve">the </w:t>
      </w:r>
      <w:r w:rsidRPr="00EA1EA3">
        <w:rPr>
          <w:i/>
        </w:rPr>
        <w:t>Samsonite</w:t>
      </w:r>
      <w:r w:rsidRPr="00EA1EA3">
        <w:t xml:space="preserve"> </w:t>
      </w:r>
      <w:r>
        <w:t xml:space="preserve">brand. </w:t>
      </w:r>
      <w:r w:rsidRPr="009F781E">
        <w:t>The overall increase in North America net sales was primarily due to acquisitions, as well as the Group’s continued focus on marketing and selling regionally developed products</w:t>
      </w:r>
      <w:r>
        <w:t xml:space="preserve"> that </w:t>
      </w:r>
      <w:r w:rsidRPr="009F781E">
        <w:t>appeal to the tastes and preferences of North American consumers</w:t>
      </w:r>
      <w:r>
        <w:t xml:space="preserve">. </w:t>
      </w:r>
      <w:r>
        <w:rPr>
          <w:rFonts w:eastAsia="Times New Roman"/>
        </w:rPr>
        <w:t>As a result, the Group saw strong consumer demand across all its product categories in the region</w:t>
      </w:r>
      <w:r w:rsidRPr="009F781E">
        <w:t xml:space="preserve">. </w:t>
      </w:r>
    </w:p>
    <w:p w:rsidR="004F7545" w:rsidRDefault="004F7545" w:rsidP="004A350A">
      <w:pPr>
        <w:spacing w:after="0"/>
        <w:jc w:val="both"/>
        <w:rPr>
          <w:i/>
        </w:rPr>
      </w:pPr>
    </w:p>
    <w:p w:rsidR="004F7545" w:rsidRDefault="004F7545" w:rsidP="00D6018D">
      <w:pPr>
        <w:spacing w:after="0"/>
        <w:jc w:val="both"/>
      </w:pPr>
      <w:r>
        <w:t>In Europe, net</w:t>
      </w:r>
      <w:r w:rsidRPr="001A761A">
        <w:t xml:space="preserve"> sales increas</w:t>
      </w:r>
      <w:r>
        <w:t>ed</w:t>
      </w:r>
      <w:r w:rsidRPr="001A761A">
        <w:t xml:space="preserve"> by </w:t>
      </w:r>
      <w:r w:rsidRPr="002E7E58">
        <w:t>17.4</w:t>
      </w:r>
      <w:r w:rsidRPr="001A761A">
        <w:t>%</w:t>
      </w:r>
      <w:r w:rsidRPr="00840165">
        <w:rPr>
          <w:rStyle w:val="FootnoteReference"/>
        </w:rPr>
        <w:t>1</w:t>
      </w:r>
      <w:r w:rsidRPr="002E7E58">
        <w:rPr>
          <w:vertAlign w:val="superscript"/>
        </w:rPr>
        <w:t>0</w:t>
      </w:r>
      <w:r w:rsidRPr="001A761A">
        <w:t xml:space="preserve"> </w:t>
      </w:r>
      <w:r>
        <w:t>to US$</w:t>
      </w:r>
      <w:r w:rsidRPr="002E7E58">
        <w:t>255.0</w:t>
      </w:r>
      <w:r>
        <w:t xml:space="preserve"> million </w:t>
      </w:r>
      <w:r w:rsidRPr="001A761A">
        <w:t xml:space="preserve">for the </w:t>
      </w:r>
      <w:r>
        <w:t>six months ended June 30, 2015</w:t>
      </w:r>
      <w:r w:rsidRPr="001A761A">
        <w:t>.</w:t>
      </w:r>
      <w:r>
        <w:t xml:space="preserve"> </w:t>
      </w:r>
      <w:r w:rsidRPr="00F565F9">
        <w:t xml:space="preserve">Germany, the </w:t>
      </w:r>
      <w:r>
        <w:t>Group’s</w:t>
      </w:r>
      <w:r w:rsidRPr="00F565F9">
        <w:t xml:space="preserve"> leading ma</w:t>
      </w:r>
      <w:r>
        <w:t xml:space="preserve">rket in Europe representing </w:t>
      </w:r>
      <w:r w:rsidRPr="002E7E58">
        <w:t>14.7</w:t>
      </w:r>
      <w:r w:rsidRPr="00502188">
        <w:t>%</w:t>
      </w:r>
      <w:r w:rsidRPr="00F565F9">
        <w:t xml:space="preserve"> of total </w:t>
      </w:r>
      <w:r>
        <w:t xml:space="preserve">US Dollar reported </w:t>
      </w:r>
      <w:r w:rsidRPr="00F565F9">
        <w:t xml:space="preserve">net sales in the region, achieved </w:t>
      </w:r>
      <w:r w:rsidRPr="002E7E58">
        <w:t>17.3</w:t>
      </w:r>
      <w:r w:rsidRPr="00502188">
        <w:t>%</w:t>
      </w:r>
      <w:r w:rsidRPr="00840165">
        <w:rPr>
          <w:rStyle w:val="FootnoteReference"/>
        </w:rPr>
        <w:t>1</w:t>
      </w:r>
      <w:r w:rsidRPr="002E7E58">
        <w:rPr>
          <w:vertAlign w:val="superscript"/>
        </w:rPr>
        <w:t>0</w:t>
      </w:r>
      <w:r w:rsidRPr="00F565F9">
        <w:t xml:space="preserve"> </w:t>
      </w:r>
      <w:r>
        <w:t xml:space="preserve">net </w:t>
      </w:r>
      <w:r w:rsidRPr="00F565F9">
        <w:t xml:space="preserve">sales growth during the period. </w:t>
      </w:r>
      <w:r>
        <w:t xml:space="preserve">The United Kingdom recorded constant currency net sales growth of 52.7% over the comparable period of the previous year, including the contribution from the acquisition of Rolling Luggage in February 2015. The Group’s business in </w:t>
      </w:r>
      <w:r w:rsidRPr="00872A87">
        <w:t xml:space="preserve">Italy and Spain </w:t>
      </w:r>
      <w:r>
        <w:t>continued to improve with constant currency net sales growth of 6.5% and 13.0%, respectively</w:t>
      </w:r>
      <w:r w:rsidRPr="00914E69">
        <w:rPr>
          <w:lang w:val="en-US"/>
        </w:rPr>
        <w:t>.</w:t>
      </w:r>
      <w:r>
        <w:rPr>
          <w:lang w:val="en-US"/>
        </w:rPr>
        <w:t xml:space="preserve"> </w:t>
      </w:r>
      <w:r w:rsidRPr="00F565F9">
        <w:t xml:space="preserve">The </w:t>
      </w:r>
      <w:r>
        <w:t xml:space="preserve">Group </w:t>
      </w:r>
      <w:r w:rsidRPr="00F565F9">
        <w:t xml:space="preserve">continued to penetrate the emerging markets of </w:t>
      </w:r>
      <w:r>
        <w:t xml:space="preserve">Turkey and </w:t>
      </w:r>
      <w:r w:rsidRPr="00F565F9">
        <w:t xml:space="preserve">South Africa with year-on-year net sales growth of </w:t>
      </w:r>
      <w:r w:rsidRPr="002E7E58">
        <w:t>44.6</w:t>
      </w:r>
      <w:r w:rsidRPr="00502188">
        <w:t>%</w:t>
      </w:r>
      <w:r w:rsidRPr="00840165">
        <w:rPr>
          <w:rStyle w:val="FootnoteReference"/>
        </w:rPr>
        <w:t>1</w:t>
      </w:r>
      <w:r w:rsidRPr="002E7E58">
        <w:rPr>
          <w:vertAlign w:val="superscript"/>
        </w:rPr>
        <w:t>0</w:t>
      </w:r>
      <w:r>
        <w:t xml:space="preserve"> </w:t>
      </w:r>
      <w:r w:rsidRPr="00F565F9">
        <w:t xml:space="preserve">and </w:t>
      </w:r>
      <w:r w:rsidRPr="002E7E58">
        <w:t>27.2</w:t>
      </w:r>
      <w:r w:rsidRPr="00502188">
        <w:t>%</w:t>
      </w:r>
      <w:r w:rsidRPr="00840165">
        <w:rPr>
          <w:rStyle w:val="FootnoteReference"/>
        </w:rPr>
        <w:t>1</w:t>
      </w:r>
      <w:r w:rsidRPr="002E7E58">
        <w:rPr>
          <w:vertAlign w:val="superscript"/>
        </w:rPr>
        <w:t>0</w:t>
      </w:r>
      <w:r w:rsidRPr="00F565F9">
        <w:t xml:space="preserve">, respectively. </w:t>
      </w:r>
      <w:r>
        <w:t>In Russia, Samsonite’s business was negatively impacted by a slowing economy and the devaluation of the Russian Ruble, but still generated constant currency net sales growth of 2.4% year-on-year. On June 26, 2015, the Group acquired the 40% non-controlling interest in its Russian subsidiary.</w:t>
      </w:r>
    </w:p>
    <w:p w:rsidR="004F7545" w:rsidRPr="00E930A9" w:rsidRDefault="004F7545" w:rsidP="00E930A9">
      <w:pPr>
        <w:spacing w:after="0"/>
        <w:jc w:val="both"/>
      </w:pPr>
    </w:p>
    <w:p w:rsidR="004F7545" w:rsidRDefault="004F7545" w:rsidP="00E930A9">
      <w:pPr>
        <w:spacing w:after="0"/>
        <w:jc w:val="both"/>
      </w:pPr>
      <w:r>
        <w:t>Lastly</w:t>
      </w:r>
      <w:r w:rsidRPr="00D6018D">
        <w:t xml:space="preserve">, in Latin America, net sales increased by </w:t>
      </w:r>
      <w:r w:rsidRPr="002E7E58">
        <w:t>7.3</w:t>
      </w:r>
      <w:r w:rsidRPr="00502188">
        <w:t>%</w:t>
      </w:r>
      <w:r w:rsidRPr="00502188">
        <w:rPr>
          <w:rStyle w:val="FootnoteReference"/>
        </w:rPr>
        <w:t>1</w:t>
      </w:r>
      <w:r w:rsidRPr="002E7E58">
        <w:rPr>
          <w:vertAlign w:val="superscript"/>
        </w:rPr>
        <w:t>0</w:t>
      </w:r>
      <w:r w:rsidRPr="00502188">
        <w:t xml:space="preserve"> to US$</w:t>
      </w:r>
      <w:r w:rsidRPr="002E7E58">
        <w:t>62.9</w:t>
      </w:r>
      <w:r w:rsidRPr="00F565F9">
        <w:t xml:space="preserve"> million for th</w:t>
      </w:r>
      <w:r>
        <w:t>e six months ended June 30, 2015. All countries within the region reported strong constant currency net sales growth, except for</w:t>
      </w:r>
      <w:r w:rsidRPr="003062A4">
        <w:rPr>
          <w:lang w:val="en-US"/>
        </w:rPr>
        <w:t xml:space="preserve"> </w:t>
      </w:r>
      <w:r>
        <w:rPr>
          <w:lang w:val="en-US"/>
        </w:rPr>
        <w:t>n</w:t>
      </w:r>
      <w:r w:rsidRPr="003062A4">
        <w:rPr>
          <w:lang w:val="en-US"/>
        </w:rPr>
        <w:t xml:space="preserve">et sales in Brazil </w:t>
      </w:r>
      <w:r>
        <w:rPr>
          <w:lang w:val="en-US"/>
        </w:rPr>
        <w:t>which decreased</w:t>
      </w:r>
      <w:r w:rsidRPr="003062A4">
        <w:rPr>
          <w:lang w:val="en-US"/>
        </w:rPr>
        <w:t xml:space="preserve"> by </w:t>
      </w:r>
      <w:r w:rsidRPr="002E7E58">
        <w:t>41.1</w:t>
      </w:r>
      <w:r w:rsidRPr="00502188">
        <w:rPr>
          <w:lang w:val="en-US"/>
        </w:rPr>
        <w:t>%</w:t>
      </w:r>
      <w:r w:rsidRPr="00840165">
        <w:rPr>
          <w:rStyle w:val="FootnoteReference"/>
        </w:rPr>
        <w:t>1</w:t>
      </w:r>
      <w:r w:rsidRPr="002E7E58">
        <w:rPr>
          <w:vertAlign w:val="superscript"/>
        </w:rPr>
        <w:t>0</w:t>
      </w:r>
      <w:r w:rsidRPr="00D045C0">
        <w:t xml:space="preserve"> </w:t>
      </w:r>
      <w:r w:rsidRPr="00D045C0">
        <w:rPr>
          <w:lang w:val="en-US"/>
        </w:rPr>
        <w:t>mainly due to the economic uncertainty in the country</w:t>
      </w:r>
      <w:r w:rsidRPr="003062A4">
        <w:rPr>
          <w:lang w:val="en-US"/>
        </w:rPr>
        <w:t>.</w:t>
      </w:r>
      <w:r>
        <w:rPr>
          <w:lang w:val="en-US"/>
        </w:rPr>
        <w:t xml:space="preserve"> Net</w:t>
      </w:r>
      <w:r>
        <w:t xml:space="preserve"> sales in Chile improved by </w:t>
      </w:r>
      <w:r w:rsidRPr="002E7E58">
        <w:t>10.9</w:t>
      </w:r>
      <w:r w:rsidRPr="00502188">
        <w:t>%</w:t>
      </w:r>
      <w:r w:rsidRPr="00840165">
        <w:rPr>
          <w:rStyle w:val="FootnoteReference"/>
        </w:rPr>
        <w:t>1</w:t>
      </w:r>
      <w:r w:rsidRPr="002E7E58">
        <w:rPr>
          <w:vertAlign w:val="superscript"/>
        </w:rPr>
        <w:t>0</w:t>
      </w:r>
      <w:r>
        <w:t xml:space="preserve"> year-on-year, due to the recently launched women’s handbag brand </w:t>
      </w:r>
      <w:r>
        <w:rPr>
          <w:i/>
        </w:rPr>
        <w:t>Secret</w:t>
      </w:r>
      <w:r>
        <w:t xml:space="preserve">, as well as local brands </w:t>
      </w:r>
      <w:r w:rsidRPr="00EE3F76">
        <w:rPr>
          <w:i/>
          <w:iCs/>
        </w:rPr>
        <w:t>Saxoline</w:t>
      </w:r>
      <w:r>
        <w:rPr>
          <w:iCs/>
        </w:rPr>
        <w:t xml:space="preserve"> and </w:t>
      </w:r>
      <w:r w:rsidRPr="00EE3F76">
        <w:rPr>
          <w:i/>
          <w:iCs/>
        </w:rPr>
        <w:t>Xtrem</w:t>
      </w:r>
      <w:r>
        <w:rPr>
          <w:i/>
          <w:iCs/>
        </w:rPr>
        <w:t xml:space="preserve">. </w:t>
      </w:r>
      <w:r>
        <w:rPr>
          <w:lang w:val="en-US"/>
        </w:rPr>
        <w:t>N</w:t>
      </w:r>
      <w:r w:rsidRPr="00217799">
        <w:rPr>
          <w:lang w:val="en-US"/>
        </w:rPr>
        <w:t>et</w:t>
      </w:r>
      <w:r w:rsidRPr="003062A4">
        <w:rPr>
          <w:lang w:val="en-US"/>
        </w:rPr>
        <w:t xml:space="preserve"> sales in Mexico increased by </w:t>
      </w:r>
      <w:r>
        <w:rPr>
          <w:sz w:val="20"/>
          <w:szCs w:val="20"/>
        </w:rPr>
        <w:t>19.7</w:t>
      </w:r>
      <w:r w:rsidRPr="003062A4">
        <w:rPr>
          <w:lang w:val="en-US"/>
        </w:rPr>
        <w:t>%</w:t>
      </w:r>
      <w:r w:rsidRPr="00860DF6">
        <w:rPr>
          <w:vertAlign w:val="superscript"/>
          <w:lang w:val="en-US"/>
        </w:rPr>
        <w:t>10</w:t>
      </w:r>
      <w:r>
        <w:rPr>
          <w:lang w:val="en-US"/>
        </w:rPr>
        <w:t xml:space="preserve">, </w:t>
      </w:r>
      <w:r>
        <w:t xml:space="preserve">driven by the </w:t>
      </w:r>
      <w:r w:rsidRPr="00B758DE">
        <w:rPr>
          <w:i/>
        </w:rPr>
        <w:t>Samsonite</w:t>
      </w:r>
      <w:r>
        <w:rPr>
          <w:i/>
        </w:rPr>
        <w:t>, American Tourister</w:t>
      </w:r>
      <w:r>
        <w:t xml:space="preserve"> and </w:t>
      </w:r>
      <w:r>
        <w:rPr>
          <w:i/>
        </w:rPr>
        <w:t>Xtrem</w:t>
      </w:r>
      <w:r>
        <w:t xml:space="preserve"> brands</w:t>
      </w:r>
      <w:r>
        <w:rPr>
          <w:lang w:val="en-US"/>
        </w:rPr>
        <w:t xml:space="preserve">. </w:t>
      </w:r>
      <w:r w:rsidRPr="00F87DC9">
        <w:rPr>
          <w:lang w:val="en-US"/>
        </w:rPr>
        <w:t>Excluding Brazil, net sales in Latin America increased by 14.8%</w:t>
      </w:r>
      <w:r w:rsidRPr="00840165">
        <w:rPr>
          <w:rStyle w:val="FootnoteReference"/>
        </w:rPr>
        <w:t>1</w:t>
      </w:r>
      <w:r w:rsidRPr="00E256D6">
        <w:rPr>
          <w:vertAlign w:val="superscript"/>
        </w:rPr>
        <w:t>0</w:t>
      </w:r>
      <w:r w:rsidRPr="00F87DC9">
        <w:rPr>
          <w:lang w:val="en-US"/>
        </w:rPr>
        <w:t xml:space="preserve"> </w:t>
      </w:r>
      <w:r>
        <w:t>year-on-year</w:t>
      </w:r>
      <w:r w:rsidRPr="00F87DC9">
        <w:rPr>
          <w:lang w:val="en-US"/>
        </w:rPr>
        <w:t>.</w:t>
      </w:r>
      <w:r>
        <w:rPr>
          <w:lang w:val="en-US"/>
        </w:rPr>
        <w:t xml:space="preserve"> </w:t>
      </w:r>
    </w:p>
    <w:p w:rsidR="004F7545" w:rsidRPr="00D6018D" w:rsidRDefault="004F7545" w:rsidP="00E930A9">
      <w:pPr>
        <w:spacing w:after="0"/>
        <w:jc w:val="both"/>
      </w:pPr>
    </w:p>
    <w:p w:rsidR="004F7545" w:rsidRPr="002A3080" w:rsidRDefault="004F7545" w:rsidP="007B4192">
      <w:pPr>
        <w:spacing w:after="0"/>
        <w:jc w:val="both"/>
      </w:pPr>
      <w:r>
        <w:t xml:space="preserve">Mr. Tainwala stated, “Although the trading environment across all regions was difficult in the first half of 2015, we continued to achieve good performance. In North America, excellent growth in e-commerce and contribution from our recently acquired brands more than compensated for the strong US Dollar’s impact on tourist spending. In Asia, strong double-digit growth in China and Japan made up for slower growth in Hong Kong and South Korea. Our </w:t>
      </w:r>
      <w:r w:rsidRPr="007F0680">
        <w:rPr>
          <w:lang w:eastAsia="zh-HK"/>
        </w:rPr>
        <w:t xml:space="preserve">region-wide roll-out of </w:t>
      </w:r>
      <w:r w:rsidRPr="007F0680">
        <w:rPr>
          <w:i/>
          <w:lang w:eastAsia="zh-HK"/>
        </w:rPr>
        <w:t>American Tourister</w:t>
      </w:r>
      <w:r>
        <w:rPr>
          <w:i/>
          <w:lang w:eastAsia="zh-HK"/>
        </w:rPr>
        <w:t xml:space="preserve"> </w:t>
      </w:r>
      <w:r>
        <w:rPr>
          <w:lang w:eastAsia="zh-HK"/>
        </w:rPr>
        <w:t>helped deliver double-digit organic growth in Europe</w:t>
      </w:r>
      <w:r w:rsidRPr="007F0680">
        <w:rPr>
          <w:lang w:eastAsia="zh-HK"/>
        </w:rPr>
        <w:t xml:space="preserve">. </w:t>
      </w:r>
      <w:r>
        <w:rPr>
          <w:lang w:eastAsia="zh-HK"/>
        </w:rPr>
        <w:t xml:space="preserve">We also made </w:t>
      </w:r>
      <w:r>
        <w:t>excellent progress in most of our key markets in Latin America and remain confident of the long-term growth prospects in this region</w:t>
      </w:r>
      <w:r w:rsidRPr="00E03D30">
        <w:t>.</w:t>
      </w:r>
      <w:r>
        <w:t>”</w:t>
      </w:r>
    </w:p>
    <w:p w:rsidR="004F7545" w:rsidRPr="006E4999" w:rsidRDefault="004F7545" w:rsidP="007B4192">
      <w:pPr>
        <w:spacing w:after="0"/>
        <w:jc w:val="both"/>
      </w:pPr>
    </w:p>
    <w:p w:rsidR="004F7545" w:rsidRDefault="004F7545" w:rsidP="001B4CC3">
      <w:pPr>
        <w:spacing w:after="0" w:line="240" w:lineRule="auto"/>
        <w:rPr>
          <w:b/>
        </w:rPr>
      </w:pPr>
    </w:p>
    <w:p w:rsidR="004F7545" w:rsidRDefault="004F7545" w:rsidP="001B4CC3">
      <w:pPr>
        <w:spacing w:after="0" w:line="240" w:lineRule="auto"/>
        <w:rPr>
          <w:b/>
        </w:rPr>
      </w:pPr>
    </w:p>
    <w:p w:rsidR="004F7545" w:rsidRDefault="004F7545">
      <w:pPr>
        <w:spacing w:after="0" w:line="240" w:lineRule="auto"/>
        <w:rPr>
          <w:b/>
        </w:rPr>
      </w:pPr>
      <w:r>
        <w:rPr>
          <w:b/>
        </w:rPr>
        <w:br w:type="page"/>
      </w:r>
    </w:p>
    <w:p w:rsidR="004F7545" w:rsidRDefault="004F7545" w:rsidP="001B4CC3">
      <w:pPr>
        <w:spacing w:after="0" w:line="240" w:lineRule="auto"/>
        <w:rPr>
          <w:b/>
        </w:rPr>
      </w:pPr>
      <w:r w:rsidRPr="0088388B">
        <w:rPr>
          <w:b/>
        </w:rPr>
        <w:t xml:space="preserve">Table </w:t>
      </w:r>
      <w:r w:rsidRPr="0088388B">
        <w:rPr>
          <w:b/>
          <w:lang w:eastAsia="zh-HK"/>
        </w:rPr>
        <w:t>3</w:t>
      </w:r>
      <w:r w:rsidRPr="0088388B">
        <w:rPr>
          <w:b/>
        </w:rPr>
        <w:t>: Net Sales by Region</w:t>
      </w:r>
    </w:p>
    <w:p w:rsidR="004F7545" w:rsidRPr="00B03B85" w:rsidRDefault="004F7545" w:rsidP="00B03B85">
      <w:pPr>
        <w:spacing w:after="0" w:line="240" w:lineRule="auto"/>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4"/>
        <w:gridCol w:w="2012"/>
        <w:gridCol w:w="2011"/>
        <w:gridCol w:w="2029"/>
        <w:gridCol w:w="1828"/>
      </w:tblGrid>
      <w:tr w:rsidR="004F7545" w:rsidRPr="00D6018D" w:rsidTr="00EC7C9A">
        <w:trPr>
          <w:trHeight w:val="1070"/>
        </w:trPr>
        <w:tc>
          <w:tcPr>
            <w:tcW w:w="1974" w:type="dxa"/>
          </w:tcPr>
          <w:p w:rsidR="004F7545" w:rsidRPr="00D6018D" w:rsidRDefault="004F7545" w:rsidP="004A56D1">
            <w:pPr>
              <w:spacing w:after="0" w:line="240" w:lineRule="auto"/>
              <w:rPr>
                <w:b/>
                <w:sz w:val="20"/>
                <w:szCs w:val="20"/>
              </w:rPr>
            </w:pPr>
            <w:r w:rsidRPr="00D6018D">
              <w:rPr>
                <w:b/>
                <w:sz w:val="20"/>
                <w:szCs w:val="20"/>
              </w:rPr>
              <w:t>Region</w:t>
            </w:r>
          </w:p>
        </w:tc>
        <w:tc>
          <w:tcPr>
            <w:tcW w:w="2012" w:type="dxa"/>
          </w:tcPr>
          <w:p w:rsidR="004F7545" w:rsidRPr="00D6018D" w:rsidRDefault="004F7545" w:rsidP="00D6018D">
            <w:pPr>
              <w:spacing w:after="0" w:line="240" w:lineRule="auto"/>
              <w:jc w:val="center"/>
              <w:rPr>
                <w:b/>
                <w:sz w:val="20"/>
                <w:szCs w:val="20"/>
              </w:rPr>
            </w:pPr>
            <w:r>
              <w:rPr>
                <w:b/>
                <w:sz w:val="20"/>
                <w:szCs w:val="20"/>
              </w:rPr>
              <w:t>Six months</w:t>
            </w:r>
            <w:r w:rsidRPr="00D6018D">
              <w:rPr>
                <w:b/>
                <w:sz w:val="20"/>
                <w:szCs w:val="20"/>
              </w:rPr>
              <w:t xml:space="preserve"> ended</w:t>
            </w:r>
          </w:p>
          <w:p w:rsidR="004F7545" w:rsidRPr="00D6018D" w:rsidRDefault="004F7545" w:rsidP="00D6018D">
            <w:pPr>
              <w:spacing w:after="0" w:line="240" w:lineRule="auto"/>
              <w:jc w:val="center"/>
              <w:rPr>
                <w:b/>
                <w:sz w:val="20"/>
                <w:szCs w:val="20"/>
              </w:rPr>
            </w:pPr>
            <w:r>
              <w:rPr>
                <w:b/>
                <w:sz w:val="20"/>
                <w:szCs w:val="20"/>
              </w:rPr>
              <w:t>June 30</w:t>
            </w:r>
            <w:r w:rsidRPr="00D6018D">
              <w:rPr>
                <w:b/>
                <w:sz w:val="20"/>
                <w:szCs w:val="20"/>
              </w:rPr>
              <w:t xml:space="preserve">, </w:t>
            </w:r>
            <w:r>
              <w:rPr>
                <w:b/>
                <w:sz w:val="20"/>
                <w:szCs w:val="20"/>
              </w:rPr>
              <w:t>2015</w:t>
            </w:r>
          </w:p>
          <w:p w:rsidR="004F7545" w:rsidRPr="00D6018D" w:rsidRDefault="004F7545" w:rsidP="00163039">
            <w:pPr>
              <w:spacing w:after="0" w:line="240" w:lineRule="auto"/>
              <w:jc w:val="center"/>
              <w:rPr>
                <w:b/>
                <w:sz w:val="20"/>
                <w:szCs w:val="20"/>
              </w:rPr>
            </w:pPr>
            <w:r w:rsidRPr="00D6018D">
              <w:rPr>
                <w:b/>
                <w:sz w:val="20"/>
                <w:szCs w:val="20"/>
              </w:rPr>
              <w:t>US$</w:t>
            </w:r>
            <w:r>
              <w:rPr>
                <w:b/>
                <w:sz w:val="20"/>
                <w:szCs w:val="20"/>
              </w:rPr>
              <w:t xml:space="preserve"> millions</w:t>
            </w:r>
          </w:p>
        </w:tc>
        <w:tc>
          <w:tcPr>
            <w:tcW w:w="2011" w:type="dxa"/>
          </w:tcPr>
          <w:p w:rsidR="004F7545" w:rsidRPr="00D6018D" w:rsidRDefault="004F7545" w:rsidP="00D6018D">
            <w:pPr>
              <w:spacing w:after="0" w:line="240" w:lineRule="auto"/>
              <w:jc w:val="center"/>
              <w:rPr>
                <w:b/>
                <w:sz w:val="20"/>
                <w:szCs w:val="20"/>
              </w:rPr>
            </w:pPr>
            <w:r>
              <w:rPr>
                <w:b/>
                <w:sz w:val="20"/>
                <w:szCs w:val="20"/>
              </w:rPr>
              <w:t>Six months</w:t>
            </w:r>
            <w:r w:rsidRPr="00D6018D">
              <w:rPr>
                <w:b/>
                <w:sz w:val="20"/>
                <w:szCs w:val="20"/>
              </w:rPr>
              <w:t xml:space="preserve"> ended</w:t>
            </w:r>
          </w:p>
          <w:p w:rsidR="004F7545" w:rsidRPr="00D6018D" w:rsidRDefault="004F7545" w:rsidP="00D6018D">
            <w:pPr>
              <w:spacing w:after="0" w:line="240" w:lineRule="auto"/>
              <w:jc w:val="center"/>
              <w:rPr>
                <w:b/>
                <w:sz w:val="20"/>
                <w:szCs w:val="20"/>
              </w:rPr>
            </w:pPr>
            <w:r>
              <w:rPr>
                <w:b/>
                <w:sz w:val="20"/>
                <w:szCs w:val="20"/>
              </w:rPr>
              <w:t>June 30</w:t>
            </w:r>
            <w:r w:rsidRPr="00D6018D">
              <w:rPr>
                <w:b/>
                <w:sz w:val="20"/>
                <w:szCs w:val="20"/>
              </w:rPr>
              <w:t xml:space="preserve">, </w:t>
            </w:r>
            <w:r>
              <w:rPr>
                <w:b/>
                <w:sz w:val="20"/>
                <w:szCs w:val="20"/>
              </w:rPr>
              <w:t>2014</w:t>
            </w:r>
          </w:p>
          <w:p w:rsidR="004F7545" w:rsidRPr="00D6018D" w:rsidRDefault="004F7545" w:rsidP="00163039">
            <w:pPr>
              <w:spacing w:after="0" w:line="240" w:lineRule="auto"/>
              <w:jc w:val="center"/>
              <w:rPr>
                <w:sz w:val="20"/>
                <w:szCs w:val="20"/>
              </w:rPr>
            </w:pPr>
            <w:r w:rsidRPr="00D6018D">
              <w:rPr>
                <w:b/>
                <w:sz w:val="20"/>
                <w:szCs w:val="20"/>
              </w:rPr>
              <w:t>US$</w:t>
            </w:r>
            <w:r>
              <w:rPr>
                <w:b/>
                <w:sz w:val="20"/>
                <w:szCs w:val="20"/>
              </w:rPr>
              <w:t xml:space="preserve"> millions</w:t>
            </w:r>
          </w:p>
        </w:tc>
        <w:tc>
          <w:tcPr>
            <w:tcW w:w="2029" w:type="dxa"/>
          </w:tcPr>
          <w:p w:rsidR="004F7545" w:rsidRDefault="004F7545" w:rsidP="00D6018D">
            <w:pPr>
              <w:spacing w:after="0" w:line="240" w:lineRule="auto"/>
              <w:jc w:val="center"/>
              <w:rPr>
                <w:b/>
                <w:sz w:val="20"/>
                <w:szCs w:val="20"/>
              </w:rPr>
            </w:pPr>
            <w:r w:rsidRPr="00D6018D">
              <w:rPr>
                <w:b/>
                <w:sz w:val="20"/>
                <w:szCs w:val="20"/>
              </w:rPr>
              <w:t xml:space="preserve">Percentage </w:t>
            </w:r>
          </w:p>
          <w:p w:rsidR="004F7545" w:rsidRPr="00D6018D" w:rsidRDefault="004F7545" w:rsidP="00D6018D">
            <w:pPr>
              <w:spacing w:after="0" w:line="240" w:lineRule="auto"/>
              <w:jc w:val="center"/>
              <w:rPr>
                <w:b/>
                <w:sz w:val="20"/>
                <w:szCs w:val="20"/>
              </w:rPr>
            </w:pPr>
            <w:r>
              <w:rPr>
                <w:b/>
                <w:sz w:val="20"/>
                <w:szCs w:val="20"/>
              </w:rPr>
              <w:t>increase (decrease)</w:t>
            </w:r>
          </w:p>
          <w:p w:rsidR="004F7545" w:rsidRPr="00D6018D" w:rsidRDefault="004F7545" w:rsidP="007577A7">
            <w:pPr>
              <w:spacing w:after="0" w:line="240" w:lineRule="auto"/>
              <w:jc w:val="center"/>
              <w:rPr>
                <w:b/>
                <w:sz w:val="20"/>
                <w:szCs w:val="20"/>
              </w:rPr>
            </w:pPr>
            <w:r>
              <w:rPr>
                <w:b/>
                <w:sz w:val="20"/>
                <w:szCs w:val="20"/>
              </w:rPr>
              <w:t>2015</w:t>
            </w:r>
            <w:r w:rsidRPr="00D6018D">
              <w:rPr>
                <w:b/>
                <w:sz w:val="20"/>
                <w:szCs w:val="20"/>
              </w:rPr>
              <w:t xml:space="preserve"> vs. </w:t>
            </w:r>
            <w:r>
              <w:rPr>
                <w:b/>
                <w:sz w:val="20"/>
                <w:szCs w:val="20"/>
              </w:rPr>
              <w:t>2014</w:t>
            </w:r>
          </w:p>
        </w:tc>
        <w:tc>
          <w:tcPr>
            <w:tcW w:w="1828" w:type="dxa"/>
          </w:tcPr>
          <w:p w:rsidR="004F7545" w:rsidRDefault="004F7545" w:rsidP="002A3080">
            <w:pPr>
              <w:spacing w:after="0" w:line="240" w:lineRule="auto"/>
              <w:jc w:val="center"/>
              <w:rPr>
                <w:b/>
                <w:sz w:val="20"/>
                <w:szCs w:val="20"/>
              </w:rPr>
            </w:pPr>
            <w:r w:rsidRPr="00D6018D">
              <w:rPr>
                <w:b/>
                <w:sz w:val="20"/>
                <w:szCs w:val="20"/>
              </w:rPr>
              <w:t xml:space="preserve">Percentage </w:t>
            </w:r>
          </w:p>
          <w:p w:rsidR="004F7545" w:rsidRPr="00D6018D" w:rsidRDefault="004F7545" w:rsidP="00DC1755">
            <w:pPr>
              <w:spacing w:after="0" w:line="240" w:lineRule="auto"/>
              <w:jc w:val="center"/>
              <w:rPr>
                <w:b/>
                <w:sz w:val="20"/>
                <w:szCs w:val="20"/>
              </w:rPr>
            </w:pPr>
            <w:r>
              <w:rPr>
                <w:b/>
                <w:sz w:val="20"/>
                <w:szCs w:val="20"/>
              </w:rPr>
              <w:t>increase (decrease)</w:t>
            </w:r>
          </w:p>
          <w:p w:rsidR="004F7545" w:rsidRPr="00D6018D" w:rsidRDefault="004F7545" w:rsidP="00D6018D">
            <w:pPr>
              <w:spacing w:after="0" w:line="240" w:lineRule="auto"/>
              <w:jc w:val="center"/>
              <w:rPr>
                <w:b/>
                <w:sz w:val="20"/>
                <w:szCs w:val="20"/>
              </w:rPr>
            </w:pPr>
            <w:r>
              <w:rPr>
                <w:b/>
                <w:sz w:val="20"/>
                <w:szCs w:val="20"/>
              </w:rPr>
              <w:t>2015</w:t>
            </w:r>
            <w:r w:rsidRPr="00D6018D">
              <w:rPr>
                <w:b/>
                <w:sz w:val="20"/>
                <w:szCs w:val="20"/>
              </w:rPr>
              <w:t xml:space="preserve"> vs. </w:t>
            </w:r>
            <w:r>
              <w:rPr>
                <w:b/>
                <w:sz w:val="20"/>
                <w:szCs w:val="20"/>
              </w:rPr>
              <w:t>2014</w:t>
            </w:r>
          </w:p>
          <w:p w:rsidR="004F7545" w:rsidRPr="00EC7C9A" w:rsidRDefault="004F7545" w:rsidP="00142FEE">
            <w:pPr>
              <w:spacing w:after="0" w:line="240" w:lineRule="auto"/>
              <w:jc w:val="center"/>
              <w:rPr>
                <w:b/>
                <w:sz w:val="20"/>
                <w:szCs w:val="20"/>
              </w:rPr>
            </w:pPr>
            <w:r>
              <w:rPr>
                <w:b/>
                <w:sz w:val="20"/>
                <w:szCs w:val="20"/>
              </w:rPr>
              <w:t>e</w:t>
            </w:r>
            <w:r w:rsidRPr="00D6018D">
              <w:rPr>
                <w:b/>
                <w:sz w:val="20"/>
                <w:szCs w:val="20"/>
              </w:rPr>
              <w:t xml:space="preserve">xcl. </w:t>
            </w:r>
            <w:r>
              <w:rPr>
                <w:b/>
                <w:sz w:val="20"/>
                <w:szCs w:val="20"/>
              </w:rPr>
              <w:t>f</w:t>
            </w:r>
            <w:r w:rsidRPr="00D6018D">
              <w:rPr>
                <w:b/>
                <w:sz w:val="20"/>
                <w:szCs w:val="20"/>
              </w:rPr>
              <w:t xml:space="preserve">oreign </w:t>
            </w:r>
            <w:r>
              <w:rPr>
                <w:b/>
                <w:sz w:val="20"/>
                <w:szCs w:val="20"/>
              </w:rPr>
              <w:t>currency effects</w:t>
            </w:r>
          </w:p>
        </w:tc>
      </w:tr>
      <w:tr w:rsidR="004F7545" w:rsidRPr="008C3097" w:rsidTr="00EC7C9A">
        <w:tc>
          <w:tcPr>
            <w:tcW w:w="1974" w:type="dxa"/>
          </w:tcPr>
          <w:p w:rsidR="004F7545" w:rsidRPr="008368C1" w:rsidRDefault="004F7545" w:rsidP="005E39E2">
            <w:pPr>
              <w:spacing w:beforeLines="50" w:afterLines="50"/>
              <w:rPr>
                <w:rFonts w:cs="Calibri"/>
                <w:b/>
                <w:sz w:val="20"/>
                <w:szCs w:val="20"/>
              </w:rPr>
            </w:pPr>
            <w:r w:rsidRPr="008368C1">
              <w:rPr>
                <w:rFonts w:cs="Calibri"/>
                <w:b/>
                <w:sz w:val="20"/>
                <w:szCs w:val="20"/>
              </w:rPr>
              <w:t>Asia</w:t>
            </w:r>
          </w:p>
        </w:tc>
        <w:tc>
          <w:tcPr>
            <w:tcW w:w="2012" w:type="dxa"/>
            <w:vAlign w:val="center"/>
          </w:tcPr>
          <w:p w:rsidR="004F7545" w:rsidRPr="002A3080" w:rsidRDefault="004F7545" w:rsidP="005E39E2">
            <w:pPr>
              <w:spacing w:beforeLines="50" w:afterLines="50"/>
              <w:jc w:val="center"/>
            </w:pPr>
            <w:r w:rsidRPr="002A3080">
              <w:rPr>
                <w:rFonts w:cs="Calibri"/>
                <w:sz w:val="20"/>
                <w:szCs w:val="20"/>
              </w:rPr>
              <w:t>471.4</w:t>
            </w:r>
          </w:p>
        </w:tc>
        <w:tc>
          <w:tcPr>
            <w:tcW w:w="2011" w:type="dxa"/>
            <w:vAlign w:val="center"/>
          </w:tcPr>
          <w:p w:rsidR="004F7545" w:rsidRPr="002A3080" w:rsidRDefault="004F7545" w:rsidP="005E39E2">
            <w:pPr>
              <w:spacing w:beforeLines="50" w:afterLines="50"/>
              <w:jc w:val="center"/>
            </w:pPr>
            <w:r>
              <w:rPr>
                <w:rFonts w:cs="Calibri"/>
                <w:sz w:val="20"/>
                <w:szCs w:val="20"/>
              </w:rPr>
              <w:t>421.4</w:t>
            </w:r>
          </w:p>
        </w:tc>
        <w:tc>
          <w:tcPr>
            <w:tcW w:w="2029" w:type="dxa"/>
            <w:vAlign w:val="center"/>
          </w:tcPr>
          <w:p w:rsidR="004F7545" w:rsidRPr="002A3080" w:rsidRDefault="004F7545" w:rsidP="005E39E2">
            <w:pPr>
              <w:spacing w:beforeLines="50" w:afterLines="50"/>
              <w:jc w:val="center"/>
            </w:pPr>
            <w:r w:rsidRPr="002A3080">
              <w:rPr>
                <w:rFonts w:cs="Calibri"/>
                <w:sz w:val="20"/>
                <w:szCs w:val="20"/>
              </w:rPr>
              <w:t>11.9%</w:t>
            </w:r>
          </w:p>
        </w:tc>
        <w:tc>
          <w:tcPr>
            <w:tcW w:w="1828" w:type="dxa"/>
            <w:vAlign w:val="center"/>
          </w:tcPr>
          <w:p w:rsidR="004F7545" w:rsidRPr="008368C1" w:rsidDel="00F07836" w:rsidRDefault="004F7545" w:rsidP="005E39E2">
            <w:pPr>
              <w:spacing w:beforeLines="50" w:afterLines="50"/>
              <w:jc w:val="center"/>
              <w:rPr>
                <w:rFonts w:cs="Calibri"/>
                <w:sz w:val="20"/>
                <w:szCs w:val="20"/>
              </w:rPr>
            </w:pPr>
            <w:r w:rsidRPr="002A3080">
              <w:rPr>
                <w:rFonts w:cs="Calibri"/>
                <w:sz w:val="20"/>
                <w:szCs w:val="20"/>
              </w:rPr>
              <w:t>17.2%</w:t>
            </w:r>
          </w:p>
        </w:tc>
      </w:tr>
      <w:tr w:rsidR="004F7545" w:rsidRPr="008C3097" w:rsidTr="00EC7C9A">
        <w:tc>
          <w:tcPr>
            <w:tcW w:w="1974" w:type="dxa"/>
          </w:tcPr>
          <w:p w:rsidR="004F7545" w:rsidRPr="008368C1" w:rsidRDefault="004F7545" w:rsidP="005E39E2">
            <w:pPr>
              <w:spacing w:beforeLines="50" w:afterLines="50"/>
              <w:rPr>
                <w:rFonts w:cs="Calibri"/>
                <w:b/>
                <w:sz w:val="20"/>
                <w:szCs w:val="20"/>
              </w:rPr>
            </w:pPr>
            <w:r w:rsidRPr="008368C1">
              <w:rPr>
                <w:rFonts w:cs="Calibri"/>
                <w:b/>
                <w:sz w:val="20"/>
                <w:szCs w:val="20"/>
              </w:rPr>
              <w:t>North America</w:t>
            </w:r>
          </w:p>
        </w:tc>
        <w:tc>
          <w:tcPr>
            <w:tcW w:w="2012" w:type="dxa"/>
            <w:vAlign w:val="center"/>
          </w:tcPr>
          <w:p w:rsidR="004F7545" w:rsidRPr="002A3080" w:rsidRDefault="004F7545" w:rsidP="005E39E2">
            <w:pPr>
              <w:spacing w:beforeLines="50" w:afterLines="50"/>
              <w:jc w:val="center"/>
            </w:pPr>
            <w:r w:rsidRPr="002A3080">
              <w:rPr>
                <w:rFonts w:cs="Calibri"/>
                <w:sz w:val="20"/>
                <w:szCs w:val="20"/>
              </w:rPr>
              <w:t>402.7</w:t>
            </w:r>
          </w:p>
        </w:tc>
        <w:tc>
          <w:tcPr>
            <w:tcW w:w="2011" w:type="dxa"/>
            <w:vAlign w:val="center"/>
          </w:tcPr>
          <w:p w:rsidR="004F7545" w:rsidRPr="00470E99" w:rsidRDefault="004F7545" w:rsidP="005E39E2">
            <w:pPr>
              <w:spacing w:beforeLines="50" w:afterLines="50"/>
              <w:jc w:val="center"/>
              <w:rPr>
                <w:sz w:val="20"/>
                <w:szCs w:val="20"/>
              </w:rPr>
            </w:pPr>
            <w:r w:rsidRPr="00470E99">
              <w:rPr>
                <w:sz w:val="20"/>
                <w:szCs w:val="20"/>
              </w:rPr>
              <w:t>345.8</w:t>
            </w:r>
          </w:p>
        </w:tc>
        <w:tc>
          <w:tcPr>
            <w:tcW w:w="2029" w:type="dxa"/>
            <w:vAlign w:val="center"/>
          </w:tcPr>
          <w:p w:rsidR="004F7545" w:rsidRPr="002A3080" w:rsidRDefault="004F7545" w:rsidP="005E39E2">
            <w:pPr>
              <w:spacing w:beforeLines="50" w:afterLines="50"/>
              <w:jc w:val="center"/>
            </w:pPr>
            <w:r w:rsidRPr="002A3080">
              <w:rPr>
                <w:rFonts w:cs="Calibri"/>
                <w:sz w:val="20"/>
                <w:szCs w:val="20"/>
              </w:rPr>
              <w:t>16.5%</w:t>
            </w:r>
          </w:p>
        </w:tc>
        <w:tc>
          <w:tcPr>
            <w:tcW w:w="1828" w:type="dxa"/>
            <w:vAlign w:val="center"/>
          </w:tcPr>
          <w:p w:rsidR="004F7545" w:rsidRPr="008368C1" w:rsidDel="00F07836" w:rsidRDefault="004F7545" w:rsidP="005E39E2">
            <w:pPr>
              <w:spacing w:beforeLines="50" w:afterLines="50"/>
              <w:jc w:val="center"/>
              <w:rPr>
                <w:rFonts w:cs="Calibri"/>
                <w:sz w:val="20"/>
                <w:szCs w:val="20"/>
              </w:rPr>
            </w:pPr>
            <w:r w:rsidRPr="002A3080">
              <w:rPr>
                <w:rFonts w:cs="Calibri"/>
                <w:sz w:val="20"/>
                <w:szCs w:val="20"/>
              </w:rPr>
              <w:t>17.3%</w:t>
            </w:r>
          </w:p>
        </w:tc>
      </w:tr>
      <w:tr w:rsidR="004F7545" w:rsidRPr="008C3097" w:rsidTr="00FD1BCD">
        <w:tc>
          <w:tcPr>
            <w:tcW w:w="1974" w:type="dxa"/>
            <w:vAlign w:val="center"/>
          </w:tcPr>
          <w:p w:rsidR="004F7545" w:rsidRPr="008368C1" w:rsidRDefault="004F7545" w:rsidP="005E39E2">
            <w:pPr>
              <w:spacing w:beforeLines="50" w:afterLines="50"/>
              <w:rPr>
                <w:rFonts w:cs="Calibri"/>
                <w:b/>
                <w:sz w:val="20"/>
                <w:szCs w:val="20"/>
              </w:rPr>
            </w:pPr>
            <w:r w:rsidRPr="008368C1">
              <w:rPr>
                <w:rFonts w:cs="Calibri"/>
                <w:b/>
                <w:sz w:val="20"/>
                <w:szCs w:val="20"/>
              </w:rPr>
              <w:t>Europe</w:t>
            </w:r>
          </w:p>
        </w:tc>
        <w:tc>
          <w:tcPr>
            <w:tcW w:w="2012" w:type="dxa"/>
            <w:vAlign w:val="center"/>
          </w:tcPr>
          <w:p w:rsidR="004F7545" w:rsidRPr="002A3080" w:rsidRDefault="004F7545" w:rsidP="005E39E2">
            <w:pPr>
              <w:spacing w:beforeLines="50" w:afterLines="50"/>
              <w:jc w:val="center"/>
            </w:pPr>
            <w:r w:rsidRPr="002A3080">
              <w:rPr>
                <w:rFonts w:cs="Calibri"/>
                <w:sz w:val="20"/>
                <w:szCs w:val="20"/>
              </w:rPr>
              <w:t>255</w:t>
            </w:r>
            <w:r>
              <w:rPr>
                <w:rFonts w:cs="Calibri"/>
                <w:sz w:val="20"/>
                <w:szCs w:val="20"/>
              </w:rPr>
              <w:t>.0</w:t>
            </w:r>
          </w:p>
        </w:tc>
        <w:tc>
          <w:tcPr>
            <w:tcW w:w="2011" w:type="dxa"/>
            <w:vAlign w:val="center"/>
          </w:tcPr>
          <w:p w:rsidR="004F7545" w:rsidRPr="00470E99" w:rsidRDefault="004F7545" w:rsidP="005E39E2">
            <w:pPr>
              <w:spacing w:beforeLines="50" w:afterLines="50"/>
              <w:jc w:val="center"/>
              <w:rPr>
                <w:sz w:val="20"/>
                <w:szCs w:val="20"/>
              </w:rPr>
            </w:pPr>
            <w:r w:rsidRPr="00470E99">
              <w:rPr>
                <w:sz w:val="20"/>
                <w:szCs w:val="20"/>
              </w:rPr>
              <w:t>266.8</w:t>
            </w:r>
          </w:p>
        </w:tc>
        <w:tc>
          <w:tcPr>
            <w:tcW w:w="2029" w:type="dxa"/>
            <w:vAlign w:val="center"/>
          </w:tcPr>
          <w:p w:rsidR="004F7545" w:rsidRPr="002A3080" w:rsidRDefault="004F7545" w:rsidP="005E39E2">
            <w:pPr>
              <w:spacing w:beforeLines="50" w:afterLines="50"/>
              <w:jc w:val="center"/>
            </w:pPr>
            <w:r w:rsidRPr="002A3080">
              <w:rPr>
                <w:rFonts w:cs="Calibri"/>
                <w:sz w:val="20"/>
                <w:szCs w:val="20"/>
              </w:rPr>
              <w:t>(4.4)%</w:t>
            </w:r>
          </w:p>
        </w:tc>
        <w:tc>
          <w:tcPr>
            <w:tcW w:w="1828" w:type="dxa"/>
            <w:vAlign w:val="center"/>
          </w:tcPr>
          <w:p w:rsidR="004F7545" w:rsidRPr="008368C1" w:rsidDel="00F07836" w:rsidRDefault="004F7545" w:rsidP="005E39E2">
            <w:pPr>
              <w:spacing w:beforeLines="50" w:afterLines="50"/>
              <w:jc w:val="center"/>
              <w:rPr>
                <w:rFonts w:cs="Calibri"/>
                <w:sz w:val="20"/>
                <w:szCs w:val="20"/>
              </w:rPr>
            </w:pPr>
            <w:r w:rsidRPr="002A3080">
              <w:rPr>
                <w:rFonts w:cs="Calibri"/>
                <w:sz w:val="20"/>
                <w:szCs w:val="20"/>
              </w:rPr>
              <w:t>17.4%</w:t>
            </w:r>
          </w:p>
        </w:tc>
      </w:tr>
      <w:tr w:rsidR="004F7545" w:rsidRPr="008C3097" w:rsidTr="00FD1BCD">
        <w:tc>
          <w:tcPr>
            <w:tcW w:w="1974" w:type="dxa"/>
          </w:tcPr>
          <w:p w:rsidR="004F7545" w:rsidRPr="008368C1" w:rsidRDefault="004F7545" w:rsidP="005E39E2">
            <w:pPr>
              <w:spacing w:beforeLines="50" w:afterLines="50"/>
              <w:rPr>
                <w:rFonts w:cs="Calibri"/>
                <w:b/>
                <w:sz w:val="20"/>
                <w:szCs w:val="20"/>
              </w:rPr>
            </w:pPr>
            <w:r w:rsidRPr="008368C1">
              <w:rPr>
                <w:rFonts w:cs="Calibri"/>
                <w:b/>
                <w:sz w:val="20"/>
                <w:szCs w:val="20"/>
              </w:rPr>
              <w:t>Latin America</w:t>
            </w:r>
          </w:p>
        </w:tc>
        <w:tc>
          <w:tcPr>
            <w:tcW w:w="2012" w:type="dxa"/>
            <w:vAlign w:val="center"/>
          </w:tcPr>
          <w:p w:rsidR="004F7545" w:rsidRPr="002A3080" w:rsidRDefault="004F7545" w:rsidP="005E39E2">
            <w:pPr>
              <w:spacing w:beforeLines="50" w:afterLines="50"/>
              <w:jc w:val="center"/>
            </w:pPr>
            <w:r w:rsidRPr="002A3080">
              <w:rPr>
                <w:rFonts w:cs="Calibri"/>
                <w:sz w:val="20"/>
                <w:szCs w:val="20"/>
              </w:rPr>
              <w:t>62.9</w:t>
            </w:r>
          </w:p>
        </w:tc>
        <w:tc>
          <w:tcPr>
            <w:tcW w:w="2011" w:type="dxa"/>
            <w:vAlign w:val="center"/>
          </w:tcPr>
          <w:p w:rsidR="004F7545" w:rsidRPr="00470E99" w:rsidRDefault="004F7545" w:rsidP="005E39E2">
            <w:pPr>
              <w:spacing w:beforeLines="50" w:afterLines="50"/>
              <w:jc w:val="center"/>
              <w:rPr>
                <w:sz w:val="20"/>
                <w:szCs w:val="20"/>
              </w:rPr>
            </w:pPr>
            <w:r w:rsidRPr="00470E99">
              <w:rPr>
                <w:sz w:val="20"/>
                <w:szCs w:val="20"/>
              </w:rPr>
              <w:t>67.0</w:t>
            </w:r>
          </w:p>
        </w:tc>
        <w:tc>
          <w:tcPr>
            <w:tcW w:w="2029" w:type="dxa"/>
            <w:vAlign w:val="center"/>
          </w:tcPr>
          <w:p w:rsidR="004F7545" w:rsidRPr="002A3080" w:rsidRDefault="004F7545" w:rsidP="005E39E2">
            <w:pPr>
              <w:spacing w:beforeLines="50" w:afterLines="50"/>
              <w:jc w:val="center"/>
            </w:pPr>
            <w:r w:rsidRPr="002A3080">
              <w:rPr>
                <w:rFonts w:cs="Calibri"/>
                <w:sz w:val="20"/>
                <w:szCs w:val="20"/>
              </w:rPr>
              <w:t>(6.1)%</w:t>
            </w:r>
          </w:p>
        </w:tc>
        <w:tc>
          <w:tcPr>
            <w:tcW w:w="1828" w:type="dxa"/>
            <w:vAlign w:val="center"/>
          </w:tcPr>
          <w:p w:rsidR="004F7545" w:rsidRPr="008368C1" w:rsidDel="00F07836" w:rsidRDefault="004F7545" w:rsidP="005E39E2">
            <w:pPr>
              <w:spacing w:beforeLines="50" w:afterLines="50"/>
              <w:jc w:val="center"/>
              <w:rPr>
                <w:rFonts w:cs="Calibri"/>
                <w:sz w:val="20"/>
                <w:szCs w:val="20"/>
              </w:rPr>
            </w:pPr>
            <w:r w:rsidRPr="002A3080">
              <w:rPr>
                <w:rFonts w:cs="Calibri"/>
                <w:sz w:val="20"/>
                <w:szCs w:val="20"/>
              </w:rPr>
              <w:t>7.3%</w:t>
            </w:r>
          </w:p>
        </w:tc>
      </w:tr>
    </w:tbl>
    <w:p w:rsidR="004F7545" w:rsidRPr="008368C1" w:rsidRDefault="004F7545" w:rsidP="00D6018D">
      <w:pPr>
        <w:spacing w:after="0"/>
        <w:rPr>
          <w:rFonts w:cs="Calibri"/>
          <w:vanish/>
          <w:sz w:val="20"/>
          <w:szCs w:val="20"/>
        </w:rPr>
      </w:pPr>
    </w:p>
    <w:p w:rsidR="004F7545" w:rsidRPr="008368C1" w:rsidRDefault="004F7545" w:rsidP="00D6018D">
      <w:pPr>
        <w:spacing w:after="0"/>
        <w:rPr>
          <w:rFonts w:cs="Calibri"/>
          <w:vanish/>
          <w:sz w:val="20"/>
          <w:szCs w:val="20"/>
        </w:rPr>
      </w:pPr>
    </w:p>
    <w:p w:rsidR="004F7545" w:rsidRDefault="004F7545" w:rsidP="00A44B4D">
      <w:pPr>
        <w:spacing w:after="0" w:line="240" w:lineRule="auto"/>
        <w:rPr>
          <w:color w:val="FF0000"/>
          <w:lang w:eastAsia="zh-TW"/>
        </w:rPr>
      </w:pPr>
    </w:p>
    <w:p w:rsidR="004F7545" w:rsidRPr="00651EE5" w:rsidRDefault="004F7545" w:rsidP="00DA5CDC">
      <w:pPr>
        <w:spacing w:after="0"/>
        <w:jc w:val="both"/>
        <w:rPr>
          <w:b/>
          <w:i/>
        </w:rPr>
      </w:pPr>
      <w:r w:rsidRPr="00651EE5">
        <w:rPr>
          <w:b/>
          <w:i/>
        </w:rPr>
        <w:t>Net Sales by Product Category</w:t>
      </w:r>
    </w:p>
    <w:p w:rsidR="004F7545" w:rsidRDefault="004F7545" w:rsidP="00EA7AD3">
      <w:pPr>
        <w:jc w:val="both"/>
        <w:rPr>
          <w:lang w:val="en-US"/>
        </w:rPr>
      </w:pPr>
      <w:r w:rsidRPr="00651EE5">
        <w:t>Of Samsonite’s four princip</w:t>
      </w:r>
      <w:r>
        <w:t>al</w:t>
      </w:r>
      <w:r w:rsidRPr="00651EE5">
        <w:t xml:space="preserve"> product categories, travel products are the </w:t>
      </w:r>
      <w:r>
        <w:t>Group</w:t>
      </w:r>
      <w:r w:rsidRPr="00651EE5">
        <w:t xml:space="preserve">’s traditional strength and continue to be </w:t>
      </w:r>
      <w:r>
        <w:t>its</w:t>
      </w:r>
      <w:r w:rsidRPr="00651EE5">
        <w:t xml:space="preserve"> largest product category, accounting for </w:t>
      </w:r>
      <w:r w:rsidRPr="002E7E58">
        <w:t>67.6</w:t>
      </w:r>
      <w:r w:rsidRPr="002F081D">
        <w:t>%</w:t>
      </w:r>
      <w:r>
        <w:t xml:space="preserve"> of total</w:t>
      </w:r>
      <w:r w:rsidRPr="00651EE5">
        <w:t xml:space="preserve"> net sales </w:t>
      </w:r>
      <w:r>
        <w:t>for the first six months of 2015. Net sales in the travel category</w:t>
      </w:r>
      <w:r w:rsidRPr="00651EE5">
        <w:t xml:space="preserve"> increase</w:t>
      </w:r>
      <w:r>
        <w:t>d by</w:t>
      </w:r>
      <w:r w:rsidRPr="00651EE5">
        <w:t xml:space="preserve"> </w:t>
      </w:r>
      <w:r w:rsidRPr="002E7E58">
        <w:t>9.5</w:t>
      </w:r>
      <w:r w:rsidRPr="002F081D">
        <w:t>%</w:t>
      </w:r>
      <w:r>
        <w:rPr>
          <w:rStyle w:val="FootnoteReference"/>
        </w:rPr>
        <w:footnoteReference w:id="12"/>
      </w:r>
      <w:r w:rsidRPr="00651EE5">
        <w:t xml:space="preserve"> from </w:t>
      </w:r>
      <w:r>
        <w:t>the same period in 2015, with c</w:t>
      </w:r>
      <w:r w:rsidRPr="00E107CB">
        <w:t>ountry-specific product designs, locally relevant marketing strategies and expanded points of sale</w:t>
      </w:r>
      <w:r w:rsidRPr="00453F57">
        <w:t xml:space="preserve">, including e-commerce, </w:t>
      </w:r>
      <w:r w:rsidRPr="00E107CB">
        <w:t xml:space="preserve">contributing to this increase. </w:t>
      </w:r>
      <w:r>
        <w:t>I</w:t>
      </w:r>
      <w:r w:rsidRPr="0068736D">
        <w:t xml:space="preserve">n </w:t>
      </w:r>
      <w:r>
        <w:t xml:space="preserve">the first half of 2015, net sales in the casual product category increased by </w:t>
      </w:r>
      <w:r w:rsidRPr="002E7E58">
        <w:t>21.7</w:t>
      </w:r>
      <w:r w:rsidRPr="002F081D">
        <w:t>%</w:t>
      </w:r>
      <w:r w:rsidRPr="00854F37">
        <w:rPr>
          <w:rStyle w:val="FootnoteReference"/>
          <w:lang w:val="en-US"/>
        </w:rPr>
        <w:t>1</w:t>
      </w:r>
      <w:r w:rsidRPr="002E7E58">
        <w:rPr>
          <w:vertAlign w:val="superscript"/>
          <w:lang w:val="en-US"/>
        </w:rPr>
        <w:t>1</w:t>
      </w:r>
      <w:r>
        <w:t xml:space="preserve">, primarily as a result of the success of the </w:t>
      </w:r>
      <w:r w:rsidRPr="00E832C4">
        <w:rPr>
          <w:i/>
        </w:rPr>
        <w:t>High Sierra</w:t>
      </w:r>
      <w:r w:rsidRPr="00524E85">
        <w:t xml:space="preserve"> brand</w:t>
      </w:r>
      <w:r>
        <w:rPr>
          <w:i/>
        </w:rPr>
        <w:t xml:space="preserve"> </w:t>
      </w:r>
      <w:r>
        <w:t xml:space="preserve">and the </w:t>
      </w:r>
      <w:r w:rsidRPr="00E832C4">
        <w:rPr>
          <w:i/>
        </w:rPr>
        <w:t>Samsonite R</w:t>
      </w:r>
      <w:r>
        <w:rPr>
          <w:i/>
        </w:rPr>
        <w:t xml:space="preserve">ed </w:t>
      </w:r>
      <w:r w:rsidRPr="00524E85">
        <w:t>sub-</w:t>
      </w:r>
      <w:r w:rsidRPr="00E832C4">
        <w:t>brand</w:t>
      </w:r>
      <w:r w:rsidRPr="00B1682C">
        <w:t xml:space="preserve"> </w:t>
      </w:r>
      <w:r>
        <w:t xml:space="preserve">as well as the contribution from the </w:t>
      </w:r>
      <w:r>
        <w:rPr>
          <w:i/>
        </w:rPr>
        <w:t>Gregory</w:t>
      </w:r>
      <w:r>
        <w:t xml:space="preserve"> brand</w:t>
      </w:r>
      <w:r>
        <w:rPr>
          <w:i/>
        </w:rPr>
        <w:t xml:space="preserve">, </w:t>
      </w:r>
      <w:r>
        <w:t xml:space="preserve">which was acquired on July 23, 2014. Net sales in the business product category increased by </w:t>
      </w:r>
      <w:r w:rsidRPr="002E7E58">
        <w:t>44.4</w:t>
      </w:r>
      <w:r>
        <w:t>%</w:t>
      </w:r>
      <w:r w:rsidRPr="00854F37">
        <w:rPr>
          <w:rStyle w:val="FootnoteReference"/>
          <w:lang w:val="en-US"/>
        </w:rPr>
        <w:t>1</w:t>
      </w:r>
      <w:r w:rsidRPr="002E7E58">
        <w:rPr>
          <w:vertAlign w:val="superscript"/>
          <w:lang w:val="en-US"/>
        </w:rPr>
        <w:t>1</w:t>
      </w:r>
      <w:r>
        <w:rPr>
          <w:lang w:val="en-US"/>
        </w:rPr>
        <w:t xml:space="preserve">, due </w:t>
      </w:r>
      <w:r>
        <w:t xml:space="preserve">primarily to net sales of tablet and laptop cases attributable to </w:t>
      </w:r>
      <w:r>
        <w:rPr>
          <w:i/>
        </w:rPr>
        <w:t>Speck</w:t>
      </w:r>
      <w:r>
        <w:t xml:space="preserve">, as well as </w:t>
      </w:r>
      <w:r w:rsidRPr="00A92B77">
        <w:t>new product introductions</w:t>
      </w:r>
      <w:r>
        <w:t xml:space="preserve"> under the </w:t>
      </w:r>
      <w:r w:rsidRPr="002A3080">
        <w:rPr>
          <w:i/>
        </w:rPr>
        <w:t>Samsonite</w:t>
      </w:r>
      <w:r>
        <w:t xml:space="preserve"> brand. </w:t>
      </w:r>
      <w:r>
        <w:rPr>
          <w:lang w:val="en-US"/>
        </w:rPr>
        <w:t>T</w:t>
      </w:r>
      <w:r w:rsidRPr="000B57AB">
        <w:rPr>
          <w:lang w:val="en-US"/>
        </w:rPr>
        <w:t>he accessories categor</w:t>
      </w:r>
      <w:r>
        <w:rPr>
          <w:lang w:val="en-US"/>
        </w:rPr>
        <w:t>y</w:t>
      </w:r>
      <w:r w:rsidRPr="000B57AB">
        <w:rPr>
          <w:lang w:val="en-US"/>
        </w:rPr>
        <w:t xml:space="preserve"> </w:t>
      </w:r>
      <w:r>
        <w:rPr>
          <w:lang w:val="en-US"/>
        </w:rPr>
        <w:t xml:space="preserve">recorded a net sales </w:t>
      </w:r>
      <w:r w:rsidRPr="000B57AB">
        <w:rPr>
          <w:lang w:val="en-US"/>
        </w:rPr>
        <w:t xml:space="preserve">increase </w:t>
      </w:r>
      <w:r>
        <w:rPr>
          <w:lang w:val="en-US"/>
        </w:rPr>
        <w:t>of</w:t>
      </w:r>
      <w:r w:rsidRPr="000B57AB">
        <w:rPr>
          <w:lang w:val="en-US"/>
        </w:rPr>
        <w:t xml:space="preserve"> </w:t>
      </w:r>
      <w:r w:rsidRPr="002E7E58">
        <w:t>52.7</w:t>
      </w:r>
      <w:r w:rsidRPr="000B57AB">
        <w:rPr>
          <w:lang w:val="en-US"/>
        </w:rPr>
        <w:t>%</w:t>
      </w:r>
      <w:r w:rsidRPr="00854F37">
        <w:rPr>
          <w:rStyle w:val="FootnoteReference"/>
          <w:lang w:val="en-US"/>
        </w:rPr>
        <w:t>1</w:t>
      </w:r>
      <w:r w:rsidRPr="002E7E58">
        <w:rPr>
          <w:vertAlign w:val="superscript"/>
          <w:lang w:val="en-US"/>
        </w:rPr>
        <w:t>1</w:t>
      </w:r>
      <w:r>
        <w:rPr>
          <w:lang w:val="en-US"/>
        </w:rPr>
        <w:t>, l</w:t>
      </w:r>
      <w:r w:rsidRPr="00EA7AD3">
        <w:rPr>
          <w:lang w:val="en-US"/>
        </w:rPr>
        <w:t xml:space="preserve">argely due to </w:t>
      </w:r>
      <w:r>
        <w:t xml:space="preserve">net sales of protective phone cases attributable to </w:t>
      </w:r>
      <w:r>
        <w:rPr>
          <w:i/>
        </w:rPr>
        <w:t>Speck</w:t>
      </w:r>
      <w:r w:rsidRPr="00A92B77">
        <w:t>.</w:t>
      </w:r>
      <w:r>
        <w:t xml:space="preserve"> Excluding </w:t>
      </w:r>
      <w:r w:rsidRPr="006024AC">
        <w:rPr>
          <w:i/>
        </w:rPr>
        <w:t>Speck</w:t>
      </w:r>
      <w:r>
        <w:t xml:space="preserve"> and on a constant currency basis, net sales in the business and accessories categories increased by 23.1% and 21.9%, respectively</w:t>
      </w:r>
      <w:r w:rsidRPr="00EA7AD3">
        <w:rPr>
          <w:lang w:val="en-US"/>
        </w:rPr>
        <w:t>.</w:t>
      </w:r>
      <w:r w:rsidRPr="005126CB">
        <w:t xml:space="preserve"> </w:t>
      </w:r>
      <w:r w:rsidRPr="00E03D30">
        <w:t xml:space="preserve">As </w:t>
      </w:r>
      <w:r>
        <w:t xml:space="preserve">the Group continues to further diversify its product offering, </w:t>
      </w:r>
      <w:r w:rsidRPr="00E03D30">
        <w:t xml:space="preserve">the share of the travel category in </w:t>
      </w:r>
      <w:r>
        <w:t>its</w:t>
      </w:r>
      <w:r w:rsidRPr="00E03D30">
        <w:t xml:space="preserve"> business decreased from 72.2% </w:t>
      </w:r>
      <w:r>
        <w:t xml:space="preserve">of net sales in the first half of 2014 </w:t>
      </w:r>
      <w:r w:rsidRPr="00E03D30">
        <w:t xml:space="preserve">to 67.6% in the first half </w:t>
      </w:r>
      <w:r>
        <w:t>this year</w:t>
      </w:r>
      <w:r w:rsidRPr="00E03D30">
        <w:t>.</w:t>
      </w:r>
    </w:p>
    <w:p w:rsidR="004F7545" w:rsidRPr="00AE68E0" w:rsidRDefault="004F7545" w:rsidP="00EA7AD3">
      <w:pPr>
        <w:jc w:val="both"/>
      </w:pPr>
      <w:r>
        <w:rPr>
          <w:lang w:val="en-US"/>
        </w:rPr>
        <w:t>Mr. Tainwala noted, “</w:t>
      </w:r>
      <w:r>
        <w:t>Our</w:t>
      </w:r>
      <w:r w:rsidRPr="00E03D30">
        <w:t xml:space="preserve"> core travel category </w:t>
      </w:r>
      <w:r>
        <w:t xml:space="preserve">continued to perform well as our </w:t>
      </w:r>
      <w:r w:rsidRPr="00AE68E0">
        <w:rPr>
          <w:i/>
        </w:rPr>
        <w:t>Samsonite</w:t>
      </w:r>
      <w:r w:rsidRPr="00AE68E0">
        <w:t xml:space="preserve"> and </w:t>
      </w:r>
      <w:r w:rsidRPr="00AE68E0">
        <w:rPr>
          <w:i/>
        </w:rPr>
        <w:t>American</w:t>
      </w:r>
      <w:r w:rsidRPr="00860DF6">
        <w:t xml:space="preserve"> </w:t>
      </w:r>
      <w:r w:rsidRPr="00AE68E0">
        <w:rPr>
          <w:i/>
        </w:rPr>
        <w:t>Tourister</w:t>
      </w:r>
      <w:r w:rsidRPr="00AE68E0">
        <w:t xml:space="preserve"> brands capture greater travel luggage market share around the world. Our </w:t>
      </w:r>
      <w:r w:rsidRPr="0043316A">
        <w:t>strategy of</w:t>
      </w:r>
      <w:r w:rsidRPr="00AF4076">
        <w:t xml:space="preserve"> localizing </w:t>
      </w:r>
      <w:r w:rsidRPr="005126CB">
        <w:t xml:space="preserve">our products and our marketing campaigns has been a key factor in this success. </w:t>
      </w:r>
      <w:r w:rsidRPr="00AE68E0">
        <w:t xml:space="preserve">We also see good potential in the non-travel product categories, especially the large but highly fragmented backpack and casual bag </w:t>
      </w:r>
      <w:r>
        <w:t>segment</w:t>
      </w:r>
      <w:r w:rsidRPr="00AE68E0">
        <w:t xml:space="preserve"> where our market share is currently </w:t>
      </w:r>
      <w:r>
        <w:t>very small</w:t>
      </w:r>
      <w:r w:rsidRPr="00AE68E0">
        <w:t>. We believe our strategy of deploying multiple brands in this category will provide us with the building blocks for sustained long-term growth.</w:t>
      </w:r>
      <w:r>
        <w:t>”</w:t>
      </w:r>
    </w:p>
    <w:p w:rsidR="004F7545" w:rsidRPr="00860DF6" w:rsidRDefault="004F7545" w:rsidP="00860DF6">
      <w:pPr>
        <w:rPr>
          <w:b/>
        </w:rPr>
      </w:pPr>
    </w:p>
    <w:p w:rsidR="004F7545" w:rsidRDefault="004F7545" w:rsidP="00A532A9">
      <w:pPr>
        <w:rPr>
          <w:b/>
        </w:rPr>
      </w:pPr>
    </w:p>
    <w:p w:rsidR="004F7545" w:rsidRDefault="004F7545" w:rsidP="00A532A9">
      <w:pPr>
        <w:rPr>
          <w:b/>
        </w:rPr>
      </w:pPr>
    </w:p>
    <w:p w:rsidR="004F7545" w:rsidRDefault="004F7545" w:rsidP="00A532A9">
      <w:pPr>
        <w:rPr>
          <w:b/>
        </w:rPr>
      </w:pPr>
    </w:p>
    <w:p w:rsidR="004F7545" w:rsidRDefault="004F7545" w:rsidP="00A532A9">
      <w:pPr>
        <w:rPr>
          <w:b/>
        </w:rPr>
      </w:pPr>
    </w:p>
    <w:p w:rsidR="004F7545" w:rsidRPr="0068736D" w:rsidRDefault="004F7545" w:rsidP="00A532A9">
      <w:pPr>
        <w:rPr>
          <w:b/>
        </w:rPr>
      </w:pPr>
      <w:r w:rsidRPr="0068736D">
        <w:rPr>
          <w:b/>
        </w:rPr>
        <w:t xml:space="preserve">Table </w:t>
      </w:r>
      <w:r w:rsidRPr="0068736D">
        <w:rPr>
          <w:b/>
          <w:lang w:eastAsia="zh-HK"/>
        </w:rPr>
        <w:t>4</w:t>
      </w:r>
      <w:r w:rsidRPr="0068736D">
        <w:rPr>
          <w:b/>
        </w:rPr>
        <w:t>: Net Sales by Product Category</w:t>
      </w: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8"/>
        <w:gridCol w:w="1896"/>
        <w:gridCol w:w="1896"/>
        <w:gridCol w:w="2030"/>
        <w:gridCol w:w="2229"/>
      </w:tblGrid>
      <w:tr w:rsidR="004F7545" w:rsidRPr="004A56D1" w:rsidTr="00EC7C9A">
        <w:trPr>
          <w:trHeight w:val="1034"/>
        </w:trPr>
        <w:tc>
          <w:tcPr>
            <w:tcW w:w="0" w:type="auto"/>
          </w:tcPr>
          <w:p w:rsidR="004F7545" w:rsidRPr="004A56D1" w:rsidRDefault="004F7545" w:rsidP="00D6018D">
            <w:pPr>
              <w:spacing w:after="0" w:line="240" w:lineRule="auto"/>
              <w:jc w:val="both"/>
              <w:rPr>
                <w:rFonts w:cs="Calibri"/>
                <w:b/>
                <w:sz w:val="20"/>
                <w:szCs w:val="20"/>
              </w:rPr>
            </w:pPr>
            <w:r w:rsidRPr="004A56D1">
              <w:rPr>
                <w:rFonts w:cs="Calibri"/>
                <w:b/>
                <w:sz w:val="20"/>
                <w:szCs w:val="20"/>
              </w:rPr>
              <w:t>Product Category</w:t>
            </w:r>
          </w:p>
        </w:tc>
        <w:tc>
          <w:tcPr>
            <w:tcW w:w="0" w:type="auto"/>
          </w:tcPr>
          <w:p w:rsidR="004F7545" w:rsidRPr="004A56D1" w:rsidRDefault="004F7545" w:rsidP="00D6018D">
            <w:pPr>
              <w:spacing w:after="0" w:line="240" w:lineRule="auto"/>
              <w:jc w:val="center"/>
              <w:rPr>
                <w:rFonts w:cs="Calibri"/>
                <w:b/>
                <w:sz w:val="20"/>
                <w:szCs w:val="20"/>
              </w:rPr>
            </w:pPr>
            <w:r>
              <w:rPr>
                <w:rFonts w:cs="Calibri"/>
                <w:b/>
                <w:sz w:val="20"/>
                <w:szCs w:val="20"/>
              </w:rPr>
              <w:t>Six months</w:t>
            </w:r>
            <w:r w:rsidRPr="004A56D1">
              <w:rPr>
                <w:rFonts w:cs="Calibri"/>
                <w:b/>
                <w:sz w:val="20"/>
                <w:szCs w:val="20"/>
              </w:rPr>
              <w:t xml:space="preserve"> ended</w:t>
            </w:r>
          </w:p>
          <w:p w:rsidR="004F7545" w:rsidRPr="004A56D1" w:rsidRDefault="004F7545" w:rsidP="00D6018D">
            <w:pPr>
              <w:spacing w:after="0" w:line="240" w:lineRule="auto"/>
              <w:jc w:val="center"/>
              <w:rPr>
                <w:rFonts w:cs="Calibri"/>
                <w:b/>
                <w:sz w:val="20"/>
                <w:szCs w:val="20"/>
              </w:rPr>
            </w:pPr>
            <w:r>
              <w:rPr>
                <w:rFonts w:cs="Calibri"/>
                <w:b/>
                <w:sz w:val="20"/>
                <w:szCs w:val="20"/>
              </w:rPr>
              <w:t>June 30</w:t>
            </w:r>
            <w:r w:rsidRPr="004A56D1">
              <w:rPr>
                <w:rFonts w:cs="Calibri"/>
                <w:b/>
                <w:sz w:val="20"/>
                <w:szCs w:val="20"/>
              </w:rPr>
              <w:t xml:space="preserve">, </w:t>
            </w:r>
            <w:r>
              <w:rPr>
                <w:rFonts w:cs="Calibri"/>
                <w:b/>
                <w:sz w:val="20"/>
                <w:szCs w:val="20"/>
              </w:rPr>
              <w:t>2015</w:t>
            </w:r>
          </w:p>
          <w:p w:rsidR="004F7545" w:rsidRPr="004A56D1" w:rsidRDefault="004F7545" w:rsidP="00163039">
            <w:pPr>
              <w:spacing w:after="0" w:line="240" w:lineRule="auto"/>
              <w:jc w:val="center"/>
              <w:rPr>
                <w:rFonts w:cs="Calibri"/>
                <w:b/>
                <w:sz w:val="20"/>
                <w:szCs w:val="20"/>
              </w:rPr>
            </w:pPr>
            <w:r w:rsidRPr="004A56D1">
              <w:rPr>
                <w:rFonts w:cs="Calibri"/>
                <w:b/>
                <w:sz w:val="20"/>
                <w:szCs w:val="20"/>
              </w:rPr>
              <w:t>US$</w:t>
            </w:r>
            <w:r>
              <w:rPr>
                <w:rFonts w:cs="Calibri"/>
                <w:b/>
                <w:sz w:val="20"/>
                <w:szCs w:val="20"/>
              </w:rPr>
              <w:t xml:space="preserve"> millions</w:t>
            </w:r>
          </w:p>
        </w:tc>
        <w:tc>
          <w:tcPr>
            <w:tcW w:w="0" w:type="auto"/>
          </w:tcPr>
          <w:p w:rsidR="004F7545" w:rsidRPr="004A56D1" w:rsidRDefault="004F7545" w:rsidP="00D6018D">
            <w:pPr>
              <w:spacing w:after="0" w:line="240" w:lineRule="auto"/>
              <w:jc w:val="center"/>
              <w:rPr>
                <w:rFonts w:cs="Calibri"/>
                <w:b/>
                <w:sz w:val="20"/>
                <w:szCs w:val="20"/>
              </w:rPr>
            </w:pPr>
            <w:r>
              <w:rPr>
                <w:rFonts w:cs="Calibri"/>
                <w:b/>
                <w:sz w:val="20"/>
                <w:szCs w:val="20"/>
              </w:rPr>
              <w:t>Six months</w:t>
            </w:r>
            <w:r w:rsidRPr="004A56D1">
              <w:rPr>
                <w:rFonts w:cs="Calibri"/>
                <w:b/>
                <w:sz w:val="20"/>
                <w:szCs w:val="20"/>
              </w:rPr>
              <w:t xml:space="preserve"> ended</w:t>
            </w:r>
          </w:p>
          <w:p w:rsidR="004F7545" w:rsidRPr="004A56D1" w:rsidRDefault="004F7545" w:rsidP="00D6018D">
            <w:pPr>
              <w:spacing w:after="0" w:line="240" w:lineRule="auto"/>
              <w:jc w:val="center"/>
              <w:rPr>
                <w:rFonts w:cs="Calibri"/>
                <w:b/>
                <w:sz w:val="20"/>
                <w:szCs w:val="20"/>
              </w:rPr>
            </w:pPr>
            <w:r>
              <w:rPr>
                <w:rFonts w:cs="Calibri"/>
                <w:b/>
                <w:sz w:val="20"/>
                <w:szCs w:val="20"/>
              </w:rPr>
              <w:t>June 30</w:t>
            </w:r>
            <w:r w:rsidRPr="004A56D1">
              <w:rPr>
                <w:rFonts w:cs="Calibri"/>
                <w:b/>
                <w:sz w:val="20"/>
                <w:szCs w:val="20"/>
              </w:rPr>
              <w:t xml:space="preserve">, </w:t>
            </w:r>
            <w:r>
              <w:rPr>
                <w:rFonts w:cs="Calibri"/>
                <w:b/>
                <w:sz w:val="20"/>
                <w:szCs w:val="20"/>
              </w:rPr>
              <w:t>2014</w:t>
            </w:r>
          </w:p>
          <w:p w:rsidR="004F7545" w:rsidRPr="004A56D1" w:rsidRDefault="004F7545" w:rsidP="00163039">
            <w:pPr>
              <w:spacing w:after="0" w:line="240" w:lineRule="auto"/>
              <w:jc w:val="center"/>
              <w:rPr>
                <w:rFonts w:cs="Calibri"/>
                <w:b/>
                <w:sz w:val="20"/>
                <w:szCs w:val="20"/>
              </w:rPr>
            </w:pPr>
            <w:r w:rsidRPr="004A56D1">
              <w:rPr>
                <w:rFonts w:cs="Calibri"/>
                <w:b/>
                <w:sz w:val="20"/>
                <w:szCs w:val="20"/>
              </w:rPr>
              <w:t>US$</w:t>
            </w:r>
            <w:r>
              <w:rPr>
                <w:rFonts w:cs="Calibri"/>
                <w:b/>
                <w:sz w:val="20"/>
                <w:szCs w:val="20"/>
              </w:rPr>
              <w:t xml:space="preserve"> millions</w:t>
            </w:r>
          </w:p>
        </w:tc>
        <w:tc>
          <w:tcPr>
            <w:tcW w:w="0" w:type="auto"/>
          </w:tcPr>
          <w:p w:rsidR="004F7545" w:rsidRDefault="004F7545" w:rsidP="00D6018D">
            <w:pPr>
              <w:spacing w:after="0" w:line="240" w:lineRule="auto"/>
              <w:jc w:val="center"/>
              <w:rPr>
                <w:rFonts w:cs="Calibri"/>
                <w:b/>
                <w:sz w:val="20"/>
                <w:szCs w:val="20"/>
              </w:rPr>
            </w:pPr>
            <w:r w:rsidRPr="004A56D1">
              <w:rPr>
                <w:rFonts w:cs="Calibri"/>
                <w:b/>
                <w:sz w:val="20"/>
                <w:szCs w:val="20"/>
              </w:rPr>
              <w:t xml:space="preserve">Percentage </w:t>
            </w:r>
          </w:p>
          <w:p w:rsidR="004F7545" w:rsidRPr="004A56D1" w:rsidRDefault="004F7545" w:rsidP="00D6018D">
            <w:pPr>
              <w:spacing w:after="0" w:line="240" w:lineRule="auto"/>
              <w:jc w:val="center"/>
              <w:rPr>
                <w:rFonts w:cs="Calibri"/>
                <w:b/>
                <w:sz w:val="20"/>
                <w:szCs w:val="20"/>
              </w:rPr>
            </w:pPr>
            <w:r>
              <w:rPr>
                <w:rFonts w:cs="Calibri"/>
                <w:b/>
                <w:sz w:val="20"/>
                <w:szCs w:val="20"/>
              </w:rPr>
              <w:t>increase (decrease)</w:t>
            </w:r>
          </w:p>
          <w:p w:rsidR="004F7545" w:rsidRPr="004A56D1" w:rsidRDefault="004F7545" w:rsidP="007577A7">
            <w:pPr>
              <w:spacing w:after="0" w:line="240" w:lineRule="auto"/>
              <w:jc w:val="center"/>
              <w:rPr>
                <w:rFonts w:cs="Calibri"/>
                <w:b/>
                <w:sz w:val="20"/>
                <w:szCs w:val="20"/>
              </w:rPr>
            </w:pPr>
            <w:r>
              <w:rPr>
                <w:rFonts w:cs="Calibri"/>
                <w:b/>
                <w:sz w:val="20"/>
                <w:szCs w:val="20"/>
              </w:rPr>
              <w:t>2015</w:t>
            </w:r>
            <w:r w:rsidRPr="004A56D1">
              <w:rPr>
                <w:rFonts w:cs="Calibri"/>
                <w:b/>
                <w:sz w:val="20"/>
                <w:szCs w:val="20"/>
              </w:rPr>
              <w:t xml:space="preserve"> vs. </w:t>
            </w:r>
            <w:r>
              <w:rPr>
                <w:rFonts w:cs="Calibri"/>
                <w:b/>
                <w:sz w:val="20"/>
                <w:szCs w:val="20"/>
              </w:rPr>
              <w:t>2014</w:t>
            </w:r>
          </w:p>
        </w:tc>
        <w:tc>
          <w:tcPr>
            <w:tcW w:w="0" w:type="auto"/>
          </w:tcPr>
          <w:p w:rsidR="004F7545" w:rsidRDefault="004F7545" w:rsidP="00D6018D">
            <w:pPr>
              <w:spacing w:after="0" w:line="240" w:lineRule="auto"/>
              <w:jc w:val="center"/>
              <w:rPr>
                <w:rFonts w:cs="Calibri"/>
                <w:b/>
                <w:sz w:val="20"/>
                <w:szCs w:val="20"/>
              </w:rPr>
            </w:pPr>
            <w:r w:rsidRPr="004A56D1">
              <w:rPr>
                <w:rFonts w:cs="Calibri"/>
                <w:b/>
                <w:sz w:val="20"/>
                <w:szCs w:val="20"/>
              </w:rPr>
              <w:t xml:space="preserve">Percentage </w:t>
            </w:r>
          </w:p>
          <w:p w:rsidR="004F7545" w:rsidRPr="004A56D1" w:rsidRDefault="004F7545" w:rsidP="00D6018D">
            <w:pPr>
              <w:spacing w:after="0" w:line="240" w:lineRule="auto"/>
              <w:jc w:val="center"/>
              <w:rPr>
                <w:rFonts w:cs="Calibri"/>
                <w:b/>
                <w:sz w:val="20"/>
                <w:szCs w:val="20"/>
              </w:rPr>
            </w:pPr>
            <w:r>
              <w:rPr>
                <w:rFonts w:cs="Calibri"/>
                <w:b/>
                <w:sz w:val="20"/>
                <w:szCs w:val="20"/>
              </w:rPr>
              <w:t>increase (decrease)</w:t>
            </w:r>
          </w:p>
          <w:p w:rsidR="004F7545" w:rsidRPr="004A56D1" w:rsidRDefault="004F7545" w:rsidP="00D6018D">
            <w:pPr>
              <w:spacing w:after="0" w:line="240" w:lineRule="auto"/>
              <w:jc w:val="center"/>
              <w:rPr>
                <w:rFonts w:cs="Calibri"/>
                <w:b/>
                <w:sz w:val="20"/>
                <w:szCs w:val="20"/>
              </w:rPr>
            </w:pPr>
            <w:r>
              <w:rPr>
                <w:rFonts w:cs="Calibri"/>
                <w:b/>
                <w:sz w:val="20"/>
                <w:szCs w:val="20"/>
              </w:rPr>
              <w:t>2015</w:t>
            </w:r>
            <w:r w:rsidRPr="004A56D1">
              <w:rPr>
                <w:rFonts w:cs="Calibri"/>
                <w:b/>
                <w:sz w:val="20"/>
                <w:szCs w:val="20"/>
              </w:rPr>
              <w:t xml:space="preserve"> vs. </w:t>
            </w:r>
            <w:r>
              <w:rPr>
                <w:rFonts w:cs="Calibri"/>
                <w:b/>
                <w:sz w:val="20"/>
                <w:szCs w:val="20"/>
              </w:rPr>
              <w:t>2014</w:t>
            </w:r>
          </w:p>
          <w:p w:rsidR="004F7545" w:rsidRPr="004A56D1" w:rsidRDefault="004F7545" w:rsidP="00D6018D">
            <w:pPr>
              <w:spacing w:after="0" w:line="240" w:lineRule="auto"/>
              <w:jc w:val="center"/>
              <w:rPr>
                <w:rFonts w:cs="Calibri"/>
                <w:b/>
                <w:sz w:val="20"/>
                <w:szCs w:val="20"/>
              </w:rPr>
            </w:pPr>
            <w:r>
              <w:rPr>
                <w:rFonts w:cs="Calibri"/>
                <w:b/>
                <w:sz w:val="20"/>
                <w:szCs w:val="20"/>
              </w:rPr>
              <w:t>e</w:t>
            </w:r>
            <w:r w:rsidRPr="004A56D1">
              <w:rPr>
                <w:rFonts w:cs="Calibri"/>
                <w:b/>
                <w:sz w:val="20"/>
                <w:szCs w:val="20"/>
              </w:rPr>
              <w:t xml:space="preserve">xcl. </w:t>
            </w:r>
            <w:r>
              <w:rPr>
                <w:rFonts w:cs="Calibri"/>
                <w:b/>
                <w:sz w:val="20"/>
                <w:szCs w:val="20"/>
              </w:rPr>
              <w:t>f</w:t>
            </w:r>
            <w:r w:rsidRPr="004A56D1">
              <w:rPr>
                <w:rFonts w:cs="Calibri"/>
                <w:b/>
                <w:sz w:val="20"/>
                <w:szCs w:val="20"/>
              </w:rPr>
              <w:t xml:space="preserve">oreign </w:t>
            </w:r>
            <w:r>
              <w:rPr>
                <w:rFonts w:cs="Calibri"/>
                <w:b/>
                <w:sz w:val="20"/>
                <w:szCs w:val="20"/>
              </w:rPr>
              <w:t>c</w:t>
            </w:r>
            <w:r w:rsidRPr="004A56D1">
              <w:rPr>
                <w:rFonts w:cs="Calibri"/>
                <w:b/>
                <w:sz w:val="20"/>
                <w:szCs w:val="20"/>
              </w:rPr>
              <w:t xml:space="preserve">urrency </w:t>
            </w:r>
          </w:p>
          <w:p w:rsidR="004F7545" w:rsidRPr="004A56D1" w:rsidRDefault="004F7545" w:rsidP="00D6018D">
            <w:pPr>
              <w:spacing w:after="0" w:line="240" w:lineRule="auto"/>
              <w:jc w:val="center"/>
              <w:rPr>
                <w:rFonts w:cs="Calibri"/>
                <w:b/>
                <w:sz w:val="20"/>
                <w:szCs w:val="20"/>
              </w:rPr>
            </w:pPr>
            <w:r>
              <w:rPr>
                <w:rFonts w:cs="Calibri"/>
                <w:b/>
                <w:sz w:val="20"/>
                <w:szCs w:val="20"/>
              </w:rPr>
              <w:t>e</w:t>
            </w:r>
            <w:r w:rsidRPr="004A56D1">
              <w:rPr>
                <w:rFonts w:cs="Calibri"/>
                <w:b/>
                <w:sz w:val="20"/>
                <w:szCs w:val="20"/>
              </w:rPr>
              <w:t>ffects</w:t>
            </w:r>
          </w:p>
        </w:tc>
      </w:tr>
      <w:tr w:rsidR="004F7545" w:rsidRPr="004A56D1" w:rsidTr="002A3080">
        <w:trPr>
          <w:trHeight w:val="493"/>
        </w:trPr>
        <w:tc>
          <w:tcPr>
            <w:tcW w:w="0" w:type="auto"/>
          </w:tcPr>
          <w:p w:rsidR="004F7545" w:rsidRPr="004A56D1" w:rsidRDefault="004F7545" w:rsidP="005E39E2">
            <w:pPr>
              <w:spacing w:beforeLines="50" w:afterLines="50" w:line="240" w:lineRule="auto"/>
              <w:rPr>
                <w:rFonts w:cs="Calibri"/>
                <w:b/>
                <w:sz w:val="20"/>
                <w:szCs w:val="20"/>
              </w:rPr>
            </w:pPr>
            <w:r w:rsidRPr="004A56D1">
              <w:rPr>
                <w:rFonts w:cs="Calibri"/>
                <w:b/>
                <w:sz w:val="20"/>
                <w:szCs w:val="20"/>
              </w:rPr>
              <w:t>Travel</w:t>
            </w:r>
          </w:p>
        </w:tc>
        <w:tc>
          <w:tcPr>
            <w:tcW w:w="0" w:type="auto"/>
            <w:vAlign w:val="center"/>
          </w:tcPr>
          <w:p w:rsidR="004F7545" w:rsidRPr="000B57AB" w:rsidRDefault="004F7545" w:rsidP="005E39E2">
            <w:pPr>
              <w:spacing w:beforeLines="50" w:afterLines="50" w:line="240" w:lineRule="auto"/>
              <w:jc w:val="center"/>
              <w:rPr>
                <w:rFonts w:cs="Calibri"/>
                <w:iCs/>
                <w:color w:val="404040"/>
                <w:sz w:val="20"/>
                <w:szCs w:val="20"/>
              </w:rPr>
            </w:pPr>
            <w:r>
              <w:rPr>
                <w:sz w:val="20"/>
                <w:szCs w:val="20"/>
              </w:rPr>
              <w:t>808.9</w:t>
            </w:r>
          </w:p>
        </w:tc>
        <w:tc>
          <w:tcPr>
            <w:tcW w:w="0" w:type="auto"/>
            <w:vAlign w:val="center"/>
          </w:tcPr>
          <w:p w:rsidR="004F7545" w:rsidRPr="000B57AB" w:rsidRDefault="004F7545" w:rsidP="005E39E2">
            <w:pPr>
              <w:spacing w:beforeLines="50" w:afterLines="50" w:line="240" w:lineRule="auto"/>
              <w:jc w:val="center"/>
              <w:rPr>
                <w:rFonts w:cs="Calibri"/>
                <w:iCs/>
                <w:color w:val="404040"/>
                <w:sz w:val="20"/>
                <w:szCs w:val="20"/>
              </w:rPr>
            </w:pPr>
            <w:r w:rsidRPr="000B57AB">
              <w:rPr>
                <w:rFonts w:cs="Calibri"/>
                <w:iCs/>
                <w:color w:val="404040"/>
                <w:sz w:val="20"/>
                <w:szCs w:val="20"/>
              </w:rPr>
              <w:t>797.8</w:t>
            </w:r>
          </w:p>
        </w:tc>
        <w:tc>
          <w:tcPr>
            <w:tcW w:w="0" w:type="auto"/>
            <w:vAlign w:val="center"/>
          </w:tcPr>
          <w:p w:rsidR="004F7545" w:rsidRPr="000B57AB" w:rsidRDefault="004F7545" w:rsidP="005E39E2">
            <w:pPr>
              <w:spacing w:beforeLines="50" w:afterLines="50" w:line="240" w:lineRule="auto"/>
              <w:jc w:val="center"/>
              <w:rPr>
                <w:rFonts w:cs="Calibri"/>
                <w:iCs/>
                <w:color w:val="404040"/>
                <w:sz w:val="20"/>
                <w:szCs w:val="20"/>
              </w:rPr>
            </w:pPr>
            <w:r>
              <w:rPr>
                <w:sz w:val="20"/>
                <w:szCs w:val="20"/>
              </w:rPr>
              <w:t>1.4</w:t>
            </w:r>
            <w:r>
              <w:rPr>
                <w:rFonts w:cs="Calibri"/>
                <w:iCs/>
                <w:color w:val="404040"/>
                <w:sz w:val="20"/>
                <w:szCs w:val="20"/>
              </w:rPr>
              <w:t>%</w:t>
            </w:r>
          </w:p>
        </w:tc>
        <w:tc>
          <w:tcPr>
            <w:tcW w:w="0" w:type="auto"/>
            <w:vAlign w:val="center"/>
          </w:tcPr>
          <w:p w:rsidR="004F7545" w:rsidRPr="00470E99" w:rsidRDefault="004F7545" w:rsidP="004A56D1">
            <w:pPr>
              <w:pStyle w:val="NormalTable25mm"/>
              <w:tabs>
                <w:tab w:val="clear" w:pos="1304"/>
                <w:tab w:val="left" w:pos="1020"/>
                <w:tab w:val="left" w:pos="1134"/>
              </w:tabs>
              <w:jc w:val="center"/>
              <w:rPr>
                <w:rFonts w:ascii="Calibri" w:hAnsi="Calibri" w:cs="Calibri"/>
                <w:color w:val="auto"/>
                <w:sz w:val="20"/>
                <w:szCs w:val="20"/>
              </w:rPr>
            </w:pPr>
            <w:r w:rsidRPr="00470E99">
              <w:rPr>
                <w:rFonts w:ascii="Calibri" w:hAnsi="Calibri"/>
                <w:sz w:val="20"/>
                <w:szCs w:val="20"/>
              </w:rPr>
              <w:t>9.5</w:t>
            </w:r>
            <w:r w:rsidRPr="00470E99">
              <w:rPr>
                <w:rFonts w:ascii="Calibri" w:hAnsi="Calibri" w:cs="Calibri"/>
                <w:sz w:val="20"/>
                <w:szCs w:val="20"/>
              </w:rPr>
              <w:t>%</w:t>
            </w:r>
          </w:p>
        </w:tc>
      </w:tr>
      <w:tr w:rsidR="004F7545" w:rsidRPr="004A56D1" w:rsidTr="002A3080">
        <w:trPr>
          <w:trHeight w:val="493"/>
        </w:trPr>
        <w:tc>
          <w:tcPr>
            <w:tcW w:w="0" w:type="auto"/>
          </w:tcPr>
          <w:p w:rsidR="004F7545" w:rsidRPr="004A56D1" w:rsidRDefault="004F7545" w:rsidP="005E39E2">
            <w:pPr>
              <w:spacing w:beforeLines="50" w:afterLines="50" w:line="240" w:lineRule="auto"/>
              <w:rPr>
                <w:rFonts w:cs="Calibri"/>
                <w:b/>
                <w:sz w:val="20"/>
                <w:szCs w:val="20"/>
              </w:rPr>
            </w:pPr>
            <w:r w:rsidRPr="004A56D1">
              <w:rPr>
                <w:rFonts w:cs="Calibri"/>
                <w:b/>
                <w:sz w:val="20"/>
                <w:szCs w:val="20"/>
              </w:rPr>
              <w:t xml:space="preserve">Casual </w:t>
            </w:r>
          </w:p>
        </w:tc>
        <w:tc>
          <w:tcPr>
            <w:tcW w:w="0" w:type="auto"/>
            <w:vAlign w:val="center"/>
          </w:tcPr>
          <w:p w:rsidR="004F7545" w:rsidRPr="000B57AB" w:rsidRDefault="004F7545" w:rsidP="005E39E2">
            <w:pPr>
              <w:spacing w:beforeLines="50" w:afterLines="50" w:line="240" w:lineRule="auto"/>
              <w:jc w:val="center"/>
              <w:rPr>
                <w:rFonts w:cs="Calibri"/>
                <w:iCs/>
                <w:color w:val="404040"/>
                <w:sz w:val="20"/>
                <w:szCs w:val="20"/>
              </w:rPr>
            </w:pPr>
            <w:r>
              <w:rPr>
                <w:sz w:val="20"/>
                <w:szCs w:val="20"/>
              </w:rPr>
              <w:t>155.9</w:t>
            </w:r>
          </w:p>
        </w:tc>
        <w:tc>
          <w:tcPr>
            <w:tcW w:w="0" w:type="auto"/>
            <w:vAlign w:val="center"/>
          </w:tcPr>
          <w:p w:rsidR="004F7545" w:rsidRPr="000B57AB" w:rsidRDefault="004F7545" w:rsidP="005E39E2">
            <w:pPr>
              <w:spacing w:beforeLines="50" w:afterLines="50" w:line="240" w:lineRule="auto"/>
              <w:jc w:val="center"/>
              <w:rPr>
                <w:rFonts w:cs="Calibri"/>
                <w:iCs/>
                <w:color w:val="404040"/>
                <w:sz w:val="20"/>
                <w:szCs w:val="20"/>
              </w:rPr>
            </w:pPr>
            <w:r>
              <w:rPr>
                <w:rFonts w:cs="Calibri"/>
                <w:iCs/>
                <w:color w:val="404040"/>
                <w:sz w:val="20"/>
                <w:szCs w:val="20"/>
              </w:rPr>
              <w:t>134.8</w:t>
            </w:r>
          </w:p>
        </w:tc>
        <w:tc>
          <w:tcPr>
            <w:tcW w:w="0" w:type="auto"/>
            <w:vAlign w:val="center"/>
          </w:tcPr>
          <w:p w:rsidR="004F7545" w:rsidRPr="000B57AB" w:rsidRDefault="004F7545" w:rsidP="005E39E2">
            <w:pPr>
              <w:spacing w:beforeLines="50" w:afterLines="50" w:line="240" w:lineRule="auto"/>
              <w:jc w:val="center"/>
              <w:rPr>
                <w:rFonts w:cs="Calibri"/>
                <w:iCs/>
                <w:color w:val="404040"/>
                <w:sz w:val="20"/>
                <w:szCs w:val="20"/>
              </w:rPr>
            </w:pPr>
            <w:r>
              <w:rPr>
                <w:sz w:val="20"/>
                <w:szCs w:val="20"/>
              </w:rPr>
              <w:t>15.7</w:t>
            </w:r>
            <w:r>
              <w:rPr>
                <w:rFonts w:cs="Calibri"/>
                <w:iCs/>
                <w:color w:val="404040"/>
                <w:sz w:val="20"/>
                <w:szCs w:val="20"/>
              </w:rPr>
              <w:t>%</w:t>
            </w:r>
          </w:p>
        </w:tc>
        <w:tc>
          <w:tcPr>
            <w:tcW w:w="0" w:type="auto"/>
            <w:vAlign w:val="center"/>
          </w:tcPr>
          <w:p w:rsidR="004F7545" w:rsidRPr="00470E99" w:rsidRDefault="004F7545" w:rsidP="008C6D0D">
            <w:pPr>
              <w:pStyle w:val="NormalTable25mm"/>
              <w:tabs>
                <w:tab w:val="clear" w:pos="1304"/>
                <w:tab w:val="left" w:pos="879"/>
                <w:tab w:val="left" w:pos="1020"/>
                <w:tab w:val="left" w:pos="1134"/>
              </w:tabs>
              <w:jc w:val="center"/>
              <w:rPr>
                <w:rFonts w:ascii="Calibri" w:hAnsi="Calibri" w:cs="Calibri"/>
                <w:color w:val="auto"/>
                <w:sz w:val="20"/>
                <w:szCs w:val="20"/>
              </w:rPr>
            </w:pPr>
            <w:r w:rsidRPr="00470E99">
              <w:rPr>
                <w:rFonts w:ascii="Calibri" w:hAnsi="Calibri"/>
                <w:sz w:val="20"/>
                <w:szCs w:val="20"/>
              </w:rPr>
              <w:t>21.7</w:t>
            </w:r>
            <w:r w:rsidRPr="00470E99">
              <w:rPr>
                <w:rFonts w:ascii="Calibri" w:hAnsi="Calibri" w:cs="Calibri"/>
                <w:sz w:val="20"/>
                <w:szCs w:val="20"/>
              </w:rPr>
              <w:t>%</w:t>
            </w:r>
          </w:p>
        </w:tc>
      </w:tr>
      <w:tr w:rsidR="004F7545" w:rsidRPr="004A56D1" w:rsidTr="002A3080">
        <w:trPr>
          <w:trHeight w:val="479"/>
        </w:trPr>
        <w:tc>
          <w:tcPr>
            <w:tcW w:w="0" w:type="auto"/>
          </w:tcPr>
          <w:p w:rsidR="004F7545" w:rsidRPr="004A56D1" w:rsidRDefault="004F7545" w:rsidP="005E39E2">
            <w:pPr>
              <w:spacing w:beforeLines="50" w:afterLines="50" w:line="240" w:lineRule="auto"/>
              <w:rPr>
                <w:rFonts w:cs="Calibri"/>
                <w:b/>
                <w:sz w:val="20"/>
                <w:szCs w:val="20"/>
              </w:rPr>
            </w:pPr>
            <w:r w:rsidRPr="004A56D1">
              <w:rPr>
                <w:rFonts w:cs="Calibri"/>
                <w:b/>
                <w:sz w:val="20"/>
                <w:szCs w:val="20"/>
              </w:rPr>
              <w:t>Business</w:t>
            </w:r>
          </w:p>
        </w:tc>
        <w:tc>
          <w:tcPr>
            <w:tcW w:w="0" w:type="auto"/>
            <w:vAlign w:val="center"/>
          </w:tcPr>
          <w:p w:rsidR="004F7545" w:rsidRPr="000B57AB" w:rsidRDefault="004F7545" w:rsidP="005E39E2">
            <w:pPr>
              <w:spacing w:beforeLines="50" w:afterLines="50" w:line="240" w:lineRule="auto"/>
              <w:jc w:val="center"/>
              <w:rPr>
                <w:rFonts w:cs="Calibri"/>
                <w:iCs/>
                <w:color w:val="404040"/>
                <w:sz w:val="20"/>
                <w:szCs w:val="20"/>
              </w:rPr>
            </w:pPr>
            <w:r>
              <w:rPr>
                <w:sz w:val="20"/>
                <w:szCs w:val="20"/>
              </w:rPr>
              <w:t>130.1</w:t>
            </w:r>
          </w:p>
        </w:tc>
        <w:tc>
          <w:tcPr>
            <w:tcW w:w="0" w:type="auto"/>
            <w:vAlign w:val="center"/>
          </w:tcPr>
          <w:p w:rsidR="004F7545" w:rsidRPr="000B57AB" w:rsidRDefault="004F7545" w:rsidP="005E39E2">
            <w:pPr>
              <w:spacing w:beforeLines="50" w:afterLines="50" w:line="240" w:lineRule="auto"/>
              <w:jc w:val="center"/>
              <w:rPr>
                <w:rFonts w:cs="Calibri"/>
                <w:iCs/>
                <w:color w:val="404040"/>
                <w:sz w:val="20"/>
                <w:szCs w:val="20"/>
              </w:rPr>
            </w:pPr>
            <w:r>
              <w:rPr>
                <w:rFonts w:cs="Calibri"/>
                <w:iCs/>
                <w:color w:val="404040"/>
                <w:sz w:val="20"/>
                <w:szCs w:val="20"/>
              </w:rPr>
              <w:t>96.9</w:t>
            </w:r>
          </w:p>
        </w:tc>
        <w:tc>
          <w:tcPr>
            <w:tcW w:w="0" w:type="auto"/>
            <w:vAlign w:val="center"/>
          </w:tcPr>
          <w:p w:rsidR="004F7545" w:rsidRPr="000B57AB" w:rsidRDefault="004F7545" w:rsidP="005E39E2">
            <w:pPr>
              <w:spacing w:beforeLines="50" w:afterLines="50" w:line="240" w:lineRule="auto"/>
              <w:jc w:val="center"/>
              <w:rPr>
                <w:rFonts w:cs="Calibri"/>
                <w:iCs/>
                <w:color w:val="404040"/>
                <w:sz w:val="20"/>
                <w:szCs w:val="20"/>
              </w:rPr>
            </w:pPr>
            <w:r>
              <w:rPr>
                <w:sz w:val="20"/>
                <w:szCs w:val="20"/>
              </w:rPr>
              <w:t>34.3</w:t>
            </w:r>
            <w:r>
              <w:rPr>
                <w:rFonts w:cs="Calibri"/>
                <w:iCs/>
                <w:color w:val="404040"/>
                <w:sz w:val="20"/>
                <w:szCs w:val="20"/>
              </w:rPr>
              <w:t>%</w:t>
            </w:r>
          </w:p>
        </w:tc>
        <w:tc>
          <w:tcPr>
            <w:tcW w:w="0" w:type="auto"/>
            <w:vAlign w:val="center"/>
          </w:tcPr>
          <w:p w:rsidR="004F7545" w:rsidRPr="00470E99" w:rsidRDefault="004F7545" w:rsidP="004A56D1">
            <w:pPr>
              <w:pStyle w:val="NormalTable25mm"/>
              <w:tabs>
                <w:tab w:val="clear" w:pos="1304"/>
                <w:tab w:val="left" w:pos="1020"/>
                <w:tab w:val="left" w:pos="1134"/>
              </w:tabs>
              <w:jc w:val="center"/>
              <w:rPr>
                <w:rFonts w:ascii="Calibri" w:hAnsi="Calibri" w:cs="Calibri"/>
                <w:color w:val="auto"/>
                <w:sz w:val="20"/>
                <w:szCs w:val="20"/>
              </w:rPr>
            </w:pPr>
            <w:r w:rsidRPr="00470E99">
              <w:rPr>
                <w:rFonts w:ascii="Calibri" w:hAnsi="Calibri"/>
                <w:sz w:val="20"/>
                <w:szCs w:val="20"/>
              </w:rPr>
              <w:t>44.4</w:t>
            </w:r>
            <w:r w:rsidRPr="00470E99">
              <w:rPr>
                <w:rFonts w:ascii="Calibri" w:hAnsi="Calibri" w:cs="Calibri"/>
                <w:sz w:val="20"/>
                <w:szCs w:val="20"/>
              </w:rPr>
              <w:t>%</w:t>
            </w:r>
          </w:p>
        </w:tc>
      </w:tr>
      <w:tr w:rsidR="004F7545" w:rsidRPr="004A56D1" w:rsidTr="002A3080">
        <w:trPr>
          <w:trHeight w:val="493"/>
        </w:trPr>
        <w:tc>
          <w:tcPr>
            <w:tcW w:w="0" w:type="auto"/>
          </w:tcPr>
          <w:p w:rsidR="004F7545" w:rsidRPr="004A56D1" w:rsidRDefault="004F7545" w:rsidP="005E39E2">
            <w:pPr>
              <w:spacing w:beforeLines="50" w:afterLines="50" w:line="240" w:lineRule="auto"/>
              <w:rPr>
                <w:rFonts w:cs="Calibri"/>
                <w:b/>
                <w:sz w:val="20"/>
                <w:szCs w:val="20"/>
              </w:rPr>
            </w:pPr>
            <w:r w:rsidRPr="004A56D1">
              <w:rPr>
                <w:rFonts w:cs="Calibri"/>
                <w:b/>
                <w:sz w:val="20"/>
                <w:szCs w:val="20"/>
              </w:rPr>
              <w:t>Accessories</w:t>
            </w:r>
          </w:p>
        </w:tc>
        <w:tc>
          <w:tcPr>
            <w:tcW w:w="0" w:type="auto"/>
            <w:vAlign w:val="center"/>
          </w:tcPr>
          <w:p w:rsidR="004F7545" w:rsidRPr="000B57AB" w:rsidRDefault="004F7545" w:rsidP="005E39E2">
            <w:pPr>
              <w:spacing w:beforeLines="50" w:afterLines="50" w:line="240" w:lineRule="auto"/>
              <w:jc w:val="center"/>
              <w:rPr>
                <w:rFonts w:cs="Calibri"/>
                <w:iCs/>
                <w:color w:val="404040"/>
                <w:sz w:val="20"/>
                <w:szCs w:val="20"/>
              </w:rPr>
            </w:pPr>
            <w:r>
              <w:rPr>
                <w:sz w:val="20"/>
                <w:szCs w:val="20"/>
              </w:rPr>
              <w:t>76.9</w:t>
            </w:r>
          </w:p>
        </w:tc>
        <w:tc>
          <w:tcPr>
            <w:tcW w:w="0" w:type="auto"/>
            <w:vAlign w:val="center"/>
          </w:tcPr>
          <w:p w:rsidR="004F7545" w:rsidRPr="000B57AB" w:rsidRDefault="004F7545" w:rsidP="005E39E2">
            <w:pPr>
              <w:spacing w:beforeLines="50" w:afterLines="50" w:line="240" w:lineRule="auto"/>
              <w:jc w:val="center"/>
              <w:rPr>
                <w:rFonts w:cs="Calibri"/>
                <w:iCs/>
                <w:color w:val="404040"/>
                <w:sz w:val="20"/>
                <w:szCs w:val="20"/>
              </w:rPr>
            </w:pPr>
            <w:r>
              <w:rPr>
                <w:rFonts w:cs="Calibri"/>
                <w:iCs/>
                <w:color w:val="404040"/>
                <w:sz w:val="20"/>
                <w:szCs w:val="20"/>
              </w:rPr>
              <w:t>54.4</w:t>
            </w:r>
          </w:p>
        </w:tc>
        <w:tc>
          <w:tcPr>
            <w:tcW w:w="0" w:type="auto"/>
            <w:vAlign w:val="center"/>
          </w:tcPr>
          <w:p w:rsidR="004F7545" w:rsidRPr="000B57AB" w:rsidRDefault="004F7545" w:rsidP="005E39E2">
            <w:pPr>
              <w:spacing w:beforeLines="50" w:afterLines="50" w:line="240" w:lineRule="auto"/>
              <w:jc w:val="center"/>
              <w:rPr>
                <w:rFonts w:cs="Calibri"/>
                <w:iCs/>
                <w:color w:val="404040"/>
                <w:sz w:val="20"/>
                <w:szCs w:val="20"/>
              </w:rPr>
            </w:pPr>
            <w:r>
              <w:rPr>
                <w:sz w:val="20"/>
                <w:szCs w:val="20"/>
              </w:rPr>
              <w:t>41.3</w:t>
            </w:r>
            <w:r>
              <w:rPr>
                <w:rFonts w:cs="Calibri"/>
                <w:iCs/>
                <w:color w:val="404040"/>
                <w:sz w:val="20"/>
                <w:szCs w:val="20"/>
              </w:rPr>
              <w:t>%</w:t>
            </w:r>
          </w:p>
        </w:tc>
        <w:tc>
          <w:tcPr>
            <w:tcW w:w="0" w:type="auto"/>
            <w:vAlign w:val="center"/>
          </w:tcPr>
          <w:p w:rsidR="004F7545" w:rsidRPr="00470E99" w:rsidRDefault="004F7545" w:rsidP="004A56D1">
            <w:pPr>
              <w:pStyle w:val="NormalTable25mm"/>
              <w:tabs>
                <w:tab w:val="clear" w:pos="1304"/>
                <w:tab w:val="left" w:pos="1020"/>
                <w:tab w:val="left" w:pos="1134"/>
              </w:tabs>
              <w:jc w:val="center"/>
              <w:rPr>
                <w:rFonts w:ascii="Calibri" w:hAnsi="Calibri" w:cs="Calibri"/>
                <w:color w:val="auto"/>
                <w:sz w:val="20"/>
                <w:szCs w:val="20"/>
              </w:rPr>
            </w:pPr>
            <w:r w:rsidRPr="00470E99">
              <w:rPr>
                <w:rFonts w:ascii="Calibri" w:hAnsi="Calibri"/>
                <w:sz w:val="20"/>
                <w:szCs w:val="20"/>
              </w:rPr>
              <w:t>52.7</w:t>
            </w:r>
            <w:r w:rsidRPr="00470E99">
              <w:rPr>
                <w:rFonts w:ascii="Calibri" w:hAnsi="Calibri" w:cs="Calibri"/>
                <w:sz w:val="20"/>
                <w:szCs w:val="20"/>
              </w:rPr>
              <w:t>%</w:t>
            </w:r>
          </w:p>
        </w:tc>
      </w:tr>
    </w:tbl>
    <w:p w:rsidR="004F7545" w:rsidRDefault="004F7545" w:rsidP="00DA5CDC">
      <w:pPr>
        <w:pStyle w:val="Default"/>
        <w:spacing w:line="276" w:lineRule="auto"/>
        <w:jc w:val="both"/>
        <w:rPr>
          <w:b/>
          <w:i/>
          <w:color w:val="auto"/>
          <w:sz w:val="22"/>
        </w:rPr>
      </w:pPr>
    </w:p>
    <w:p w:rsidR="004F7545" w:rsidRPr="0043316A" w:rsidRDefault="004F7545" w:rsidP="00DA5CDC">
      <w:pPr>
        <w:pStyle w:val="Default"/>
        <w:spacing w:line="276" w:lineRule="auto"/>
        <w:jc w:val="both"/>
        <w:rPr>
          <w:b/>
          <w:i/>
          <w:color w:val="auto"/>
          <w:sz w:val="22"/>
        </w:rPr>
      </w:pPr>
      <w:r>
        <w:rPr>
          <w:b/>
          <w:i/>
          <w:color w:val="auto"/>
          <w:sz w:val="22"/>
        </w:rPr>
        <w:t>Distribution</w:t>
      </w:r>
    </w:p>
    <w:p w:rsidR="004F7545" w:rsidRDefault="004F7545" w:rsidP="008F71F0">
      <w:pPr>
        <w:jc w:val="both"/>
        <w:rPr>
          <w:rFonts w:eastAsia="粗宋+Times Bold"/>
        </w:rPr>
      </w:pPr>
      <w:r>
        <w:rPr>
          <w:rFonts w:eastAsia="粗宋+Times Bold"/>
        </w:rPr>
        <w:t>N</w:t>
      </w:r>
      <w:r w:rsidRPr="007F0680">
        <w:rPr>
          <w:rFonts w:eastAsia="粗宋+Times Bold"/>
        </w:rPr>
        <w:t>et sales in the wholesale channel increased by 15.6%</w:t>
      </w:r>
      <w:r>
        <w:rPr>
          <w:rStyle w:val="FootnoteReference"/>
          <w:rFonts w:eastAsia="粗宋+Times Bold"/>
        </w:rPr>
        <w:footnoteReference w:id="13"/>
      </w:r>
      <w:r w:rsidRPr="007F0680">
        <w:rPr>
          <w:rFonts w:eastAsia="粗宋+Times Bold"/>
        </w:rPr>
        <w:t xml:space="preserve"> for the six months ended June 30, 2015 compared to the first half of 2014. </w:t>
      </w:r>
      <w:r>
        <w:rPr>
          <w:rFonts w:eastAsia="粗宋+Times Bold"/>
        </w:rPr>
        <w:t>N</w:t>
      </w:r>
      <w:r w:rsidRPr="007F0680">
        <w:rPr>
          <w:rFonts w:eastAsia="粗宋+Times Bold"/>
        </w:rPr>
        <w:t>et sales in the retail channel increased 20.9%</w:t>
      </w:r>
      <w:r>
        <w:rPr>
          <w:rStyle w:val="FootnoteReference"/>
          <w:rFonts w:eastAsia="粗宋+Times Bold"/>
        </w:rPr>
        <w:t>12</w:t>
      </w:r>
      <w:r>
        <w:rPr>
          <w:rFonts w:eastAsia="粗宋+Times Bold"/>
        </w:rPr>
        <w:t xml:space="preserve"> </w:t>
      </w:r>
      <w:r w:rsidRPr="007F0680">
        <w:rPr>
          <w:rFonts w:eastAsia="粗宋+Times Bold"/>
        </w:rPr>
        <w:t>driven by the addition of 130 net new company-operated stores, including 33 Rolling Luggage stores</w:t>
      </w:r>
      <w:r>
        <w:rPr>
          <w:rFonts w:eastAsia="粗宋+Times Bold"/>
        </w:rPr>
        <w:t xml:space="preserve">, as well as </w:t>
      </w:r>
      <w:r w:rsidRPr="00943217">
        <w:rPr>
          <w:rFonts w:eastAsia="粗宋+Times Bold"/>
        </w:rPr>
        <w:t xml:space="preserve">strong growth in </w:t>
      </w:r>
      <w:r>
        <w:rPr>
          <w:rFonts w:eastAsia="粗宋+Times Bold"/>
        </w:rPr>
        <w:t xml:space="preserve">the Group’s </w:t>
      </w:r>
      <w:r w:rsidRPr="00943217">
        <w:rPr>
          <w:rFonts w:eastAsia="粗宋+Times Bold"/>
        </w:rPr>
        <w:t>direct-to-consumer e-commerce business, with net sales up 29.0%</w:t>
      </w:r>
      <w:r>
        <w:rPr>
          <w:rStyle w:val="FootnoteReference"/>
          <w:rFonts w:eastAsia="粗宋+Times Bold"/>
        </w:rPr>
        <w:t>12</w:t>
      </w:r>
      <w:r w:rsidRPr="00943217">
        <w:rPr>
          <w:rFonts w:eastAsia="粗宋+Times Bold"/>
        </w:rPr>
        <w:t xml:space="preserve"> year-on-year led by North America (+29.9%</w:t>
      </w:r>
      <w:r>
        <w:rPr>
          <w:rStyle w:val="FootnoteReference"/>
          <w:rFonts w:eastAsia="粗宋+Times Bold"/>
        </w:rPr>
        <w:t>12</w:t>
      </w:r>
      <w:r w:rsidRPr="00943217">
        <w:rPr>
          <w:rFonts w:eastAsia="粗宋+Times Bold"/>
        </w:rPr>
        <w:t>), Asia (+28.4%</w:t>
      </w:r>
      <w:r>
        <w:rPr>
          <w:rStyle w:val="FootnoteReference"/>
          <w:rFonts w:eastAsia="粗宋+Times Bold"/>
        </w:rPr>
        <w:t>12</w:t>
      </w:r>
      <w:r w:rsidRPr="00943217">
        <w:rPr>
          <w:rFonts w:eastAsia="粗宋+Times Bold"/>
        </w:rPr>
        <w:t>) and Europe (+28.3%</w:t>
      </w:r>
      <w:r>
        <w:rPr>
          <w:rStyle w:val="FootnoteReference"/>
          <w:rFonts w:eastAsia="粗宋+Times Bold"/>
        </w:rPr>
        <w:t>12</w:t>
      </w:r>
      <w:r w:rsidRPr="00943217">
        <w:rPr>
          <w:rFonts w:eastAsia="粗宋+Times Bold"/>
        </w:rPr>
        <w:t>).</w:t>
      </w:r>
      <w:r>
        <w:rPr>
          <w:rFonts w:eastAsia="粗宋+Times Bold"/>
        </w:rPr>
        <w:t xml:space="preserve"> The </w:t>
      </w:r>
      <w:r w:rsidRPr="007F0680">
        <w:rPr>
          <w:rFonts w:eastAsia="粗宋+Times Bold"/>
        </w:rPr>
        <w:t>20.9% constant currency net sales growth in the retail channel</w:t>
      </w:r>
      <w:r>
        <w:rPr>
          <w:rFonts w:eastAsia="粗宋+Times Bold"/>
        </w:rPr>
        <w:t xml:space="preserve"> growth </w:t>
      </w:r>
      <w:r w:rsidRPr="0091206B">
        <w:rPr>
          <w:rFonts w:eastAsia="粗宋+Times Bold"/>
        </w:rPr>
        <w:t>reflects the Group’s strategy of investing resources, including through acquisitions, such as Rolling Luggage, to support the growth of its direct-to-consumer business</w:t>
      </w:r>
      <w:r>
        <w:rPr>
          <w:rFonts w:eastAsia="粗宋+Times Bold"/>
        </w:rPr>
        <w:t xml:space="preserve">, both on- and off-line.  </w:t>
      </w:r>
    </w:p>
    <w:p w:rsidR="004F7545" w:rsidRDefault="004F7545" w:rsidP="008F71F0">
      <w:pPr>
        <w:jc w:val="both"/>
      </w:pPr>
      <w:r w:rsidRPr="007F0680">
        <w:rPr>
          <w:rFonts w:eastAsia="粗宋+Times Bold"/>
        </w:rPr>
        <w:t xml:space="preserve">During the six months ended June 30, 2015, </w:t>
      </w:r>
      <w:r>
        <w:rPr>
          <w:rFonts w:eastAsia="粗宋+Times Bold"/>
        </w:rPr>
        <w:t xml:space="preserve">total e-commerce US Dollar reported net sales (comprising </w:t>
      </w:r>
      <w:r w:rsidRPr="007F0680">
        <w:rPr>
          <w:rFonts w:eastAsia="粗宋+Times Bold"/>
        </w:rPr>
        <w:t>direct-to-consumer e-commerce business, which is included within the retail channel, and net sales to e-tailers, which are included within the wholesale channel</w:t>
      </w:r>
      <w:r>
        <w:rPr>
          <w:rFonts w:eastAsia="粗宋+Times Bold"/>
        </w:rPr>
        <w:t xml:space="preserve">) made up </w:t>
      </w:r>
      <w:r w:rsidRPr="007F0680">
        <w:rPr>
          <w:rFonts w:eastAsia="粗宋+Times Bold"/>
        </w:rPr>
        <w:t>approximately US$86.2 million, or 7.2%, of the Group’s net sales</w:t>
      </w:r>
      <w:r>
        <w:rPr>
          <w:rFonts w:eastAsia="粗宋+Times Bold"/>
        </w:rPr>
        <w:t xml:space="preserve"> compared to</w:t>
      </w:r>
      <w:r w:rsidRPr="007F0680">
        <w:rPr>
          <w:rFonts w:eastAsia="粗宋+Times Bold"/>
        </w:rPr>
        <w:t xml:space="preserve"> 6.1% for the same period in the previous year. </w:t>
      </w:r>
    </w:p>
    <w:p w:rsidR="004F7545" w:rsidRPr="00AE68E0" w:rsidRDefault="004F7545" w:rsidP="00AE68E0">
      <w:pPr>
        <w:jc w:val="both"/>
      </w:pPr>
      <w:r>
        <w:rPr>
          <w:lang w:val="en-US"/>
        </w:rPr>
        <w:t>Mr. Tainwala said, “</w:t>
      </w:r>
      <w:r w:rsidRPr="007F0680">
        <w:t>We believe that enhancing our brands’ engagement with the end consumer</w:t>
      </w:r>
      <w:r>
        <w:t>, through both on- and off-line channels,</w:t>
      </w:r>
      <w:r w:rsidRPr="007F0680">
        <w:t xml:space="preserve"> will help maintain our competitive advantage over the long term. </w:t>
      </w:r>
      <w:r>
        <w:t xml:space="preserve">E-commerce is one of our most buoyant distribution channels, and one that we continue to </w:t>
      </w:r>
      <w:r w:rsidRPr="007F0680">
        <w:t xml:space="preserve">invest </w:t>
      </w:r>
      <w:r>
        <w:t xml:space="preserve">in </w:t>
      </w:r>
      <w:r w:rsidRPr="007F0680">
        <w:t xml:space="preserve">to drive </w:t>
      </w:r>
      <w:r>
        <w:t xml:space="preserve">growth. </w:t>
      </w:r>
      <w:r w:rsidRPr="007F0680">
        <w:t xml:space="preserve">We </w:t>
      </w:r>
      <w:r>
        <w:t xml:space="preserve">are also </w:t>
      </w:r>
      <w:r w:rsidRPr="007F0680">
        <w:t xml:space="preserve">expanding </w:t>
      </w:r>
      <w:r>
        <w:t xml:space="preserve">our direct-to-consumer </w:t>
      </w:r>
      <w:r w:rsidRPr="007F0680">
        <w:t>business</w:t>
      </w:r>
      <w:r>
        <w:t>, while carefully balancing our retail and wholesale distribution</w:t>
      </w:r>
      <w:r w:rsidRPr="007F0680">
        <w:t xml:space="preserve">. </w:t>
      </w:r>
      <w:r>
        <w:t xml:space="preserve">We made excellent progress on this front with our acquisition of </w:t>
      </w:r>
      <w:r w:rsidRPr="007F0680">
        <w:t xml:space="preserve">Rolling Luggage </w:t>
      </w:r>
      <w:r>
        <w:t>i</w:t>
      </w:r>
      <w:r w:rsidRPr="007F0680">
        <w:t xml:space="preserve">n February 2015 </w:t>
      </w:r>
      <w:r>
        <w:t xml:space="preserve">as it </w:t>
      </w:r>
      <w:r w:rsidRPr="007F0680">
        <w:t xml:space="preserve">provides </w:t>
      </w:r>
      <w:r>
        <w:t>us</w:t>
      </w:r>
      <w:r w:rsidRPr="007F0680">
        <w:t xml:space="preserve"> with a great multi-brand platform to showcase our brands and collections</w:t>
      </w:r>
      <w:r>
        <w:t xml:space="preserve"> as well as a solid base for future expansion</w:t>
      </w:r>
      <w:r w:rsidRPr="00EF2302">
        <w:t>.</w:t>
      </w:r>
      <w:r>
        <w:t xml:space="preserve">” </w:t>
      </w:r>
    </w:p>
    <w:p w:rsidR="004F7545" w:rsidRDefault="004F7545">
      <w:pPr>
        <w:spacing w:after="0" w:line="240" w:lineRule="auto"/>
        <w:rPr>
          <w:rFonts w:cs="Calibri"/>
          <w:b/>
          <w:i/>
        </w:rPr>
      </w:pPr>
      <w:r>
        <w:rPr>
          <w:b/>
          <w:i/>
        </w:rPr>
        <w:br w:type="page"/>
      </w:r>
    </w:p>
    <w:p w:rsidR="004F7545" w:rsidRPr="00490918" w:rsidRDefault="004F7545" w:rsidP="00DA5CDC">
      <w:pPr>
        <w:pStyle w:val="Default"/>
        <w:spacing w:line="276" w:lineRule="auto"/>
        <w:jc w:val="both"/>
        <w:rPr>
          <w:b/>
          <w:i/>
          <w:color w:val="auto"/>
          <w:sz w:val="22"/>
          <w:szCs w:val="22"/>
        </w:rPr>
      </w:pPr>
      <w:r w:rsidRPr="00490918">
        <w:rPr>
          <w:b/>
          <w:i/>
          <w:color w:val="auto"/>
          <w:sz w:val="22"/>
          <w:szCs w:val="22"/>
        </w:rPr>
        <w:t xml:space="preserve">Marketing </w:t>
      </w:r>
      <w:r>
        <w:rPr>
          <w:b/>
          <w:i/>
          <w:color w:val="auto"/>
          <w:sz w:val="22"/>
          <w:szCs w:val="22"/>
        </w:rPr>
        <w:t xml:space="preserve"> </w:t>
      </w:r>
    </w:p>
    <w:p w:rsidR="004F7545" w:rsidRDefault="004F7545" w:rsidP="00DA5CDC">
      <w:pPr>
        <w:pStyle w:val="BulletL1"/>
        <w:numPr>
          <w:ilvl w:val="0"/>
          <w:numId w:val="0"/>
        </w:numPr>
        <w:tabs>
          <w:tab w:val="clear" w:pos="1094"/>
        </w:tabs>
        <w:spacing w:after="0" w:line="276" w:lineRule="auto"/>
        <w:rPr>
          <w:rFonts w:ascii="Calibri" w:hAnsi="Calibri"/>
        </w:rPr>
      </w:pPr>
      <w:r w:rsidRPr="002A3080">
        <w:rPr>
          <w:rFonts w:ascii="Calibri" w:hAnsi="Calibri"/>
          <w:lang w:val="en-GB"/>
        </w:rPr>
        <w:t>The</w:t>
      </w:r>
      <w:r w:rsidRPr="002A3080">
        <w:rPr>
          <w:rFonts w:ascii="Calibri" w:hAnsi="Calibri"/>
        </w:rPr>
        <w:t xml:space="preserve"> Group spent US$70.8 million, or about 5.9% of net sales, on marketing during the six months ended June 30, 2015, reflecting its on-going commitment to advertise and promote its brands and products to support sales growth worldwide. This was an increase of 2</w:t>
      </w:r>
      <w:r>
        <w:rPr>
          <w:rFonts w:ascii="Calibri" w:hAnsi="Calibri"/>
          <w:szCs w:val="22"/>
        </w:rPr>
        <w:t>.0</w:t>
      </w:r>
      <w:r w:rsidRPr="002A3080">
        <w:rPr>
          <w:rFonts w:ascii="Calibri" w:hAnsi="Calibri"/>
        </w:rPr>
        <w:t xml:space="preserve">% from the US$69.4 million (representing 6.3% of net sales) spent in the six months ended June 30, 2014. In the first half, the Group increased advertising spend as a percentage of net sales by about 120 basis points in Europe to support the roll-out of the </w:t>
      </w:r>
      <w:r w:rsidRPr="002E7E58">
        <w:rPr>
          <w:rFonts w:ascii="Calibri" w:hAnsi="Calibri"/>
          <w:i/>
        </w:rPr>
        <w:t>American Tourister</w:t>
      </w:r>
      <w:r w:rsidRPr="002A3080">
        <w:rPr>
          <w:rFonts w:ascii="Calibri" w:hAnsi="Calibri"/>
        </w:rPr>
        <w:t xml:space="preserve"> brand and drive sales ahead of the highly active summer selling months, but offset that by reducing advertising spend in Asia by about 150 basis points as a percentage of net sales to help mitigate some of the negative impact on profits from the strong US Dollar. </w:t>
      </w:r>
      <w:r>
        <w:rPr>
          <w:rFonts w:ascii="Calibri" w:hAnsi="Calibri"/>
        </w:rPr>
        <w:t xml:space="preserve">Nevertheless, </w:t>
      </w:r>
      <w:r w:rsidRPr="00396FD1">
        <w:rPr>
          <w:rFonts w:ascii="Calibri" w:hAnsi="Calibri"/>
        </w:rPr>
        <w:t>on a constant currency basis, advertising spend increased by 12.5% year-on-year, representing 6.1% of net sales, down only by about 20 basis points compared to the first half of 2014.</w:t>
      </w:r>
      <w:r>
        <w:rPr>
          <w:rFonts w:ascii="Calibri" w:hAnsi="Calibri"/>
        </w:rPr>
        <w:t xml:space="preserve"> </w:t>
      </w:r>
      <w:r>
        <w:rPr>
          <w:rStyle w:val="FootnoteReference"/>
          <w:rFonts w:ascii="Calibri" w:hAnsi="Calibri"/>
        </w:rPr>
        <w:t xml:space="preserve"> </w:t>
      </w:r>
    </w:p>
    <w:p w:rsidR="004F7545" w:rsidRDefault="004F7545" w:rsidP="00DA5CDC">
      <w:pPr>
        <w:pStyle w:val="BulletL1"/>
        <w:numPr>
          <w:ilvl w:val="0"/>
          <w:numId w:val="0"/>
        </w:numPr>
        <w:tabs>
          <w:tab w:val="clear" w:pos="1094"/>
        </w:tabs>
        <w:spacing w:after="0" w:line="276" w:lineRule="auto"/>
        <w:rPr>
          <w:rFonts w:ascii="Calibri" w:hAnsi="Calibri"/>
        </w:rPr>
      </w:pPr>
    </w:p>
    <w:p w:rsidR="004F7545" w:rsidRPr="00A42E17" w:rsidRDefault="004F7545" w:rsidP="00DA5CDC">
      <w:pPr>
        <w:pStyle w:val="BulletL1"/>
        <w:numPr>
          <w:ilvl w:val="0"/>
          <w:numId w:val="0"/>
        </w:numPr>
        <w:tabs>
          <w:tab w:val="clear" w:pos="1094"/>
        </w:tabs>
        <w:spacing w:after="0" w:line="276" w:lineRule="auto"/>
        <w:rPr>
          <w:rFonts w:ascii="Calibri" w:hAnsi="Calibri"/>
          <w:szCs w:val="22"/>
        </w:rPr>
      </w:pPr>
      <w:r w:rsidRPr="002A3080">
        <w:rPr>
          <w:rFonts w:ascii="Calibri" w:hAnsi="Calibri"/>
        </w:rPr>
        <w:t>Mr</w:t>
      </w:r>
      <w:r>
        <w:rPr>
          <w:rFonts w:ascii="Calibri" w:hAnsi="Calibri"/>
        </w:rPr>
        <w:t>.</w:t>
      </w:r>
      <w:r w:rsidRPr="002A3080">
        <w:rPr>
          <w:rFonts w:ascii="Calibri" w:hAnsi="Calibri"/>
        </w:rPr>
        <w:t xml:space="preserve"> Tainwala </w:t>
      </w:r>
      <w:r>
        <w:rPr>
          <w:rFonts w:ascii="Calibri" w:hAnsi="Calibri"/>
        </w:rPr>
        <w:t xml:space="preserve">said, </w:t>
      </w:r>
      <w:r w:rsidRPr="002A3080">
        <w:rPr>
          <w:rFonts w:ascii="Calibri" w:hAnsi="Calibri"/>
        </w:rPr>
        <w:t xml:space="preserve">“Our continued investment in marketing remains core to our strategy and underpins our brands’ long-term competitive advantage. </w:t>
      </w:r>
      <w:r>
        <w:rPr>
          <w:rFonts w:ascii="Calibri" w:hAnsi="Calibri"/>
        </w:rPr>
        <w:t>The success of our focused and innovative advertising campaigns to drive consumer awareness for our brands and products is evident in our net sales growth</w:t>
      </w:r>
      <w:r w:rsidRPr="002A3080">
        <w:rPr>
          <w:rFonts w:ascii="Calibri" w:hAnsi="Calibri"/>
        </w:rPr>
        <w:t>.”</w:t>
      </w:r>
    </w:p>
    <w:p w:rsidR="004F7545" w:rsidRPr="00A527A4" w:rsidRDefault="004F7545" w:rsidP="00DA5CDC">
      <w:pPr>
        <w:pStyle w:val="Default"/>
        <w:spacing w:line="276" w:lineRule="auto"/>
        <w:jc w:val="both"/>
        <w:rPr>
          <w:color w:val="auto"/>
          <w:sz w:val="22"/>
        </w:rPr>
      </w:pPr>
    </w:p>
    <w:p w:rsidR="004F7545" w:rsidRPr="00A527A4" w:rsidRDefault="004F7545" w:rsidP="00DA5CDC">
      <w:pPr>
        <w:spacing w:after="0"/>
        <w:jc w:val="both"/>
        <w:rPr>
          <w:b/>
          <w:i/>
        </w:rPr>
      </w:pPr>
      <w:r w:rsidRPr="00A527A4">
        <w:rPr>
          <w:b/>
          <w:i/>
        </w:rPr>
        <w:t>Outlook</w:t>
      </w:r>
    </w:p>
    <w:p w:rsidR="004F7545" w:rsidRDefault="004F7545" w:rsidP="00A910B5">
      <w:pPr>
        <w:pStyle w:val="EngText"/>
        <w:rPr>
          <w:rFonts w:ascii="Calibri" w:hAnsi="Calibri" w:cs="Calibri"/>
          <w:color w:val="auto"/>
          <w:sz w:val="22"/>
          <w:szCs w:val="22"/>
          <w:lang w:eastAsia="en-US"/>
        </w:rPr>
      </w:pPr>
      <w:r>
        <w:rPr>
          <w:rFonts w:ascii="Calibri" w:hAnsi="Calibri" w:cs="Calibri"/>
          <w:color w:val="auto"/>
          <w:sz w:val="22"/>
          <w:szCs w:val="22"/>
          <w:lang w:eastAsia="en-US"/>
        </w:rPr>
        <w:t xml:space="preserve">For the second half of 2015, the Group will </w:t>
      </w:r>
      <w:r>
        <w:rPr>
          <w:rFonts w:ascii="Calibri" w:hAnsi="Calibri" w:cs="Calibri"/>
          <w:color w:val="auto"/>
          <w:sz w:val="22"/>
          <w:szCs w:val="22"/>
        </w:rPr>
        <w:t xml:space="preserve">continue to leverage the strength of its diverse portfolio of brands to gain market share across all of its markets. Those brands include </w:t>
      </w:r>
      <w:r>
        <w:rPr>
          <w:rFonts w:ascii="Calibri" w:hAnsi="Calibri" w:cs="Calibri"/>
          <w:i/>
          <w:color w:val="auto"/>
          <w:sz w:val="22"/>
          <w:szCs w:val="22"/>
        </w:rPr>
        <w:t xml:space="preserve">Samsonite, American Tourister, Hartmann, High Sierra, Gregory, Speck </w:t>
      </w:r>
      <w:r>
        <w:rPr>
          <w:rFonts w:ascii="Calibri" w:hAnsi="Calibri" w:cs="Calibri"/>
          <w:color w:val="auto"/>
          <w:sz w:val="22"/>
          <w:szCs w:val="22"/>
        </w:rPr>
        <w:t>and</w:t>
      </w:r>
      <w:r>
        <w:rPr>
          <w:rFonts w:ascii="Calibri" w:hAnsi="Calibri" w:cs="Calibri"/>
          <w:i/>
          <w:color w:val="auto"/>
          <w:sz w:val="22"/>
          <w:szCs w:val="22"/>
        </w:rPr>
        <w:t xml:space="preserve"> Lipault</w:t>
      </w:r>
      <w:r>
        <w:rPr>
          <w:rFonts w:ascii="Calibri" w:hAnsi="Calibri" w:cs="Calibri"/>
          <w:color w:val="auto"/>
          <w:sz w:val="22"/>
          <w:szCs w:val="22"/>
        </w:rPr>
        <w:t>.</w:t>
      </w:r>
    </w:p>
    <w:p w:rsidR="004F7545" w:rsidRDefault="004F7545" w:rsidP="00A910B5">
      <w:pPr>
        <w:pStyle w:val="EngText"/>
        <w:rPr>
          <w:rFonts w:ascii="Calibri" w:hAnsi="Calibri" w:cs="Calibri"/>
          <w:color w:val="auto"/>
          <w:sz w:val="22"/>
          <w:szCs w:val="22"/>
          <w:lang w:eastAsia="en-US"/>
        </w:rPr>
      </w:pPr>
    </w:p>
    <w:p w:rsidR="004F7545" w:rsidRDefault="004F7545" w:rsidP="00A910B5">
      <w:pPr>
        <w:pStyle w:val="EngText"/>
        <w:rPr>
          <w:rFonts w:ascii="Calibri" w:hAnsi="Calibri" w:cs="Calibri"/>
          <w:color w:val="auto"/>
          <w:sz w:val="22"/>
          <w:szCs w:val="22"/>
        </w:rPr>
      </w:pPr>
      <w:r>
        <w:rPr>
          <w:rFonts w:ascii="Calibri" w:hAnsi="Calibri" w:cs="Calibri"/>
          <w:color w:val="auto"/>
          <w:sz w:val="22"/>
          <w:szCs w:val="22"/>
          <w:lang w:eastAsia="en-US"/>
        </w:rPr>
        <w:t xml:space="preserve">The Group aims to </w:t>
      </w:r>
      <w:r>
        <w:rPr>
          <w:rFonts w:ascii="Calibri" w:hAnsi="Calibri" w:cs="Calibri"/>
          <w:color w:val="auto"/>
          <w:sz w:val="22"/>
          <w:szCs w:val="22"/>
          <w:lang w:eastAsia="zh-HK"/>
        </w:rPr>
        <w:t>a</w:t>
      </w:r>
      <w:r>
        <w:rPr>
          <w:rFonts w:ascii="Calibri" w:hAnsi="Calibri" w:cs="Calibri"/>
          <w:color w:val="auto"/>
          <w:sz w:val="22"/>
          <w:szCs w:val="22"/>
        </w:rPr>
        <w:t>llocate more resources to increase its direct-to-consumer sales, including e-commerce, retail and omni-channel, in proportion to net sales. The Group is also focused on increasing net sales in key markets in Latin America where the Group is less represented and has the potential to increase market share. Moreover, the Group intends to further leverage its acquired brands to increase sales and gain market share worldwide.</w:t>
      </w:r>
    </w:p>
    <w:p w:rsidR="004F7545" w:rsidRDefault="004F7545" w:rsidP="00A910B5">
      <w:pPr>
        <w:pStyle w:val="EngText"/>
        <w:rPr>
          <w:rFonts w:ascii="Calibri" w:hAnsi="Calibri" w:cs="Calibri"/>
          <w:color w:val="auto"/>
          <w:sz w:val="22"/>
          <w:szCs w:val="22"/>
        </w:rPr>
      </w:pPr>
    </w:p>
    <w:p w:rsidR="004F7545" w:rsidRDefault="004F7545" w:rsidP="00A910B5">
      <w:pPr>
        <w:pStyle w:val="EngText"/>
        <w:rPr>
          <w:rFonts w:ascii="Calibri" w:hAnsi="Calibri" w:cs="Calibri"/>
          <w:color w:val="auto"/>
          <w:sz w:val="22"/>
          <w:szCs w:val="22"/>
        </w:rPr>
      </w:pPr>
      <w:r>
        <w:rPr>
          <w:rFonts w:ascii="Calibri" w:hAnsi="Calibri" w:cs="Calibri"/>
          <w:color w:val="auto"/>
          <w:sz w:val="22"/>
          <w:szCs w:val="22"/>
        </w:rPr>
        <w:t xml:space="preserve">The Group will continue to integrate </w:t>
      </w:r>
      <w:r w:rsidRPr="002E7E58">
        <w:rPr>
          <w:rFonts w:ascii="Calibri" w:hAnsi="Calibri" w:cs="Calibri"/>
          <w:i/>
          <w:color w:val="auto"/>
          <w:sz w:val="22"/>
          <w:szCs w:val="22"/>
        </w:rPr>
        <w:t>Speck, Lipault</w:t>
      </w:r>
      <w:r>
        <w:rPr>
          <w:rFonts w:ascii="Calibri" w:hAnsi="Calibri" w:cs="Calibri"/>
          <w:color w:val="auto"/>
          <w:sz w:val="22"/>
          <w:szCs w:val="22"/>
        </w:rPr>
        <w:t xml:space="preserve"> and </w:t>
      </w:r>
      <w:r w:rsidRPr="002E7E58">
        <w:rPr>
          <w:rFonts w:ascii="Calibri" w:hAnsi="Calibri" w:cs="Calibri"/>
          <w:i/>
          <w:color w:val="auto"/>
          <w:sz w:val="22"/>
          <w:szCs w:val="22"/>
        </w:rPr>
        <w:t>Gregory</w:t>
      </w:r>
      <w:r>
        <w:rPr>
          <w:rFonts w:ascii="Calibri" w:hAnsi="Calibri" w:cs="Calibri"/>
          <w:color w:val="auto"/>
          <w:sz w:val="22"/>
          <w:szCs w:val="22"/>
        </w:rPr>
        <w:t xml:space="preserve"> into its existing business and realize anticipated synergies in sourcing, systems and back-office support functions; further improve the efficiency and effectiveness of the Group’s supply chain and global distribution network; and continually evaluate acquisition opportunities that have a compelling strategic fit, leveraging the Group’s strong management team and balance sheet capacity.</w:t>
      </w:r>
    </w:p>
    <w:p w:rsidR="004F7545" w:rsidRDefault="004F7545" w:rsidP="00D27ED2">
      <w:pPr>
        <w:pStyle w:val="EngText"/>
        <w:ind w:left="454" w:hanging="454"/>
        <w:rPr>
          <w:rFonts w:ascii="Calibri" w:hAnsi="Calibri" w:cs="Calibri"/>
          <w:sz w:val="22"/>
          <w:szCs w:val="22"/>
        </w:rPr>
      </w:pPr>
    </w:p>
    <w:p w:rsidR="004F7545" w:rsidRPr="00860DF6" w:rsidRDefault="004F7545" w:rsidP="009F25F7">
      <w:pPr>
        <w:pStyle w:val="EngText"/>
        <w:rPr>
          <w:rFonts w:ascii="Calibri" w:hAnsi="Calibri"/>
          <w:color w:val="auto"/>
          <w:sz w:val="22"/>
        </w:rPr>
      </w:pPr>
      <w:r>
        <w:rPr>
          <w:rFonts w:ascii="Calibri" w:hAnsi="Calibri" w:cs="Calibri"/>
          <w:color w:val="auto"/>
          <w:sz w:val="22"/>
          <w:szCs w:val="22"/>
          <w:lang w:eastAsia="en-US"/>
        </w:rPr>
        <w:t>The Group aims to deliver top-line growth, maintain gross margins, increase Adjusted EBITDA margins and enhance shareholder value.</w:t>
      </w:r>
    </w:p>
    <w:p w:rsidR="004F7545" w:rsidRDefault="004F7545" w:rsidP="009F25F7">
      <w:pPr>
        <w:pStyle w:val="EngText"/>
        <w:rPr>
          <w:rFonts w:ascii="Calibri" w:hAnsi="Calibri" w:cs="Calibri"/>
          <w:color w:val="auto"/>
          <w:sz w:val="22"/>
          <w:szCs w:val="22"/>
          <w:lang w:eastAsia="en-US"/>
        </w:rPr>
      </w:pPr>
    </w:p>
    <w:p w:rsidR="004F7545" w:rsidRDefault="004F7545" w:rsidP="009F25F7">
      <w:pPr>
        <w:pStyle w:val="EngText"/>
      </w:pPr>
    </w:p>
    <w:p w:rsidR="004F7545" w:rsidRDefault="004F7545" w:rsidP="00EC7C9A">
      <w:pPr>
        <w:spacing w:after="0"/>
        <w:jc w:val="center"/>
      </w:pPr>
      <w:r w:rsidRPr="00EC3F3D">
        <w:t>– End –</w:t>
      </w:r>
    </w:p>
    <w:p w:rsidR="004F7545" w:rsidRDefault="004F7545">
      <w:pPr>
        <w:spacing w:after="0" w:line="240" w:lineRule="auto"/>
        <w:rPr>
          <w:b/>
        </w:rPr>
      </w:pPr>
      <w:r>
        <w:rPr>
          <w:b/>
        </w:rPr>
        <w:br w:type="page"/>
      </w:r>
    </w:p>
    <w:p w:rsidR="004F7545" w:rsidRPr="00EC3F3D" w:rsidRDefault="004F7545" w:rsidP="00BC23BB">
      <w:pPr>
        <w:spacing w:after="0" w:line="240" w:lineRule="auto"/>
        <w:rPr>
          <w:b/>
        </w:rPr>
      </w:pPr>
      <w:r w:rsidRPr="00EC3F3D">
        <w:rPr>
          <w:b/>
        </w:rPr>
        <w:t xml:space="preserve">About Samsonite </w:t>
      </w:r>
    </w:p>
    <w:p w:rsidR="004F7545" w:rsidRPr="00EC7C9A" w:rsidRDefault="004F7545" w:rsidP="002004A1">
      <w:pPr>
        <w:spacing w:after="0"/>
        <w:jc w:val="both"/>
      </w:pPr>
      <w:r w:rsidRPr="00692EC0">
        <w:t>Samsonite International S.A. (together with its consolidated subsidiaries, the “</w:t>
      </w:r>
      <w:r>
        <w:t>Group</w:t>
      </w:r>
      <w:r w:rsidRPr="00692EC0">
        <w:t xml:space="preserve">”) is the world’s largest travel luggage </w:t>
      </w:r>
      <w:r>
        <w:t>company</w:t>
      </w:r>
      <w:r w:rsidRPr="00692EC0">
        <w:t xml:space="preserve">, with a heritage dating back more than 100 years. The </w:t>
      </w:r>
      <w:r>
        <w:t>Group</w:t>
      </w:r>
      <w:r w:rsidRPr="00692EC0">
        <w:t xml:space="preserve"> is principally engaged in the design, manufacture, sourcing and distribution of luggage, business and computer bags, outdoor and casual bags, travel accessories </w:t>
      </w:r>
      <w:r>
        <w:t>and slim protective cases for personal electronic devices</w:t>
      </w:r>
      <w:r w:rsidRPr="00692EC0">
        <w:t xml:space="preserve"> throughout the world, primarily under the </w:t>
      </w:r>
      <w:r w:rsidRPr="00692EC0">
        <w:rPr>
          <w:i/>
        </w:rPr>
        <w:t>Samsonite</w:t>
      </w:r>
      <w:r w:rsidRPr="00692EC0">
        <w:t>®</w:t>
      </w:r>
      <w:r>
        <w:rPr>
          <w:lang w:eastAsia="zh-HK"/>
        </w:rPr>
        <w:t>,</w:t>
      </w:r>
      <w:r w:rsidRPr="00692EC0">
        <w:t xml:space="preserve"> </w:t>
      </w:r>
      <w:r w:rsidRPr="00692EC0">
        <w:rPr>
          <w:i/>
        </w:rPr>
        <w:t>American</w:t>
      </w:r>
      <w:r w:rsidRPr="00692EC0">
        <w:t xml:space="preserve"> </w:t>
      </w:r>
      <w:r w:rsidRPr="00692EC0">
        <w:rPr>
          <w:i/>
        </w:rPr>
        <w:t>Tourister</w:t>
      </w:r>
      <w:r w:rsidRPr="00692EC0">
        <w:t>®</w:t>
      </w:r>
      <w:r>
        <w:rPr>
          <w:lang w:eastAsia="zh-HK"/>
        </w:rPr>
        <w:t xml:space="preserve">, </w:t>
      </w:r>
      <w:r w:rsidRPr="00EB4E43">
        <w:rPr>
          <w:i/>
          <w:lang w:eastAsia="zh-HK"/>
        </w:rPr>
        <w:t>Hartmann®</w:t>
      </w:r>
      <w:r>
        <w:rPr>
          <w:i/>
          <w:lang w:eastAsia="zh-HK"/>
        </w:rPr>
        <w:t>,</w:t>
      </w:r>
      <w:r w:rsidRPr="00C753F4">
        <w:rPr>
          <w:i/>
          <w:iCs/>
        </w:rPr>
        <w:t xml:space="preserve"> </w:t>
      </w:r>
      <w:r w:rsidRPr="00EB4E43">
        <w:rPr>
          <w:i/>
          <w:lang w:eastAsia="zh-HK"/>
        </w:rPr>
        <w:t>High Sierra®</w:t>
      </w:r>
      <w:r>
        <w:rPr>
          <w:i/>
          <w:lang w:eastAsia="zh-HK"/>
        </w:rPr>
        <w:t>,</w:t>
      </w:r>
      <w:r w:rsidRPr="00181FD3">
        <w:rPr>
          <w:lang w:eastAsia="zh-HK"/>
        </w:rPr>
        <w:t xml:space="preserve"> </w:t>
      </w:r>
      <w:r w:rsidRPr="00E43609">
        <w:rPr>
          <w:i/>
          <w:lang w:eastAsia="zh-HK"/>
        </w:rPr>
        <w:t>Gregory</w:t>
      </w:r>
      <w:r w:rsidRPr="00A44B4D">
        <w:t>®</w:t>
      </w:r>
      <w:r>
        <w:rPr>
          <w:i/>
          <w:lang w:eastAsia="zh-HK"/>
        </w:rPr>
        <w:t xml:space="preserve">, </w:t>
      </w:r>
      <w:r>
        <w:rPr>
          <w:i/>
          <w:iCs/>
        </w:rPr>
        <w:t>Speck</w:t>
      </w:r>
      <w:r w:rsidRPr="00A44B4D">
        <w:t>®</w:t>
      </w:r>
      <w:r>
        <w:rPr>
          <w:rFonts w:cs="TradeGothic"/>
          <w:lang w:val="en-US"/>
        </w:rPr>
        <w:t xml:space="preserve"> and </w:t>
      </w:r>
      <w:r>
        <w:rPr>
          <w:rFonts w:cs="TradeGothic"/>
          <w:i/>
          <w:lang w:val="en-US"/>
        </w:rPr>
        <w:t>Lipault</w:t>
      </w:r>
      <w:r w:rsidRPr="00A44B4D">
        <w:t>®</w:t>
      </w:r>
      <w:r>
        <w:rPr>
          <w:rFonts w:cs="TradeGothic"/>
          <w:vertAlign w:val="superscript"/>
          <w:lang w:val="en-US"/>
        </w:rPr>
        <w:t xml:space="preserve"> </w:t>
      </w:r>
      <w:r w:rsidRPr="00692EC0">
        <w:t xml:space="preserve">brand names and other owned and licensed brand names. The </w:t>
      </w:r>
      <w:r>
        <w:t>Group</w:t>
      </w:r>
      <w:r w:rsidRPr="00692EC0">
        <w:t xml:space="preserve">’s core brand, </w:t>
      </w:r>
      <w:r w:rsidRPr="00692EC0">
        <w:rPr>
          <w:i/>
        </w:rPr>
        <w:t>Samsonite</w:t>
      </w:r>
      <w:r w:rsidRPr="00692EC0">
        <w:t>, is one of the most well-known travel luggage brands in the world.</w:t>
      </w:r>
    </w:p>
    <w:p w:rsidR="004F7545" w:rsidRDefault="004F7545">
      <w:pPr>
        <w:spacing w:after="0" w:line="240" w:lineRule="auto"/>
        <w:rPr>
          <w:b/>
        </w:rPr>
      </w:pPr>
    </w:p>
    <w:p w:rsidR="004F7545" w:rsidRPr="00EC3F3D" w:rsidRDefault="004F7545" w:rsidP="00341A8F">
      <w:pPr>
        <w:jc w:val="both"/>
        <w:rPr>
          <w:b/>
        </w:rPr>
      </w:pPr>
      <w:r w:rsidRPr="00EC3F3D">
        <w:rPr>
          <w:b/>
        </w:rPr>
        <w:t>For more information, please contact:</w:t>
      </w:r>
    </w:p>
    <w:p w:rsidR="004F7545" w:rsidRPr="00EC3F3D" w:rsidRDefault="004F7545" w:rsidP="008B6FFA">
      <w:pPr>
        <w:pStyle w:val="Default"/>
        <w:rPr>
          <w:color w:val="auto"/>
          <w:sz w:val="22"/>
          <w:szCs w:val="22"/>
        </w:rPr>
      </w:pPr>
      <w:r w:rsidRPr="00EC3F3D">
        <w:rPr>
          <w:b/>
          <w:color w:val="auto"/>
          <w:sz w:val="22"/>
          <w:szCs w:val="22"/>
        </w:rPr>
        <w:t xml:space="preserve">Samsonite International S.A. </w:t>
      </w:r>
    </w:p>
    <w:p w:rsidR="004F7545" w:rsidRPr="00EC3F3D" w:rsidRDefault="004F7545" w:rsidP="008B6FFA">
      <w:pPr>
        <w:pStyle w:val="Default"/>
        <w:rPr>
          <w:color w:val="auto"/>
          <w:sz w:val="22"/>
          <w:szCs w:val="22"/>
        </w:rPr>
      </w:pPr>
      <w:r w:rsidRPr="00EC3F3D">
        <w:rPr>
          <w:color w:val="auto"/>
          <w:sz w:val="22"/>
          <w:szCs w:val="22"/>
        </w:rPr>
        <w:t xml:space="preserve">William Yue </w:t>
      </w:r>
    </w:p>
    <w:p w:rsidR="004F7545" w:rsidRPr="00EC3F3D" w:rsidRDefault="004F7545" w:rsidP="008B6FFA">
      <w:pPr>
        <w:pStyle w:val="Default"/>
        <w:rPr>
          <w:color w:val="auto"/>
          <w:sz w:val="22"/>
          <w:szCs w:val="22"/>
        </w:rPr>
      </w:pPr>
      <w:r w:rsidRPr="00EC3F3D">
        <w:rPr>
          <w:color w:val="auto"/>
          <w:sz w:val="22"/>
          <w:szCs w:val="22"/>
        </w:rPr>
        <w:t xml:space="preserve">Tel: </w:t>
      </w:r>
      <w:r w:rsidRPr="00EC3F3D">
        <w:rPr>
          <w:color w:val="auto"/>
          <w:sz w:val="22"/>
          <w:szCs w:val="22"/>
        </w:rPr>
        <w:tab/>
        <w:t xml:space="preserve">(852) 2422 2611 </w:t>
      </w:r>
    </w:p>
    <w:p w:rsidR="004F7545" w:rsidRPr="00EC3F3D" w:rsidRDefault="004F7545" w:rsidP="008B6FFA">
      <w:pPr>
        <w:pStyle w:val="Default"/>
        <w:rPr>
          <w:color w:val="auto"/>
          <w:sz w:val="22"/>
          <w:szCs w:val="22"/>
        </w:rPr>
      </w:pPr>
      <w:r w:rsidRPr="00EC3F3D">
        <w:rPr>
          <w:color w:val="auto"/>
          <w:sz w:val="22"/>
          <w:szCs w:val="22"/>
        </w:rPr>
        <w:t xml:space="preserve">Fax: </w:t>
      </w:r>
      <w:r w:rsidRPr="00EC3F3D">
        <w:rPr>
          <w:color w:val="auto"/>
          <w:sz w:val="22"/>
          <w:szCs w:val="22"/>
        </w:rPr>
        <w:tab/>
        <w:t xml:space="preserve">(852) 2480 1808 </w:t>
      </w:r>
    </w:p>
    <w:p w:rsidR="004F7545" w:rsidRPr="00941B47" w:rsidRDefault="004F7545" w:rsidP="008B6FFA">
      <w:pPr>
        <w:pStyle w:val="Default"/>
        <w:rPr>
          <w:color w:val="auto"/>
          <w:sz w:val="22"/>
        </w:rPr>
      </w:pPr>
      <w:r w:rsidRPr="00941B47">
        <w:rPr>
          <w:color w:val="auto"/>
          <w:sz w:val="22"/>
          <w:szCs w:val="22"/>
        </w:rPr>
        <w:t xml:space="preserve">Email: </w:t>
      </w:r>
      <w:r w:rsidRPr="00941B47">
        <w:rPr>
          <w:color w:val="auto"/>
          <w:sz w:val="22"/>
          <w:szCs w:val="22"/>
        </w:rPr>
        <w:tab/>
      </w:r>
      <w:hyperlink r:id="rId8" w:history="1">
        <w:r w:rsidRPr="00DD49A3">
          <w:rPr>
            <w:rStyle w:val="Hyperlink"/>
            <w:rFonts w:cs="Calibri"/>
            <w:color w:val="auto"/>
            <w:sz w:val="22"/>
            <w:szCs w:val="22"/>
            <w:u w:val="none"/>
          </w:rPr>
          <w:t>william.yue@samsonite.com</w:t>
        </w:r>
      </w:hyperlink>
      <w:r w:rsidRPr="00DD49A3">
        <w:rPr>
          <w:color w:val="auto"/>
          <w:sz w:val="22"/>
          <w:szCs w:val="22"/>
        </w:rPr>
        <w:t xml:space="preserve">  </w:t>
      </w:r>
    </w:p>
    <w:p w:rsidR="004F7545" w:rsidRDefault="004F7545" w:rsidP="008B6FFA">
      <w:pPr>
        <w:pStyle w:val="Default"/>
        <w:rPr>
          <w:color w:val="auto"/>
          <w:sz w:val="22"/>
        </w:rPr>
      </w:pPr>
    </w:p>
    <w:p w:rsidR="004F7545" w:rsidRPr="00292659" w:rsidRDefault="004F7545" w:rsidP="00E43609">
      <w:pPr>
        <w:pStyle w:val="Default"/>
        <w:rPr>
          <w:b/>
          <w:color w:val="auto"/>
          <w:sz w:val="22"/>
        </w:rPr>
      </w:pPr>
      <w:r w:rsidRPr="00292659">
        <w:rPr>
          <w:b/>
          <w:color w:val="auto"/>
          <w:sz w:val="22"/>
        </w:rPr>
        <w:t>Artemis Associates</w:t>
      </w:r>
    </w:p>
    <w:tbl>
      <w:tblPr>
        <w:tblW w:w="0" w:type="auto"/>
        <w:tblLook w:val="00A0"/>
      </w:tblPr>
      <w:tblGrid>
        <w:gridCol w:w="4901"/>
        <w:gridCol w:w="4901"/>
      </w:tblGrid>
      <w:tr w:rsidR="004F7545" w:rsidRPr="001A7366" w:rsidTr="005E39E2">
        <w:tc>
          <w:tcPr>
            <w:tcW w:w="4901" w:type="dxa"/>
          </w:tcPr>
          <w:p w:rsidR="004F7545" w:rsidRPr="005E39E2" w:rsidRDefault="004F7545" w:rsidP="00E43609">
            <w:pPr>
              <w:pStyle w:val="Default"/>
              <w:rPr>
                <w:color w:val="auto"/>
                <w:sz w:val="22"/>
              </w:rPr>
            </w:pPr>
            <w:r w:rsidRPr="005E39E2">
              <w:rPr>
                <w:color w:val="auto"/>
                <w:sz w:val="22"/>
              </w:rPr>
              <w:t>Vanita Sehgal</w:t>
            </w:r>
            <w:r w:rsidRPr="005E39E2">
              <w:rPr>
                <w:color w:val="auto"/>
                <w:sz w:val="22"/>
              </w:rPr>
              <w:tab/>
            </w:r>
          </w:p>
          <w:p w:rsidR="004F7545" w:rsidRPr="005E39E2" w:rsidRDefault="004F7545" w:rsidP="00E43609">
            <w:pPr>
              <w:pStyle w:val="Default"/>
              <w:rPr>
                <w:color w:val="auto"/>
                <w:sz w:val="22"/>
              </w:rPr>
            </w:pPr>
            <w:r w:rsidRPr="005E39E2">
              <w:rPr>
                <w:color w:val="auto"/>
                <w:sz w:val="22"/>
              </w:rPr>
              <w:t xml:space="preserve">Tel: </w:t>
            </w:r>
            <w:r w:rsidRPr="005E39E2">
              <w:rPr>
                <w:color w:val="auto"/>
                <w:sz w:val="22"/>
              </w:rPr>
              <w:tab/>
              <w:t>+852 2861 3227</w:t>
            </w:r>
          </w:p>
          <w:p w:rsidR="004F7545" w:rsidRPr="005E39E2" w:rsidRDefault="004F7545" w:rsidP="00E43609">
            <w:pPr>
              <w:pStyle w:val="Default"/>
              <w:rPr>
                <w:color w:val="auto"/>
                <w:sz w:val="22"/>
              </w:rPr>
            </w:pPr>
            <w:r w:rsidRPr="005E39E2">
              <w:rPr>
                <w:color w:val="auto"/>
                <w:sz w:val="22"/>
              </w:rPr>
              <w:t xml:space="preserve">Mob: </w:t>
            </w:r>
            <w:r w:rsidRPr="005E39E2">
              <w:rPr>
                <w:color w:val="auto"/>
                <w:sz w:val="22"/>
              </w:rPr>
              <w:tab/>
              <w:t>+852 9103 4626</w:t>
            </w:r>
          </w:p>
          <w:p w:rsidR="004F7545" w:rsidRPr="005E39E2" w:rsidRDefault="004F7545" w:rsidP="00E43609">
            <w:pPr>
              <w:pStyle w:val="Default"/>
              <w:rPr>
                <w:color w:val="auto"/>
                <w:sz w:val="22"/>
              </w:rPr>
            </w:pPr>
            <w:r w:rsidRPr="005E39E2">
              <w:rPr>
                <w:color w:val="auto"/>
                <w:sz w:val="22"/>
              </w:rPr>
              <w:t xml:space="preserve">Email: </w:t>
            </w:r>
            <w:r w:rsidRPr="005E39E2">
              <w:rPr>
                <w:color w:val="auto"/>
                <w:sz w:val="22"/>
              </w:rPr>
              <w:tab/>
            </w:r>
            <w:hyperlink r:id="rId9" w:history="1">
              <w:r w:rsidRPr="005E39E2">
                <w:rPr>
                  <w:rStyle w:val="Hyperlink"/>
                  <w:rFonts w:cs="Calibri"/>
                  <w:color w:val="auto"/>
                  <w:sz w:val="22"/>
                  <w:szCs w:val="22"/>
                  <w:u w:val="none"/>
                </w:rPr>
                <w:t>vanita.sehgal@artemisassociates.com</w:t>
              </w:r>
            </w:hyperlink>
          </w:p>
        </w:tc>
        <w:tc>
          <w:tcPr>
            <w:tcW w:w="4901" w:type="dxa"/>
          </w:tcPr>
          <w:p w:rsidR="004F7545" w:rsidRPr="005E39E2" w:rsidRDefault="004F7545" w:rsidP="00E43609">
            <w:pPr>
              <w:pStyle w:val="Default"/>
              <w:rPr>
                <w:color w:val="auto"/>
                <w:sz w:val="22"/>
              </w:rPr>
            </w:pPr>
            <w:r w:rsidRPr="005E39E2">
              <w:rPr>
                <w:color w:val="auto"/>
                <w:sz w:val="22"/>
              </w:rPr>
              <w:t>Jonathan Yang</w:t>
            </w:r>
          </w:p>
          <w:p w:rsidR="004F7545" w:rsidRPr="005E39E2" w:rsidRDefault="004F7545" w:rsidP="00E43609">
            <w:pPr>
              <w:pStyle w:val="Default"/>
              <w:rPr>
                <w:color w:val="auto"/>
                <w:sz w:val="22"/>
              </w:rPr>
            </w:pPr>
            <w:r w:rsidRPr="005E39E2">
              <w:rPr>
                <w:color w:val="auto"/>
                <w:sz w:val="22"/>
              </w:rPr>
              <w:t xml:space="preserve">Tel: </w:t>
            </w:r>
            <w:r w:rsidRPr="005E39E2">
              <w:rPr>
                <w:color w:val="auto"/>
                <w:sz w:val="22"/>
              </w:rPr>
              <w:tab/>
              <w:t>+852 2861 3234</w:t>
            </w:r>
          </w:p>
          <w:p w:rsidR="004F7545" w:rsidRPr="005E39E2" w:rsidRDefault="004F7545" w:rsidP="00E43609">
            <w:pPr>
              <w:pStyle w:val="Default"/>
              <w:rPr>
                <w:color w:val="auto"/>
                <w:sz w:val="22"/>
              </w:rPr>
            </w:pPr>
            <w:r w:rsidRPr="005E39E2">
              <w:rPr>
                <w:color w:val="auto"/>
                <w:sz w:val="22"/>
              </w:rPr>
              <w:t xml:space="preserve">Mob: </w:t>
            </w:r>
            <w:r w:rsidRPr="005E39E2">
              <w:rPr>
                <w:color w:val="auto"/>
                <w:sz w:val="22"/>
              </w:rPr>
              <w:tab/>
              <w:t>+852 6373 6676</w:t>
            </w:r>
          </w:p>
          <w:p w:rsidR="004F7545" w:rsidRPr="005E39E2" w:rsidRDefault="004F7545" w:rsidP="00E43609">
            <w:pPr>
              <w:pStyle w:val="Default"/>
              <w:rPr>
                <w:color w:val="auto"/>
                <w:sz w:val="22"/>
              </w:rPr>
            </w:pPr>
            <w:r w:rsidRPr="005E39E2">
              <w:rPr>
                <w:color w:val="auto"/>
                <w:sz w:val="22"/>
              </w:rPr>
              <w:t xml:space="preserve">Email: </w:t>
            </w:r>
            <w:r w:rsidRPr="005E39E2">
              <w:rPr>
                <w:color w:val="auto"/>
                <w:sz w:val="22"/>
              </w:rPr>
              <w:tab/>
            </w:r>
            <w:hyperlink r:id="rId10" w:history="1">
              <w:r w:rsidRPr="005E39E2">
                <w:rPr>
                  <w:rStyle w:val="Hyperlink"/>
                  <w:rFonts w:cs="Calibri"/>
                  <w:color w:val="auto"/>
                  <w:sz w:val="22"/>
                  <w:szCs w:val="22"/>
                  <w:u w:val="none"/>
                </w:rPr>
                <w:t>jonathan.yang@artemisassociates.com</w:t>
              </w:r>
            </w:hyperlink>
          </w:p>
        </w:tc>
      </w:tr>
    </w:tbl>
    <w:p w:rsidR="004F7545" w:rsidRPr="00292659" w:rsidRDefault="004F7545" w:rsidP="00E43609">
      <w:pPr>
        <w:pStyle w:val="Default"/>
        <w:rPr>
          <w:color w:val="auto"/>
          <w:sz w:val="22"/>
        </w:rPr>
      </w:pPr>
    </w:p>
    <w:p w:rsidR="004F7545" w:rsidRPr="00292659" w:rsidRDefault="004F7545" w:rsidP="00E43609">
      <w:pPr>
        <w:pStyle w:val="Default"/>
        <w:rPr>
          <w:b/>
          <w:color w:val="auto"/>
          <w:sz w:val="22"/>
        </w:rPr>
      </w:pPr>
      <w:r w:rsidRPr="00292659">
        <w:rPr>
          <w:b/>
          <w:color w:val="auto"/>
          <w:sz w:val="22"/>
        </w:rPr>
        <w:t>Newgate Communications</w:t>
      </w:r>
    </w:p>
    <w:tbl>
      <w:tblPr>
        <w:tblW w:w="10603" w:type="dxa"/>
        <w:tblLook w:val="00A0"/>
      </w:tblPr>
      <w:tblGrid>
        <w:gridCol w:w="3505"/>
        <w:gridCol w:w="3549"/>
        <w:gridCol w:w="3549"/>
      </w:tblGrid>
      <w:tr w:rsidR="004F7545" w:rsidRPr="001A7366" w:rsidTr="005E39E2">
        <w:tc>
          <w:tcPr>
            <w:tcW w:w="3505" w:type="dxa"/>
          </w:tcPr>
          <w:p w:rsidR="004F7545" w:rsidRPr="005E39E2" w:rsidRDefault="004F7545" w:rsidP="00E43609">
            <w:pPr>
              <w:pStyle w:val="Default"/>
              <w:rPr>
                <w:color w:val="auto"/>
                <w:sz w:val="22"/>
              </w:rPr>
            </w:pPr>
            <w:r w:rsidRPr="005E39E2">
              <w:rPr>
                <w:color w:val="auto"/>
                <w:sz w:val="22"/>
              </w:rPr>
              <w:t>Jonathan Clare</w:t>
            </w:r>
            <w:r w:rsidRPr="005E39E2">
              <w:rPr>
                <w:color w:val="auto"/>
                <w:sz w:val="22"/>
              </w:rPr>
              <w:tab/>
            </w:r>
          </w:p>
          <w:p w:rsidR="004F7545" w:rsidRPr="005E39E2" w:rsidRDefault="004F7545" w:rsidP="00E43609">
            <w:pPr>
              <w:pStyle w:val="Default"/>
              <w:rPr>
                <w:color w:val="auto"/>
                <w:sz w:val="22"/>
              </w:rPr>
            </w:pPr>
            <w:r w:rsidRPr="005E39E2">
              <w:rPr>
                <w:color w:val="auto"/>
                <w:sz w:val="22"/>
              </w:rPr>
              <w:t xml:space="preserve">Tel: </w:t>
            </w:r>
            <w:r w:rsidRPr="005E39E2">
              <w:rPr>
                <w:color w:val="auto"/>
                <w:sz w:val="22"/>
              </w:rPr>
              <w:tab/>
              <w:t>+44 207 680 6500</w:t>
            </w:r>
          </w:p>
          <w:p w:rsidR="004F7545" w:rsidRPr="005E39E2" w:rsidRDefault="004F7545" w:rsidP="00E43609">
            <w:pPr>
              <w:pStyle w:val="Default"/>
              <w:rPr>
                <w:color w:val="auto"/>
                <w:sz w:val="22"/>
              </w:rPr>
            </w:pPr>
          </w:p>
        </w:tc>
        <w:tc>
          <w:tcPr>
            <w:tcW w:w="3549" w:type="dxa"/>
          </w:tcPr>
          <w:p w:rsidR="004F7545" w:rsidRPr="005E39E2" w:rsidRDefault="004F7545" w:rsidP="00E43609">
            <w:pPr>
              <w:pStyle w:val="Default"/>
              <w:rPr>
                <w:color w:val="auto"/>
                <w:sz w:val="22"/>
              </w:rPr>
            </w:pPr>
            <w:r w:rsidRPr="005E39E2">
              <w:rPr>
                <w:color w:val="auto"/>
                <w:sz w:val="22"/>
              </w:rPr>
              <w:t xml:space="preserve">Clotilde Gros </w:t>
            </w:r>
          </w:p>
          <w:p w:rsidR="004F7545" w:rsidRPr="005E39E2" w:rsidRDefault="004F7545" w:rsidP="00E43609">
            <w:pPr>
              <w:pStyle w:val="Default"/>
              <w:rPr>
                <w:color w:val="auto"/>
                <w:sz w:val="22"/>
              </w:rPr>
            </w:pPr>
            <w:r w:rsidRPr="005E39E2">
              <w:rPr>
                <w:color w:val="auto"/>
                <w:sz w:val="22"/>
              </w:rPr>
              <w:t xml:space="preserve">Tel: </w:t>
            </w:r>
            <w:r w:rsidRPr="005E39E2">
              <w:rPr>
                <w:color w:val="auto"/>
                <w:sz w:val="22"/>
              </w:rPr>
              <w:tab/>
              <w:t>+44 207 680 6522</w:t>
            </w:r>
          </w:p>
          <w:p w:rsidR="004F7545" w:rsidRPr="005E39E2" w:rsidRDefault="004F7545" w:rsidP="00E43609">
            <w:pPr>
              <w:pStyle w:val="Default"/>
              <w:rPr>
                <w:color w:val="auto"/>
                <w:sz w:val="22"/>
              </w:rPr>
            </w:pPr>
            <w:r w:rsidRPr="005E39E2">
              <w:rPr>
                <w:color w:val="auto"/>
                <w:sz w:val="22"/>
              </w:rPr>
              <w:t xml:space="preserve">Mob: </w:t>
            </w:r>
            <w:r w:rsidRPr="005E39E2">
              <w:rPr>
                <w:color w:val="auto"/>
                <w:sz w:val="22"/>
              </w:rPr>
              <w:tab/>
              <w:t>+44 789 9790 749</w:t>
            </w:r>
          </w:p>
        </w:tc>
        <w:tc>
          <w:tcPr>
            <w:tcW w:w="3549" w:type="dxa"/>
          </w:tcPr>
          <w:p w:rsidR="004F7545" w:rsidRPr="005E39E2" w:rsidRDefault="004F7545" w:rsidP="00E43609">
            <w:pPr>
              <w:pStyle w:val="Default"/>
              <w:rPr>
                <w:color w:val="auto"/>
                <w:sz w:val="22"/>
              </w:rPr>
            </w:pPr>
            <w:r w:rsidRPr="005E39E2">
              <w:rPr>
                <w:color w:val="auto"/>
                <w:sz w:val="22"/>
              </w:rPr>
              <w:t>Madeleine Palmstierna</w:t>
            </w:r>
          </w:p>
          <w:p w:rsidR="004F7545" w:rsidRPr="005E39E2" w:rsidRDefault="004F7545" w:rsidP="00E43609">
            <w:pPr>
              <w:pStyle w:val="Default"/>
              <w:rPr>
                <w:color w:val="auto"/>
                <w:sz w:val="22"/>
              </w:rPr>
            </w:pPr>
            <w:r w:rsidRPr="005E39E2">
              <w:rPr>
                <w:color w:val="auto"/>
                <w:sz w:val="22"/>
              </w:rPr>
              <w:t xml:space="preserve">Tel: </w:t>
            </w:r>
            <w:r w:rsidRPr="005E39E2">
              <w:rPr>
                <w:color w:val="auto"/>
                <w:sz w:val="22"/>
              </w:rPr>
              <w:tab/>
              <w:t>+44 207 680 6529</w:t>
            </w:r>
          </w:p>
          <w:p w:rsidR="004F7545" w:rsidRPr="005E39E2" w:rsidDel="0030072D" w:rsidRDefault="004F7545" w:rsidP="0043316A">
            <w:pPr>
              <w:pStyle w:val="Default"/>
              <w:rPr>
                <w:color w:val="auto"/>
                <w:sz w:val="22"/>
              </w:rPr>
            </w:pPr>
            <w:r w:rsidRPr="005E39E2">
              <w:rPr>
                <w:color w:val="auto"/>
                <w:sz w:val="22"/>
              </w:rPr>
              <w:t xml:space="preserve">Mob: </w:t>
            </w:r>
            <w:r w:rsidRPr="005E39E2">
              <w:rPr>
                <w:color w:val="auto"/>
                <w:sz w:val="22"/>
              </w:rPr>
              <w:tab/>
              <w:t>+44 777 1620 652</w:t>
            </w:r>
          </w:p>
        </w:tc>
      </w:tr>
      <w:tr w:rsidR="004F7545" w:rsidRPr="001A7366" w:rsidTr="005E39E2">
        <w:tc>
          <w:tcPr>
            <w:tcW w:w="10603" w:type="dxa"/>
            <w:gridSpan w:val="3"/>
          </w:tcPr>
          <w:p w:rsidR="004F7545" w:rsidRPr="005E39E2" w:rsidRDefault="004F7545" w:rsidP="00E43609">
            <w:pPr>
              <w:pStyle w:val="Default"/>
              <w:rPr>
                <w:color w:val="auto"/>
                <w:sz w:val="22"/>
              </w:rPr>
            </w:pPr>
            <w:r w:rsidRPr="005E39E2">
              <w:rPr>
                <w:color w:val="auto"/>
                <w:sz w:val="22"/>
              </w:rPr>
              <w:t xml:space="preserve">Email: </w:t>
            </w:r>
            <w:r w:rsidRPr="005E39E2">
              <w:rPr>
                <w:color w:val="auto"/>
                <w:sz w:val="22"/>
              </w:rPr>
              <w:tab/>
            </w:r>
            <w:hyperlink r:id="rId11" w:history="1">
              <w:r w:rsidRPr="005E39E2">
                <w:rPr>
                  <w:rStyle w:val="Hyperlink"/>
                  <w:rFonts w:cs="Calibri"/>
                  <w:color w:val="auto"/>
                  <w:sz w:val="22"/>
                  <w:szCs w:val="22"/>
                  <w:u w:val="none"/>
                </w:rPr>
                <w:t>samsonite@newgatecomms.com</w:t>
              </w:r>
            </w:hyperlink>
          </w:p>
        </w:tc>
      </w:tr>
    </w:tbl>
    <w:p w:rsidR="004F7545" w:rsidRDefault="004F7545" w:rsidP="00EC3F3D">
      <w:pPr>
        <w:pStyle w:val="Default"/>
        <w:rPr>
          <w:color w:val="auto"/>
          <w:sz w:val="22"/>
          <w:szCs w:val="22"/>
        </w:rPr>
      </w:pPr>
    </w:p>
    <w:p w:rsidR="004F7545" w:rsidRPr="00EC3F3D" w:rsidRDefault="004F7545" w:rsidP="008B6FFA">
      <w:pPr>
        <w:pStyle w:val="Default"/>
        <w:jc w:val="both"/>
        <w:rPr>
          <w:i/>
          <w:color w:val="auto"/>
          <w:sz w:val="22"/>
        </w:rPr>
      </w:pPr>
      <w:r w:rsidRPr="00EC3F3D">
        <w:rPr>
          <w:i/>
          <w:color w:val="auto"/>
          <w:sz w:val="22"/>
        </w:rPr>
        <w:t xml:space="preserve">This announcement contains forward-looking statements. All statements other than statements of historical fact contained in this announcement, including, without limitation, the discussions of the </w:t>
      </w:r>
      <w:r>
        <w:rPr>
          <w:i/>
          <w:color w:val="auto"/>
          <w:sz w:val="22"/>
        </w:rPr>
        <w:t>Group</w:t>
      </w:r>
      <w:r w:rsidRPr="00EC3F3D">
        <w:rPr>
          <w:i/>
          <w:color w:val="auto"/>
          <w:sz w:val="22"/>
        </w:rPr>
        <w:t xml:space="preserve">’s business strategies and expectations concerning future operations, margins, profitability, liquidity and capital resources, the future development of the </w:t>
      </w:r>
      <w:r>
        <w:rPr>
          <w:i/>
          <w:color w:val="auto"/>
          <w:sz w:val="22"/>
        </w:rPr>
        <w:t>Group</w:t>
      </w:r>
      <w:r w:rsidRPr="00EC3F3D">
        <w:rPr>
          <w:i/>
          <w:color w:val="auto"/>
          <w:sz w:val="22"/>
        </w:rPr>
        <w:t xml:space="preserve">’s industry and the future development of the general economy of the </w:t>
      </w:r>
      <w:r>
        <w:rPr>
          <w:i/>
          <w:color w:val="auto"/>
          <w:sz w:val="22"/>
        </w:rPr>
        <w:t>Group</w:t>
      </w:r>
      <w:r w:rsidRPr="00EC3F3D">
        <w:rPr>
          <w:i/>
          <w:color w:val="auto"/>
          <w:sz w:val="22"/>
        </w:rPr>
        <w:t xml:space="preserve">’s key markets and any statements preceded by, followed by or that include words and expressions such as “expect”, “seek”, “believe”, “plan”, “intend”, “estimate”, “project”, “anticipate”, “may”, “will”, “would” and “could” or similar words or statements, as they relate to the </w:t>
      </w:r>
      <w:r>
        <w:rPr>
          <w:i/>
          <w:color w:val="auto"/>
          <w:sz w:val="22"/>
        </w:rPr>
        <w:t>Group</w:t>
      </w:r>
      <w:r w:rsidRPr="00EC3F3D">
        <w:rPr>
          <w:i/>
          <w:color w:val="auto"/>
          <w:sz w:val="22"/>
        </w:rPr>
        <w:t xml:space="preserve"> or its management, are intended to identify forward-looking statements. </w:t>
      </w:r>
    </w:p>
    <w:p w:rsidR="004F7545" w:rsidRPr="00EC3F3D" w:rsidRDefault="004F7545" w:rsidP="008B6FFA">
      <w:pPr>
        <w:pStyle w:val="Default"/>
        <w:jc w:val="both"/>
        <w:rPr>
          <w:color w:val="auto"/>
          <w:sz w:val="22"/>
        </w:rPr>
      </w:pPr>
    </w:p>
    <w:p w:rsidR="004F7545" w:rsidRPr="00EC3F3D" w:rsidRDefault="004F7545" w:rsidP="008B6FFA">
      <w:pPr>
        <w:pStyle w:val="Default"/>
        <w:jc w:val="both"/>
        <w:rPr>
          <w:i/>
          <w:color w:val="auto"/>
          <w:sz w:val="22"/>
        </w:rPr>
      </w:pPr>
      <w:r w:rsidRPr="00EC3F3D">
        <w:rPr>
          <w:i/>
          <w:color w:val="auto"/>
          <w:sz w:val="22"/>
        </w:rPr>
        <w:t xml:space="preserve">These statements are subject to certain known and unknown risks, uncertainties and assumptions, which may cause the </w:t>
      </w:r>
      <w:r>
        <w:rPr>
          <w:i/>
          <w:color w:val="auto"/>
          <w:sz w:val="22"/>
        </w:rPr>
        <w:t>Group</w:t>
      </w:r>
      <w:r w:rsidRPr="00EC3F3D">
        <w:rPr>
          <w:i/>
          <w:color w:val="auto"/>
          <w:sz w:val="22"/>
        </w:rPr>
        <w:t xml:space="preserve">’s actual results, performance or achievements to be materially different from any future results, performance or achievements expressed or implied by these forward-looking statements. Accordingly, you should not place undue reliance on any forward-looking information. </w:t>
      </w:r>
    </w:p>
    <w:p w:rsidR="004F7545" w:rsidRPr="00EC3F3D" w:rsidRDefault="004F7545" w:rsidP="008B6FFA">
      <w:pPr>
        <w:pStyle w:val="Default"/>
        <w:jc w:val="both"/>
        <w:rPr>
          <w:color w:val="auto"/>
          <w:sz w:val="22"/>
        </w:rPr>
      </w:pPr>
    </w:p>
    <w:p w:rsidR="004F7545" w:rsidRPr="00EC3F3D" w:rsidRDefault="004F7545" w:rsidP="002A3080">
      <w:pPr>
        <w:spacing w:line="240" w:lineRule="auto"/>
        <w:jc w:val="both"/>
      </w:pPr>
      <w:r w:rsidRPr="00EC3F3D">
        <w:rPr>
          <w:i/>
        </w:rPr>
        <w:t xml:space="preserve">Subject to the requirements of applicable laws, rules and regulations, the </w:t>
      </w:r>
      <w:r>
        <w:rPr>
          <w:i/>
        </w:rPr>
        <w:t>Group</w:t>
      </w:r>
      <w:r w:rsidRPr="00EC3F3D">
        <w:rPr>
          <w:i/>
        </w:rPr>
        <w:t xml:space="preserve"> does not have any and undertakes no obligation to update or otherwise revise the forward-looking statements in this announcement, whether as a result of new information, future events or developments or otherwise. In this announcement, statements of or references to the </w:t>
      </w:r>
      <w:r>
        <w:rPr>
          <w:i/>
        </w:rPr>
        <w:t>Group</w:t>
      </w:r>
      <w:r w:rsidRPr="00EC3F3D">
        <w:rPr>
          <w:i/>
        </w:rPr>
        <w:t>’s intentions are made as of the date of this announcement. Any such intentions may change in light of future developments. All forward-looking statements contained in this announcement are qualified by reference to the cautionary statements set out above.</w:t>
      </w:r>
    </w:p>
    <w:sectPr w:rsidR="004F7545" w:rsidRPr="00EC3F3D" w:rsidSect="00A44B4D">
      <w:headerReference w:type="default" r:id="rId12"/>
      <w:footerReference w:type="default" r:id="rId13"/>
      <w:pgSz w:w="11906" w:h="16838" w:code="9"/>
      <w:pgMar w:top="1080" w:right="1080" w:bottom="993" w:left="1080" w:header="708" w:footer="2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545" w:rsidRDefault="004F7545" w:rsidP="009A4725">
      <w:pPr>
        <w:spacing w:after="0" w:line="240" w:lineRule="auto"/>
      </w:pPr>
      <w:r>
        <w:separator/>
      </w:r>
    </w:p>
  </w:endnote>
  <w:endnote w:type="continuationSeparator" w:id="0">
    <w:p w:rsidR="004F7545" w:rsidRDefault="004F7545" w:rsidP="009A4725">
      <w:pPr>
        <w:spacing w:after="0" w:line="240" w:lineRule="auto"/>
      </w:pPr>
      <w:r>
        <w:continuationSeparator/>
      </w:r>
    </w:p>
  </w:endnote>
  <w:endnote w:type="continuationNotice" w:id="1">
    <w:p w:rsidR="004F7545" w:rsidRDefault="004F7545">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Ps2OcuAe"/>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Frutiger 45 Light">
    <w:altName w:val="Arial"/>
    <w:panose1 w:val="00000000000000000000"/>
    <w:charset w:val="00"/>
    <w:family w:val="swiss"/>
    <w:notTrueType/>
    <w:pitch w:val="variable"/>
    <w:sig w:usb0="00000003" w:usb1="00000000" w:usb2="00000000" w:usb3="00000000" w:csb0="00000001" w:csb1="00000000"/>
  </w:font>
  <w:font w:name="ATC-6b637dda*+Helvetica*0020*Ne">
    <w:altName w:val="Arial Unicode MS"/>
    <w:panose1 w:val="00000000000000000000"/>
    <w:charset w:val="88"/>
    <w:family w:val="auto"/>
    <w:notTrueType/>
    <w:pitch w:val="default"/>
    <w:sig w:usb0="00000001" w:usb1="08080000" w:usb2="00000010" w:usb3="00000000" w:csb0="00100000" w:csb1="00000000"/>
  </w:font>
  <w:font w:name="ATC-514b*+Helvetica*0020*Neue*0">
    <w:altName w:val="Arial Unicode MS"/>
    <w:panose1 w:val="00000000000000000000"/>
    <w:charset w:val="88"/>
    <w:family w:val="auto"/>
    <w:notTrueType/>
    <w:pitch w:val="default"/>
    <w:sig w:usb0="00000001" w:usb1="08080000" w:usb2="00000010" w:usb3="00000000" w:csb0="00100000" w:csb1="00000000"/>
  </w:font>
  <w:font w:name="TradeGothic Light">
    <w:altName w:val="Arial"/>
    <w:panose1 w:val="00000000000000000000"/>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粗宋+Times Bold">
    <w:altName w:val="Arial Unicode MS"/>
    <w:panose1 w:val="00000000000000000000"/>
    <w:charset w:val="88"/>
    <w:family w:val="auto"/>
    <w:notTrueType/>
    <w:pitch w:val="default"/>
    <w:sig w:usb0="00000001" w:usb1="08080000" w:usb2="00000010" w:usb3="00000000" w:csb0="00100000" w:csb1="00000000"/>
  </w:font>
  <w:font w:name="TradeGothic">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45" w:rsidRPr="00CF7206" w:rsidRDefault="004F7545">
    <w:pPr>
      <w:pStyle w:val="Footer"/>
      <w:jc w:val="center"/>
      <w:rPr>
        <w:sz w:val="20"/>
        <w:szCs w:val="20"/>
      </w:rPr>
    </w:pPr>
    <w:r w:rsidRPr="00CF7206">
      <w:rPr>
        <w:sz w:val="20"/>
        <w:szCs w:val="20"/>
      </w:rPr>
      <w:fldChar w:fldCharType="begin"/>
    </w:r>
    <w:r w:rsidRPr="00CF7206">
      <w:rPr>
        <w:sz w:val="20"/>
        <w:szCs w:val="20"/>
      </w:rPr>
      <w:instrText xml:space="preserve"> PAGE   \* MERGEFORMAT </w:instrText>
    </w:r>
    <w:r w:rsidRPr="00CF7206">
      <w:rPr>
        <w:sz w:val="20"/>
        <w:szCs w:val="20"/>
      </w:rPr>
      <w:fldChar w:fldCharType="separate"/>
    </w:r>
    <w:r>
      <w:rPr>
        <w:noProof/>
        <w:sz w:val="20"/>
        <w:szCs w:val="20"/>
      </w:rPr>
      <w:t>2</w:t>
    </w:r>
    <w:r w:rsidRPr="00CF7206">
      <w:rPr>
        <w:sz w:val="20"/>
        <w:szCs w:val="20"/>
      </w:rPr>
      <w:fldChar w:fldCharType="end"/>
    </w:r>
  </w:p>
  <w:p w:rsidR="004F7545" w:rsidRDefault="004F75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545" w:rsidRDefault="004F7545" w:rsidP="009A4725">
      <w:pPr>
        <w:spacing w:after="0" w:line="240" w:lineRule="auto"/>
      </w:pPr>
      <w:r>
        <w:separator/>
      </w:r>
    </w:p>
  </w:footnote>
  <w:footnote w:type="continuationSeparator" w:id="0">
    <w:p w:rsidR="004F7545" w:rsidRDefault="004F7545" w:rsidP="009A4725">
      <w:pPr>
        <w:spacing w:after="0" w:line="240" w:lineRule="auto"/>
      </w:pPr>
      <w:r>
        <w:continuationSeparator/>
      </w:r>
    </w:p>
  </w:footnote>
  <w:footnote w:type="continuationNotice" w:id="1">
    <w:p w:rsidR="004F7545" w:rsidRDefault="004F7545">
      <w:pPr>
        <w:spacing w:after="0" w:line="240" w:lineRule="auto"/>
      </w:pPr>
    </w:p>
  </w:footnote>
  <w:footnote w:id="2">
    <w:p w:rsidR="004F7545" w:rsidRDefault="004F7545" w:rsidP="002A3080">
      <w:pPr>
        <w:pStyle w:val="EngNote"/>
        <w:ind w:left="170" w:hanging="170"/>
      </w:pPr>
      <w:r w:rsidRPr="00860DF6">
        <w:rPr>
          <w:rStyle w:val="FootnoteReference"/>
          <w:rFonts w:ascii="Calibri" w:hAnsi="Calibri" w:cs="Frutiger 45 Light"/>
          <w:color w:val="auto"/>
          <w:sz w:val="18"/>
        </w:rPr>
        <w:footnoteRef/>
      </w:r>
      <w:r w:rsidRPr="00860DF6">
        <w:rPr>
          <w:rFonts w:ascii="Calibri" w:hAnsi="Calibri"/>
          <w:sz w:val="18"/>
        </w:rPr>
        <w:t xml:space="preserve"> </w:t>
      </w:r>
      <w:r w:rsidRPr="00860DF6">
        <w:rPr>
          <w:rFonts w:ascii="Calibri" w:hAnsi="Calibri"/>
          <w:sz w:val="18"/>
        </w:rPr>
        <w:tab/>
      </w:r>
      <w:r w:rsidRPr="00860DF6">
        <w:rPr>
          <w:rFonts w:ascii="Calibri" w:hAnsi="Calibri"/>
          <w:color w:val="auto"/>
          <w:sz w:val="18"/>
        </w:rPr>
        <w:t>On a constant currency basis. Results stated on a constant currency basis are calculated by applying the exchange rate of the comparable period in the prior year to current period local currency results.</w:t>
      </w:r>
      <w:r w:rsidRPr="00860DF6">
        <w:rPr>
          <w:rFonts w:ascii="Calibri" w:hAnsi="Calibri"/>
          <w:sz w:val="18"/>
        </w:rPr>
        <w:t xml:space="preserve"> </w:t>
      </w:r>
    </w:p>
  </w:footnote>
  <w:footnote w:id="3">
    <w:p w:rsidR="004F7545" w:rsidRDefault="004F7545" w:rsidP="00BC23BB">
      <w:pPr>
        <w:pStyle w:val="FootnoteText"/>
        <w:adjustRightInd w:val="0"/>
        <w:ind w:left="170" w:hanging="170"/>
        <w:jc w:val="both"/>
      </w:pPr>
      <w:r w:rsidRPr="00860DF6">
        <w:rPr>
          <w:rStyle w:val="FootnoteReference"/>
          <w:sz w:val="18"/>
        </w:rPr>
        <w:footnoteRef/>
      </w:r>
      <w:r w:rsidRPr="00860DF6">
        <w:rPr>
          <w:sz w:val="18"/>
        </w:rPr>
        <w:t xml:space="preserve"> </w:t>
      </w:r>
      <w:r w:rsidRPr="00860DF6">
        <w:rPr>
          <w:sz w:val="18"/>
        </w:rPr>
        <w:tab/>
        <w:t>This non-IFRS measure eliminates the effect of a number of non-recurring costs and charges and certain other non-cash items that impact the Group’s reported profit for the year. The Group believes the adjusted figures are useful in gaining a more complete understanding of its operational performance and of the underlying trends of its business</w:t>
      </w:r>
      <w:r w:rsidRPr="00860DF6">
        <w:rPr>
          <w:sz w:val="18"/>
          <w:lang w:val="en-US"/>
        </w:rPr>
        <w:t xml:space="preserve">. </w:t>
      </w:r>
      <w:r w:rsidRPr="00860DF6">
        <w:rPr>
          <w:sz w:val="18"/>
        </w:rPr>
        <w:t xml:space="preserve"> </w:t>
      </w:r>
    </w:p>
  </w:footnote>
  <w:footnote w:id="4">
    <w:p w:rsidR="004F7545" w:rsidRDefault="004F7545" w:rsidP="002A3080">
      <w:pPr>
        <w:pStyle w:val="FootnoteText"/>
        <w:ind w:left="170" w:hanging="170"/>
      </w:pPr>
      <w:r w:rsidRPr="002A3080">
        <w:rPr>
          <w:rStyle w:val="FootnoteReference"/>
          <w:sz w:val="18"/>
          <w:szCs w:val="18"/>
        </w:rPr>
        <w:footnoteRef/>
      </w:r>
      <w:r w:rsidRPr="002A3080">
        <w:rPr>
          <w:rStyle w:val="FootnoteReference"/>
          <w:sz w:val="18"/>
          <w:szCs w:val="18"/>
        </w:rPr>
        <w:t xml:space="preserve">  </w:t>
      </w:r>
      <w:r>
        <w:rPr>
          <w:sz w:val="18"/>
          <w:szCs w:val="18"/>
        </w:rPr>
        <w:t xml:space="preserve"> </w:t>
      </w:r>
      <w:r w:rsidRPr="002A3080">
        <w:rPr>
          <w:rFonts w:cs="Calibri"/>
          <w:sz w:val="18"/>
          <w:szCs w:val="18"/>
          <w:lang w:eastAsia="zh-HK"/>
        </w:rPr>
        <w:t xml:space="preserve">According to the </w:t>
      </w:r>
      <w:r>
        <w:rPr>
          <w:rFonts w:cs="Calibri"/>
          <w:sz w:val="18"/>
          <w:szCs w:val="18"/>
          <w:lang w:eastAsia="zh-HK"/>
        </w:rPr>
        <w:t>United Nations World Tourism Organization (“</w:t>
      </w:r>
      <w:r w:rsidRPr="002A3080">
        <w:rPr>
          <w:rFonts w:cs="Calibri"/>
          <w:sz w:val="18"/>
          <w:szCs w:val="18"/>
          <w:lang w:eastAsia="zh-HK"/>
        </w:rPr>
        <w:t>UNWTO</w:t>
      </w:r>
      <w:r>
        <w:rPr>
          <w:rFonts w:cs="Calibri"/>
          <w:sz w:val="18"/>
          <w:szCs w:val="18"/>
          <w:lang w:eastAsia="zh-HK"/>
        </w:rPr>
        <w:t>”)</w:t>
      </w:r>
      <w:r w:rsidRPr="002A3080">
        <w:rPr>
          <w:rFonts w:cs="Calibri"/>
          <w:sz w:val="18"/>
          <w:szCs w:val="18"/>
          <w:lang w:eastAsia="zh-HK"/>
        </w:rPr>
        <w:t xml:space="preserve"> World Tourism Barometer, approximately 332 million tourists travelled worldwide during the first four months of 2015, with international tourist arrivals growing by 4% over the same period</w:t>
      </w:r>
      <w:r>
        <w:rPr>
          <w:rFonts w:cs="Calibri"/>
          <w:sz w:val="18"/>
          <w:szCs w:val="18"/>
          <w:lang w:eastAsia="zh-HK"/>
        </w:rPr>
        <w:t xml:space="preserve"> in the prior year</w:t>
      </w:r>
      <w:r w:rsidRPr="002A3080">
        <w:rPr>
          <w:rFonts w:cs="Calibri"/>
          <w:sz w:val="18"/>
          <w:szCs w:val="18"/>
          <w:lang w:eastAsia="zh-HK"/>
        </w:rPr>
        <w:t xml:space="preserve">. International tourist arrivals are predicted to increase by 3.0% to 4.0% in </w:t>
      </w:r>
      <w:smartTag w:uri="urn:schemas-microsoft-com:office:smarttags" w:element="metricconverter">
        <w:smartTagPr>
          <w:attr w:name="ProductID" w:val="2015, in"/>
        </w:smartTagPr>
        <w:r w:rsidRPr="002A3080">
          <w:rPr>
            <w:rFonts w:cs="Calibri"/>
            <w:sz w:val="18"/>
            <w:szCs w:val="18"/>
            <w:lang w:eastAsia="zh-HK"/>
          </w:rPr>
          <w:t>2015, in</w:t>
        </w:r>
      </w:smartTag>
      <w:r w:rsidRPr="002A3080">
        <w:rPr>
          <w:rFonts w:cs="Calibri"/>
          <w:sz w:val="18"/>
          <w:szCs w:val="18"/>
          <w:lang w:eastAsia="zh-HK"/>
        </w:rPr>
        <w:t xml:space="preserve"> line with the forecast of +3.8%.</w:t>
      </w:r>
    </w:p>
  </w:footnote>
  <w:footnote w:id="5">
    <w:p w:rsidR="004F7545" w:rsidRDefault="004F7545" w:rsidP="00BC23BB">
      <w:pPr>
        <w:pStyle w:val="FootnoteText"/>
        <w:ind w:left="170" w:hanging="170"/>
      </w:pPr>
      <w:r w:rsidRPr="00BC23BB">
        <w:rPr>
          <w:rStyle w:val="FootnoteReference"/>
          <w:sz w:val="18"/>
          <w:szCs w:val="18"/>
        </w:rPr>
        <w:footnoteRef/>
      </w:r>
      <w:r w:rsidRPr="00BC23BB">
        <w:rPr>
          <w:sz w:val="18"/>
          <w:szCs w:val="18"/>
        </w:rPr>
        <w:t xml:space="preserve"> </w:t>
      </w:r>
      <w:r w:rsidRPr="00BC23BB">
        <w:rPr>
          <w:sz w:val="18"/>
          <w:szCs w:val="18"/>
        </w:rPr>
        <w:tab/>
      </w:r>
      <w:r w:rsidRPr="00BC23BB">
        <w:rPr>
          <w:rFonts w:cs="Calibri"/>
          <w:sz w:val="18"/>
          <w:szCs w:val="18"/>
          <w:lang w:eastAsia="zh-HK"/>
        </w:rPr>
        <w:t>This non-IFRS measure eliminates the effect of a number of non-recurring costs and charges and certain other non-cash items that impact the Group’s reported profit for the year. The Group believes the adjusted figures are useful in gaining a more complete understanding of its operational performance and of the underlying trends of its business.</w:t>
      </w:r>
    </w:p>
  </w:footnote>
  <w:footnote w:id="6">
    <w:p w:rsidR="004F7545" w:rsidRDefault="004F7545" w:rsidP="00F624D9">
      <w:pPr>
        <w:pStyle w:val="FootnoteText"/>
        <w:ind w:left="170" w:hanging="170"/>
        <w:jc w:val="both"/>
      </w:pPr>
      <w:r w:rsidRPr="00BC23BB">
        <w:rPr>
          <w:rStyle w:val="FootnoteReference"/>
          <w:sz w:val="18"/>
          <w:szCs w:val="18"/>
        </w:rPr>
        <w:footnoteRef/>
      </w:r>
      <w:r w:rsidRPr="00BC23BB">
        <w:rPr>
          <w:sz w:val="18"/>
          <w:szCs w:val="18"/>
        </w:rPr>
        <w:t xml:space="preserve"> </w:t>
      </w:r>
      <w:r>
        <w:rPr>
          <w:sz w:val="18"/>
          <w:szCs w:val="18"/>
        </w:rPr>
        <w:tab/>
      </w:r>
      <w:r w:rsidRPr="00BC23BB">
        <w:rPr>
          <w:rFonts w:cs="Calibri"/>
          <w:sz w:val="18"/>
          <w:szCs w:val="18"/>
          <w:lang w:eastAsia="zh-HK"/>
        </w:rPr>
        <w:t>This non-IFRS measure eliminates the effect of a number of non-recurring costs and charges and certain other non-cash items that impact the Group’s reported profit for the year. The Group believes the adjusted figures are useful in gaining a more complete understanding of its operational performance and of the underlying trends of its business.</w:t>
      </w:r>
    </w:p>
  </w:footnote>
  <w:footnote w:id="7">
    <w:p w:rsidR="004F7545" w:rsidRDefault="004F7545" w:rsidP="00BC23BB">
      <w:pPr>
        <w:pStyle w:val="FootnoteText"/>
        <w:ind w:left="170" w:hanging="170"/>
      </w:pPr>
      <w:r w:rsidRPr="00BC23BB">
        <w:rPr>
          <w:rStyle w:val="FootnoteReference"/>
          <w:sz w:val="18"/>
          <w:szCs w:val="18"/>
        </w:rPr>
        <w:footnoteRef/>
      </w:r>
      <w:r w:rsidRPr="00BC23BB">
        <w:rPr>
          <w:sz w:val="18"/>
          <w:szCs w:val="18"/>
        </w:rPr>
        <w:t xml:space="preserve"> </w:t>
      </w:r>
      <w:r>
        <w:rPr>
          <w:sz w:val="18"/>
          <w:szCs w:val="18"/>
        </w:rPr>
        <w:tab/>
      </w:r>
      <w:r w:rsidRPr="004C6378">
        <w:rPr>
          <w:sz w:val="18"/>
          <w:szCs w:val="18"/>
        </w:rPr>
        <w:t>On a constant currency basis.</w:t>
      </w:r>
    </w:p>
  </w:footnote>
  <w:footnote w:id="8">
    <w:p w:rsidR="004F7545" w:rsidRDefault="004F7545" w:rsidP="00860DF6">
      <w:pPr>
        <w:pStyle w:val="FootnoteText"/>
        <w:ind w:left="170" w:hanging="170"/>
        <w:jc w:val="both"/>
      </w:pPr>
      <w:r w:rsidRPr="00860DF6">
        <w:rPr>
          <w:rStyle w:val="FootnoteReference"/>
          <w:sz w:val="18"/>
        </w:rPr>
        <w:t>7</w:t>
      </w:r>
      <w:r w:rsidRPr="009F40D4">
        <w:rPr>
          <w:sz w:val="18"/>
          <w:szCs w:val="18"/>
        </w:rPr>
        <w:t xml:space="preserve"> </w:t>
      </w:r>
      <w:r w:rsidRPr="009F40D4">
        <w:rPr>
          <w:sz w:val="18"/>
          <w:szCs w:val="18"/>
        </w:rPr>
        <w:tab/>
      </w:r>
      <w:r w:rsidRPr="009F40D4">
        <w:rPr>
          <w:rFonts w:cs="Calibri"/>
          <w:sz w:val="18"/>
          <w:szCs w:val="18"/>
          <w:lang w:eastAsia="zh-TW"/>
        </w:rPr>
        <w:t xml:space="preserve">Not meaningful due to acquisitions of </w:t>
      </w:r>
      <w:r w:rsidRPr="009F40D4">
        <w:rPr>
          <w:rFonts w:cs="Calibri"/>
          <w:i/>
          <w:sz w:val="18"/>
          <w:szCs w:val="18"/>
          <w:lang w:eastAsia="zh-TW"/>
        </w:rPr>
        <w:t>Speck</w:t>
      </w:r>
      <w:r w:rsidRPr="009F40D4">
        <w:rPr>
          <w:rFonts w:cs="Calibri"/>
          <w:sz w:val="18"/>
          <w:szCs w:val="18"/>
          <w:lang w:eastAsia="zh-TW"/>
        </w:rPr>
        <w:t xml:space="preserve"> on May 28, 2014 and </w:t>
      </w:r>
      <w:r w:rsidRPr="009F40D4">
        <w:rPr>
          <w:rFonts w:cs="Calibri"/>
          <w:i/>
          <w:sz w:val="18"/>
          <w:szCs w:val="18"/>
          <w:lang w:eastAsia="zh-TW"/>
        </w:rPr>
        <w:t>Gregory</w:t>
      </w:r>
      <w:r w:rsidRPr="009F40D4">
        <w:rPr>
          <w:rFonts w:cs="Calibri"/>
          <w:sz w:val="18"/>
          <w:szCs w:val="18"/>
          <w:lang w:eastAsia="zh-TW"/>
        </w:rPr>
        <w:t xml:space="preserve"> on July 23, 2014. </w:t>
      </w:r>
    </w:p>
  </w:footnote>
  <w:footnote w:id="9">
    <w:p w:rsidR="004F7545" w:rsidRDefault="004F7545" w:rsidP="009F40D4">
      <w:pPr>
        <w:pStyle w:val="FootnoteText"/>
        <w:ind w:left="170" w:hanging="170"/>
      </w:pPr>
      <w:r w:rsidRPr="009F40D4">
        <w:rPr>
          <w:rStyle w:val="FootnoteReference"/>
          <w:sz w:val="18"/>
          <w:szCs w:val="18"/>
        </w:rPr>
        <w:footnoteRef/>
      </w:r>
      <w:r w:rsidRPr="009F40D4">
        <w:rPr>
          <w:sz w:val="18"/>
          <w:szCs w:val="18"/>
        </w:rPr>
        <w:t xml:space="preserve"> </w:t>
      </w:r>
      <w:r w:rsidRPr="009F40D4">
        <w:rPr>
          <w:sz w:val="18"/>
          <w:szCs w:val="18"/>
        </w:rPr>
        <w:tab/>
        <w:t>Includes Lipault, Saxoline, Xtrem and other owned and licensed brands.</w:t>
      </w:r>
    </w:p>
  </w:footnote>
  <w:footnote w:id="10">
    <w:p w:rsidR="004F7545" w:rsidRDefault="004F7545" w:rsidP="009F40D4">
      <w:pPr>
        <w:pStyle w:val="FootnoteText"/>
        <w:ind w:left="170" w:hanging="170"/>
      </w:pPr>
      <w:r w:rsidRPr="009F40D4">
        <w:rPr>
          <w:rStyle w:val="FootnoteReference"/>
          <w:sz w:val="18"/>
          <w:szCs w:val="18"/>
        </w:rPr>
        <w:footnoteRef/>
      </w:r>
      <w:r w:rsidRPr="009F40D4">
        <w:rPr>
          <w:sz w:val="18"/>
          <w:szCs w:val="18"/>
        </w:rPr>
        <w:t xml:space="preserve"> </w:t>
      </w:r>
      <w:r w:rsidRPr="009F40D4">
        <w:rPr>
          <w:sz w:val="18"/>
          <w:szCs w:val="18"/>
        </w:rPr>
        <w:tab/>
      </w:r>
      <w:r w:rsidRPr="009F40D4">
        <w:rPr>
          <w:rFonts w:cs="Calibri"/>
          <w:sz w:val="18"/>
          <w:szCs w:val="18"/>
          <w:lang w:eastAsia="zh-HK"/>
        </w:rPr>
        <w:t>On a constant currency basis.</w:t>
      </w:r>
    </w:p>
  </w:footnote>
  <w:footnote w:id="11">
    <w:p w:rsidR="004F7545" w:rsidRDefault="004F7545" w:rsidP="009F40D4">
      <w:pPr>
        <w:pStyle w:val="FootnoteText"/>
        <w:ind w:left="170" w:hanging="170"/>
      </w:pPr>
      <w:r w:rsidRPr="009F40D4">
        <w:rPr>
          <w:rStyle w:val="FootnoteReference"/>
          <w:sz w:val="18"/>
          <w:szCs w:val="18"/>
        </w:rPr>
        <w:footnoteRef/>
      </w:r>
      <w:r w:rsidRPr="009F40D4">
        <w:rPr>
          <w:sz w:val="18"/>
          <w:szCs w:val="18"/>
        </w:rPr>
        <w:t xml:space="preserve"> </w:t>
      </w:r>
      <w:r>
        <w:rPr>
          <w:sz w:val="18"/>
          <w:szCs w:val="18"/>
        </w:rPr>
        <w:tab/>
      </w:r>
      <w:r w:rsidRPr="009F40D4">
        <w:rPr>
          <w:rFonts w:cs="Calibri"/>
          <w:sz w:val="18"/>
          <w:szCs w:val="18"/>
          <w:lang w:eastAsia="zh-HK"/>
        </w:rPr>
        <w:t>On a constant currency basis.</w:t>
      </w:r>
    </w:p>
  </w:footnote>
  <w:footnote w:id="12">
    <w:p w:rsidR="004F7545" w:rsidRDefault="004F7545" w:rsidP="009F40D4">
      <w:pPr>
        <w:pStyle w:val="FootnoteText"/>
        <w:ind w:left="170" w:hanging="170"/>
      </w:pPr>
      <w:r w:rsidRPr="009F40D4">
        <w:rPr>
          <w:rStyle w:val="FootnoteReference"/>
          <w:sz w:val="18"/>
          <w:szCs w:val="18"/>
        </w:rPr>
        <w:footnoteRef/>
      </w:r>
      <w:r w:rsidRPr="009F40D4">
        <w:rPr>
          <w:sz w:val="18"/>
          <w:szCs w:val="18"/>
        </w:rPr>
        <w:t xml:space="preserve"> </w:t>
      </w:r>
      <w:r>
        <w:rPr>
          <w:sz w:val="18"/>
          <w:szCs w:val="18"/>
        </w:rPr>
        <w:tab/>
      </w:r>
      <w:r w:rsidRPr="009F40D4">
        <w:rPr>
          <w:rFonts w:cs="Calibri"/>
          <w:sz w:val="18"/>
          <w:szCs w:val="18"/>
          <w:lang w:eastAsia="zh-HK"/>
        </w:rPr>
        <w:t>On a constant currency basis.</w:t>
      </w:r>
    </w:p>
  </w:footnote>
  <w:footnote w:id="13">
    <w:p w:rsidR="004F7545" w:rsidRDefault="004F7545" w:rsidP="009F40D4">
      <w:pPr>
        <w:pStyle w:val="FootnoteText"/>
        <w:ind w:left="170" w:hanging="170"/>
      </w:pPr>
      <w:r w:rsidRPr="009F40D4">
        <w:rPr>
          <w:rStyle w:val="FootnoteReference"/>
          <w:sz w:val="18"/>
          <w:szCs w:val="18"/>
        </w:rPr>
        <w:footnoteRef/>
      </w:r>
      <w:r w:rsidRPr="009F40D4">
        <w:rPr>
          <w:sz w:val="18"/>
          <w:szCs w:val="18"/>
        </w:rPr>
        <w:t xml:space="preserve"> </w:t>
      </w:r>
      <w:r>
        <w:rPr>
          <w:sz w:val="18"/>
          <w:szCs w:val="18"/>
        </w:rPr>
        <w:tab/>
      </w:r>
      <w:r w:rsidRPr="009F40D4">
        <w:rPr>
          <w:rFonts w:cs="Calibri"/>
          <w:sz w:val="18"/>
          <w:szCs w:val="18"/>
          <w:lang w:eastAsia="zh-HK"/>
        </w:rPr>
        <w:t>On a constant currency basis.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45" w:rsidRDefault="004F7545">
    <w:pPr>
      <w:pStyle w:val="Header"/>
      <w:rPr>
        <w:b/>
        <w:i/>
      </w:rPr>
    </w:pPr>
    <w:r w:rsidRPr="004111E1">
      <w:rPr>
        <w:b/>
        <w:i/>
      </w:rPr>
      <w:t>For Immediate Release</w:t>
    </w:r>
  </w:p>
  <w:p w:rsidR="004F7545" w:rsidRDefault="004F7545">
    <w:pPr>
      <w:pStyle w:val="Header"/>
      <w:rPr>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9.5pt" o:bullet="t">
        <v:imagedata r:id="rId1" o:title=""/>
      </v:shape>
    </w:pict>
  </w:numPicBullet>
  <w:abstractNum w:abstractNumId="0">
    <w:nsid w:val="002C4531"/>
    <w:multiLevelType w:val="hybridMultilevel"/>
    <w:tmpl w:val="7248B9F6"/>
    <w:lvl w:ilvl="0" w:tplc="CCA4351A">
      <w:start w:val="1"/>
      <w:numFmt w:val="bullet"/>
      <w:lvlText w:val=""/>
      <w:lvlPicBulletId w:val="0"/>
      <w:lvlJc w:val="left"/>
      <w:pPr>
        <w:tabs>
          <w:tab w:val="num" w:pos="720"/>
        </w:tabs>
        <w:ind w:left="720" w:hanging="360"/>
      </w:pPr>
      <w:rPr>
        <w:rFonts w:ascii="Symbol" w:hAnsi="Symbol" w:hint="default"/>
      </w:rPr>
    </w:lvl>
    <w:lvl w:ilvl="1" w:tplc="AE0C89DC" w:tentative="1">
      <w:start w:val="1"/>
      <w:numFmt w:val="bullet"/>
      <w:lvlText w:val=""/>
      <w:lvlPicBulletId w:val="0"/>
      <w:lvlJc w:val="left"/>
      <w:pPr>
        <w:tabs>
          <w:tab w:val="num" w:pos="1440"/>
        </w:tabs>
        <w:ind w:left="1440" w:hanging="360"/>
      </w:pPr>
      <w:rPr>
        <w:rFonts w:ascii="Symbol" w:hAnsi="Symbol" w:hint="default"/>
      </w:rPr>
    </w:lvl>
    <w:lvl w:ilvl="2" w:tplc="1F06AA4A" w:tentative="1">
      <w:start w:val="1"/>
      <w:numFmt w:val="bullet"/>
      <w:lvlText w:val=""/>
      <w:lvlPicBulletId w:val="0"/>
      <w:lvlJc w:val="left"/>
      <w:pPr>
        <w:tabs>
          <w:tab w:val="num" w:pos="2160"/>
        </w:tabs>
        <w:ind w:left="2160" w:hanging="360"/>
      </w:pPr>
      <w:rPr>
        <w:rFonts w:ascii="Symbol" w:hAnsi="Symbol" w:hint="default"/>
      </w:rPr>
    </w:lvl>
    <w:lvl w:ilvl="3" w:tplc="6E7CE266" w:tentative="1">
      <w:start w:val="1"/>
      <w:numFmt w:val="bullet"/>
      <w:lvlText w:val=""/>
      <w:lvlPicBulletId w:val="0"/>
      <w:lvlJc w:val="left"/>
      <w:pPr>
        <w:tabs>
          <w:tab w:val="num" w:pos="2880"/>
        </w:tabs>
        <w:ind w:left="2880" w:hanging="360"/>
      </w:pPr>
      <w:rPr>
        <w:rFonts w:ascii="Symbol" w:hAnsi="Symbol" w:hint="default"/>
      </w:rPr>
    </w:lvl>
    <w:lvl w:ilvl="4" w:tplc="F324689E" w:tentative="1">
      <w:start w:val="1"/>
      <w:numFmt w:val="bullet"/>
      <w:lvlText w:val=""/>
      <w:lvlPicBulletId w:val="0"/>
      <w:lvlJc w:val="left"/>
      <w:pPr>
        <w:tabs>
          <w:tab w:val="num" w:pos="3600"/>
        </w:tabs>
        <w:ind w:left="3600" w:hanging="360"/>
      </w:pPr>
      <w:rPr>
        <w:rFonts w:ascii="Symbol" w:hAnsi="Symbol" w:hint="default"/>
      </w:rPr>
    </w:lvl>
    <w:lvl w:ilvl="5" w:tplc="0792AAEC" w:tentative="1">
      <w:start w:val="1"/>
      <w:numFmt w:val="bullet"/>
      <w:lvlText w:val=""/>
      <w:lvlPicBulletId w:val="0"/>
      <w:lvlJc w:val="left"/>
      <w:pPr>
        <w:tabs>
          <w:tab w:val="num" w:pos="4320"/>
        </w:tabs>
        <w:ind w:left="4320" w:hanging="360"/>
      </w:pPr>
      <w:rPr>
        <w:rFonts w:ascii="Symbol" w:hAnsi="Symbol" w:hint="default"/>
      </w:rPr>
    </w:lvl>
    <w:lvl w:ilvl="6" w:tplc="CD8AD252" w:tentative="1">
      <w:start w:val="1"/>
      <w:numFmt w:val="bullet"/>
      <w:lvlText w:val=""/>
      <w:lvlPicBulletId w:val="0"/>
      <w:lvlJc w:val="left"/>
      <w:pPr>
        <w:tabs>
          <w:tab w:val="num" w:pos="5040"/>
        </w:tabs>
        <w:ind w:left="5040" w:hanging="360"/>
      </w:pPr>
      <w:rPr>
        <w:rFonts w:ascii="Symbol" w:hAnsi="Symbol" w:hint="default"/>
      </w:rPr>
    </w:lvl>
    <w:lvl w:ilvl="7" w:tplc="18CE043C" w:tentative="1">
      <w:start w:val="1"/>
      <w:numFmt w:val="bullet"/>
      <w:lvlText w:val=""/>
      <w:lvlPicBulletId w:val="0"/>
      <w:lvlJc w:val="left"/>
      <w:pPr>
        <w:tabs>
          <w:tab w:val="num" w:pos="5760"/>
        </w:tabs>
        <w:ind w:left="5760" w:hanging="360"/>
      </w:pPr>
      <w:rPr>
        <w:rFonts w:ascii="Symbol" w:hAnsi="Symbol" w:hint="default"/>
      </w:rPr>
    </w:lvl>
    <w:lvl w:ilvl="8" w:tplc="D52C855A"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8671B3F"/>
    <w:multiLevelType w:val="hybridMultilevel"/>
    <w:tmpl w:val="FFBEA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8575AD"/>
    <w:multiLevelType w:val="hybridMultilevel"/>
    <w:tmpl w:val="877E84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97732D"/>
    <w:multiLevelType w:val="hybridMultilevel"/>
    <w:tmpl w:val="8D1E2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B4174B"/>
    <w:multiLevelType w:val="hybridMultilevel"/>
    <w:tmpl w:val="E786972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2B1982"/>
    <w:multiLevelType w:val="hybridMultilevel"/>
    <w:tmpl w:val="A5AEB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3C522B5"/>
    <w:multiLevelType w:val="hybridMultilevel"/>
    <w:tmpl w:val="461CF858"/>
    <w:lvl w:ilvl="0" w:tplc="04090001">
      <w:start w:val="1"/>
      <w:numFmt w:val="bullet"/>
      <w:lvlText w:val=""/>
      <w:lvlJc w:val="left"/>
      <w:pPr>
        <w:ind w:left="480" w:hanging="480"/>
      </w:pPr>
      <w:rPr>
        <w:rFonts w:ascii="Symbol" w:hAnsi="Symbol" w:hint="default"/>
        <w:b w:val="0"/>
        <w:sz w:val="16"/>
      </w:rPr>
    </w:lvl>
    <w:lvl w:ilvl="1" w:tplc="04090001">
      <w:start w:val="1"/>
      <w:numFmt w:val="bullet"/>
      <w:lvlText w:val=""/>
      <w:lvlJc w:val="left"/>
      <w:pPr>
        <w:ind w:left="960" w:hanging="480"/>
      </w:pPr>
      <w:rPr>
        <w:rFonts w:ascii="Symbol" w:hAnsi="Symbol"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9A86BD8"/>
    <w:multiLevelType w:val="hybridMultilevel"/>
    <w:tmpl w:val="03E01EC6"/>
    <w:lvl w:ilvl="0" w:tplc="D67AB6E2">
      <w:start w:val="1"/>
      <w:numFmt w:val="bullet"/>
      <w:lvlText w:val=""/>
      <w:lvlPicBulletId w:val="0"/>
      <w:lvlJc w:val="left"/>
      <w:pPr>
        <w:tabs>
          <w:tab w:val="num" w:pos="720"/>
        </w:tabs>
        <w:ind w:left="720" w:hanging="360"/>
      </w:pPr>
      <w:rPr>
        <w:rFonts w:ascii="Symbol" w:hAnsi="Symbol" w:hint="default"/>
      </w:rPr>
    </w:lvl>
    <w:lvl w:ilvl="1" w:tplc="A204E2D2" w:tentative="1">
      <w:start w:val="1"/>
      <w:numFmt w:val="bullet"/>
      <w:lvlText w:val=""/>
      <w:lvlPicBulletId w:val="0"/>
      <w:lvlJc w:val="left"/>
      <w:pPr>
        <w:tabs>
          <w:tab w:val="num" w:pos="1440"/>
        </w:tabs>
        <w:ind w:left="1440" w:hanging="360"/>
      </w:pPr>
      <w:rPr>
        <w:rFonts w:ascii="Symbol" w:hAnsi="Symbol" w:hint="default"/>
      </w:rPr>
    </w:lvl>
    <w:lvl w:ilvl="2" w:tplc="323A4F6A" w:tentative="1">
      <w:start w:val="1"/>
      <w:numFmt w:val="bullet"/>
      <w:lvlText w:val=""/>
      <w:lvlPicBulletId w:val="0"/>
      <w:lvlJc w:val="left"/>
      <w:pPr>
        <w:tabs>
          <w:tab w:val="num" w:pos="2160"/>
        </w:tabs>
        <w:ind w:left="2160" w:hanging="360"/>
      </w:pPr>
      <w:rPr>
        <w:rFonts w:ascii="Symbol" w:hAnsi="Symbol" w:hint="default"/>
      </w:rPr>
    </w:lvl>
    <w:lvl w:ilvl="3" w:tplc="EAA0B19A" w:tentative="1">
      <w:start w:val="1"/>
      <w:numFmt w:val="bullet"/>
      <w:lvlText w:val=""/>
      <w:lvlPicBulletId w:val="0"/>
      <w:lvlJc w:val="left"/>
      <w:pPr>
        <w:tabs>
          <w:tab w:val="num" w:pos="2880"/>
        </w:tabs>
        <w:ind w:left="2880" w:hanging="360"/>
      </w:pPr>
      <w:rPr>
        <w:rFonts w:ascii="Symbol" w:hAnsi="Symbol" w:hint="default"/>
      </w:rPr>
    </w:lvl>
    <w:lvl w:ilvl="4" w:tplc="DDB4BD3A" w:tentative="1">
      <w:start w:val="1"/>
      <w:numFmt w:val="bullet"/>
      <w:lvlText w:val=""/>
      <w:lvlPicBulletId w:val="0"/>
      <w:lvlJc w:val="left"/>
      <w:pPr>
        <w:tabs>
          <w:tab w:val="num" w:pos="3600"/>
        </w:tabs>
        <w:ind w:left="3600" w:hanging="360"/>
      </w:pPr>
      <w:rPr>
        <w:rFonts w:ascii="Symbol" w:hAnsi="Symbol" w:hint="default"/>
      </w:rPr>
    </w:lvl>
    <w:lvl w:ilvl="5" w:tplc="E98ACFE8" w:tentative="1">
      <w:start w:val="1"/>
      <w:numFmt w:val="bullet"/>
      <w:lvlText w:val=""/>
      <w:lvlPicBulletId w:val="0"/>
      <w:lvlJc w:val="left"/>
      <w:pPr>
        <w:tabs>
          <w:tab w:val="num" w:pos="4320"/>
        </w:tabs>
        <w:ind w:left="4320" w:hanging="360"/>
      </w:pPr>
      <w:rPr>
        <w:rFonts w:ascii="Symbol" w:hAnsi="Symbol" w:hint="default"/>
      </w:rPr>
    </w:lvl>
    <w:lvl w:ilvl="6" w:tplc="6F8E1570" w:tentative="1">
      <w:start w:val="1"/>
      <w:numFmt w:val="bullet"/>
      <w:lvlText w:val=""/>
      <w:lvlPicBulletId w:val="0"/>
      <w:lvlJc w:val="left"/>
      <w:pPr>
        <w:tabs>
          <w:tab w:val="num" w:pos="5040"/>
        </w:tabs>
        <w:ind w:left="5040" w:hanging="360"/>
      </w:pPr>
      <w:rPr>
        <w:rFonts w:ascii="Symbol" w:hAnsi="Symbol" w:hint="default"/>
      </w:rPr>
    </w:lvl>
    <w:lvl w:ilvl="7" w:tplc="E3C0BBBE" w:tentative="1">
      <w:start w:val="1"/>
      <w:numFmt w:val="bullet"/>
      <w:lvlText w:val=""/>
      <w:lvlPicBulletId w:val="0"/>
      <w:lvlJc w:val="left"/>
      <w:pPr>
        <w:tabs>
          <w:tab w:val="num" w:pos="5760"/>
        </w:tabs>
        <w:ind w:left="5760" w:hanging="360"/>
      </w:pPr>
      <w:rPr>
        <w:rFonts w:ascii="Symbol" w:hAnsi="Symbol" w:hint="default"/>
      </w:rPr>
    </w:lvl>
    <w:lvl w:ilvl="8" w:tplc="0114A3AA"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1F287A2A"/>
    <w:multiLevelType w:val="hybridMultilevel"/>
    <w:tmpl w:val="7DD4A9A2"/>
    <w:lvl w:ilvl="0" w:tplc="7EA2727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CC40B22"/>
    <w:multiLevelType w:val="hybridMultilevel"/>
    <w:tmpl w:val="6F023A94"/>
    <w:lvl w:ilvl="0" w:tplc="D0FAC786">
      <w:numFmt w:val="bullet"/>
      <w:lvlText w:val="•"/>
      <w:lvlJc w:val="left"/>
      <w:pPr>
        <w:ind w:left="480" w:hanging="480"/>
      </w:pPr>
      <w:rPr>
        <w:rFonts w:ascii="Calibri" w:eastAsia="PMingLiU" w:hAnsi="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57F135F"/>
    <w:multiLevelType w:val="hybridMultilevel"/>
    <w:tmpl w:val="41A6EA6C"/>
    <w:lvl w:ilvl="0" w:tplc="BF7801BA">
      <w:start w:val="1"/>
      <w:numFmt w:val="bullet"/>
      <w:lvlText w:val=""/>
      <w:lvlJc w:val="left"/>
      <w:pPr>
        <w:ind w:left="480" w:hanging="480"/>
      </w:pPr>
      <w:rPr>
        <w:rFonts w:ascii="Symbol" w:hAnsi="Symbol" w:hint="default"/>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3A5808CF"/>
    <w:multiLevelType w:val="hybridMultilevel"/>
    <w:tmpl w:val="C2E210A2"/>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2">
    <w:nsid w:val="41F3577F"/>
    <w:multiLevelType w:val="hybridMultilevel"/>
    <w:tmpl w:val="C4FA59D8"/>
    <w:lvl w:ilvl="0" w:tplc="5DF040C6">
      <w:start w:val="1"/>
      <w:numFmt w:val="bullet"/>
      <w:pStyle w:val="BulletL1"/>
      <w:lvlText w:val=""/>
      <w:lvlJc w:val="left"/>
      <w:pPr>
        <w:tabs>
          <w:tab w:val="num" w:pos="1987"/>
        </w:tabs>
        <w:ind w:left="1627"/>
      </w:pPr>
      <w:rPr>
        <w:rFonts w:ascii="Symbol" w:hAnsi="Symbol" w:hint="default"/>
      </w:rPr>
    </w:lvl>
    <w:lvl w:ilvl="1" w:tplc="39A02D8C">
      <w:start w:val="1"/>
      <w:numFmt w:val="bullet"/>
      <w:lvlText w:val="o"/>
      <w:lvlJc w:val="left"/>
      <w:pPr>
        <w:tabs>
          <w:tab w:val="num" w:pos="2520"/>
        </w:tabs>
        <w:ind w:left="2520" w:hanging="360"/>
      </w:pPr>
      <w:rPr>
        <w:rFonts w:ascii="Courier New" w:hAnsi="Courier New" w:hint="default"/>
      </w:rPr>
    </w:lvl>
    <w:lvl w:ilvl="2" w:tplc="B860D32C" w:tentative="1">
      <w:start w:val="1"/>
      <w:numFmt w:val="bullet"/>
      <w:lvlText w:val=""/>
      <w:lvlJc w:val="left"/>
      <w:pPr>
        <w:tabs>
          <w:tab w:val="num" w:pos="3240"/>
        </w:tabs>
        <w:ind w:left="3240" w:hanging="360"/>
      </w:pPr>
      <w:rPr>
        <w:rFonts w:ascii="Wingdings" w:hAnsi="Wingdings" w:hint="default"/>
      </w:rPr>
    </w:lvl>
    <w:lvl w:ilvl="3" w:tplc="CC96480E" w:tentative="1">
      <w:start w:val="1"/>
      <w:numFmt w:val="bullet"/>
      <w:lvlText w:val=""/>
      <w:lvlJc w:val="left"/>
      <w:pPr>
        <w:tabs>
          <w:tab w:val="num" w:pos="3960"/>
        </w:tabs>
        <w:ind w:left="3960" w:hanging="360"/>
      </w:pPr>
      <w:rPr>
        <w:rFonts w:ascii="Symbol" w:hAnsi="Symbol" w:hint="default"/>
      </w:rPr>
    </w:lvl>
    <w:lvl w:ilvl="4" w:tplc="8F32EDBE" w:tentative="1">
      <w:start w:val="1"/>
      <w:numFmt w:val="bullet"/>
      <w:lvlText w:val="o"/>
      <w:lvlJc w:val="left"/>
      <w:pPr>
        <w:tabs>
          <w:tab w:val="num" w:pos="4680"/>
        </w:tabs>
        <w:ind w:left="4680" w:hanging="360"/>
      </w:pPr>
      <w:rPr>
        <w:rFonts w:ascii="Courier New" w:hAnsi="Courier New" w:hint="default"/>
      </w:rPr>
    </w:lvl>
    <w:lvl w:ilvl="5" w:tplc="34F86786" w:tentative="1">
      <w:start w:val="1"/>
      <w:numFmt w:val="bullet"/>
      <w:lvlText w:val=""/>
      <w:lvlJc w:val="left"/>
      <w:pPr>
        <w:tabs>
          <w:tab w:val="num" w:pos="5400"/>
        </w:tabs>
        <w:ind w:left="5400" w:hanging="360"/>
      </w:pPr>
      <w:rPr>
        <w:rFonts w:ascii="Wingdings" w:hAnsi="Wingdings" w:hint="default"/>
      </w:rPr>
    </w:lvl>
    <w:lvl w:ilvl="6" w:tplc="1F6A7188" w:tentative="1">
      <w:start w:val="1"/>
      <w:numFmt w:val="bullet"/>
      <w:lvlText w:val=""/>
      <w:lvlJc w:val="left"/>
      <w:pPr>
        <w:tabs>
          <w:tab w:val="num" w:pos="6120"/>
        </w:tabs>
        <w:ind w:left="6120" w:hanging="360"/>
      </w:pPr>
      <w:rPr>
        <w:rFonts w:ascii="Symbol" w:hAnsi="Symbol" w:hint="default"/>
      </w:rPr>
    </w:lvl>
    <w:lvl w:ilvl="7" w:tplc="CF9E7668" w:tentative="1">
      <w:start w:val="1"/>
      <w:numFmt w:val="bullet"/>
      <w:lvlText w:val="o"/>
      <w:lvlJc w:val="left"/>
      <w:pPr>
        <w:tabs>
          <w:tab w:val="num" w:pos="6840"/>
        </w:tabs>
        <w:ind w:left="6840" w:hanging="360"/>
      </w:pPr>
      <w:rPr>
        <w:rFonts w:ascii="Courier New" w:hAnsi="Courier New" w:hint="default"/>
      </w:rPr>
    </w:lvl>
    <w:lvl w:ilvl="8" w:tplc="E6586218" w:tentative="1">
      <w:start w:val="1"/>
      <w:numFmt w:val="bullet"/>
      <w:lvlText w:val=""/>
      <w:lvlJc w:val="left"/>
      <w:pPr>
        <w:tabs>
          <w:tab w:val="num" w:pos="7560"/>
        </w:tabs>
        <w:ind w:left="7560" w:hanging="360"/>
      </w:pPr>
      <w:rPr>
        <w:rFonts w:ascii="Wingdings" w:hAnsi="Wingdings" w:hint="default"/>
      </w:rPr>
    </w:lvl>
  </w:abstractNum>
  <w:abstractNum w:abstractNumId="13">
    <w:nsid w:val="4649186C"/>
    <w:multiLevelType w:val="hybridMultilevel"/>
    <w:tmpl w:val="4532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F3531C"/>
    <w:multiLevelType w:val="hybridMultilevel"/>
    <w:tmpl w:val="00000000"/>
    <w:lvl w:ilvl="0" w:tplc="2EA03A96">
      <w:start w:val="1"/>
      <w:numFmt w:val="bullet"/>
      <w:lvlText w:val="·"/>
      <w:lvlJc w:val="left"/>
      <w:pPr>
        <w:tabs>
          <w:tab w:val="num" w:pos="720"/>
        </w:tabs>
        <w:ind w:left="720" w:hanging="360"/>
      </w:pPr>
      <w:rPr>
        <w:rFonts w:ascii="Symbol" w:hAnsi="Symbol"/>
      </w:rPr>
    </w:lvl>
    <w:lvl w:ilvl="1" w:tplc="F78A08AC">
      <w:start w:val="1"/>
      <w:numFmt w:val="bullet"/>
      <w:lvlText w:val="·"/>
      <w:lvlJc w:val="left"/>
      <w:pPr>
        <w:tabs>
          <w:tab w:val="num" w:pos="1440"/>
        </w:tabs>
        <w:ind w:left="1440" w:hanging="360"/>
      </w:pPr>
      <w:rPr>
        <w:rFonts w:ascii="Symbol" w:hAnsi="Symbol"/>
      </w:rPr>
    </w:lvl>
    <w:lvl w:ilvl="2" w:tplc="E8163D4A">
      <w:start w:val="1"/>
      <w:numFmt w:val="bullet"/>
      <w:lvlText w:val="·"/>
      <w:lvlJc w:val="left"/>
      <w:pPr>
        <w:tabs>
          <w:tab w:val="num" w:pos="2160"/>
        </w:tabs>
        <w:ind w:left="2160" w:hanging="360"/>
      </w:pPr>
      <w:rPr>
        <w:rFonts w:ascii="Symbol" w:hAnsi="Symbol"/>
      </w:rPr>
    </w:lvl>
    <w:lvl w:ilvl="3" w:tplc="8B1EA428">
      <w:start w:val="1"/>
      <w:numFmt w:val="bullet"/>
      <w:lvlText w:val="·"/>
      <w:lvlJc w:val="left"/>
      <w:pPr>
        <w:tabs>
          <w:tab w:val="num" w:pos="2880"/>
        </w:tabs>
        <w:ind w:left="2880" w:hanging="360"/>
      </w:pPr>
      <w:rPr>
        <w:rFonts w:ascii="Symbol" w:hAnsi="Symbol"/>
      </w:rPr>
    </w:lvl>
    <w:lvl w:ilvl="4" w:tplc="2A404174">
      <w:start w:val="1"/>
      <w:numFmt w:val="bullet"/>
      <w:lvlText w:val="·"/>
      <w:lvlJc w:val="left"/>
      <w:pPr>
        <w:tabs>
          <w:tab w:val="num" w:pos="3600"/>
        </w:tabs>
        <w:ind w:left="3600" w:hanging="360"/>
      </w:pPr>
      <w:rPr>
        <w:rFonts w:ascii="Symbol" w:hAnsi="Symbol"/>
      </w:rPr>
    </w:lvl>
    <w:lvl w:ilvl="5" w:tplc="7C2620C4">
      <w:start w:val="1"/>
      <w:numFmt w:val="bullet"/>
      <w:lvlText w:val="·"/>
      <w:lvlJc w:val="left"/>
      <w:pPr>
        <w:tabs>
          <w:tab w:val="num" w:pos="4320"/>
        </w:tabs>
        <w:ind w:left="4320" w:hanging="360"/>
      </w:pPr>
      <w:rPr>
        <w:rFonts w:ascii="Symbol" w:hAnsi="Symbol"/>
      </w:rPr>
    </w:lvl>
    <w:lvl w:ilvl="6" w:tplc="7FBAA3F4">
      <w:start w:val="1"/>
      <w:numFmt w:val="bullet"/>
      <w:lvlText w:val="·"/>
      <w:lvlJc w:val="left"/>
      <w:pPr>
        <w:tabs>
          <w:tab w:val="num" w:pos="5040"/>
        </w:tabs>
        <w:ind w:left="5040" w:hanging="360"/>
      </w:pPr>
      <w:rPr>
        <w:rFonts w:ascii="Symbol" w:hAnsi="Symbol"/>
      </w:rPr>
    </w:lvl>
    <w:lvl w:ilvl="7" w:tplc="79DED59C">
      <w:start w:val="1"/>
      <w:numFmt w:val="bullet"/>
      <w:lvlText w:val="·"/>
      <w:lvlJc w:val="left"/>
      <w:pPr>
        <w:tabs>
          <w:tab w:val="num" w:pos="5760"/>
        </w:tabs>
        <w:ind w:left="5760" w:hanging="360"/>
      </w:pPr>
      <w:rPr>
        <w:rFonts w:ascii="Symbol" w:hAnsi="Symbol"/>
      </w:rPr>
    </w:lvl>
    <w:lvl w:ilvl="8" w:tplc="7ACA0812">
      <w:start w:val="1"/>
      <w:numFmt w:val="bullet"/>
      <w:lvlText w:val="·"/>
      <w:lvlJc w:val="left"/>
      <w:pPr>
        <w:tabs>
          <w:tab w:val="num" w:pos="6480"/>
        </w:tabs>
        <w:ind w:left="6480" w:hanging="360"/>
      </w:pPr>
      <w:rPr>
        <w:rFonts w:ascii="Symbol" w:hAnsi="Symbol"/>
      </w:rPr>
    </w:lvl>
  </w:abstractNum>
  <w:abstractNum w:abstractNumId="15">
    <w:nsid w:val="4B703F38"/>
    <w:multiLevelType w:val="hybridMultilevel"/>
    <w:tmpl w:val="0F8849C4"/>
    <w:lvl w:ilvl="0" w:tplc="5AF25DDA">
      <w:start w:val="1"/>
      <w:numFmt w:val="bullet"/>
      <w:lvlText w:val=""/>
      <w:lvlPicBulletId w:val="0"/>
      <w:lvlJc w:val="left"/>
      <w:pPr>
        <w:tabs>
          <w:tab w:val="num" w:pos="720"/>
        </w:tabs>
        <w:ind w:left="720" w:hanging="360"/>
      </w:pPr>
      <w:rPr>
        <w:rFonts w:ascii="Symbol" w:hAnsi="Symbol" w:hint="default"/>
      </w:rPr>
    </w:lvl>
    <w:lvl w:ilvl="1" w:tplc="D8D27840" w:tentative="1">
      <w:start w:val="1"/>
      <w:numFmt w:val="bullet"/>
      <w:lvlText w:val=""/>
      <w:lvlPicBulletId w:val="0"/>
      <w:lvlJc w:val="left"/>
      <w:pPr>
        <w:tabs>
          <w:tab w:val="num" w:pos="1440"/>
        </w:tabs>
        <w:ind w:left="1440" w:hanging="360"/>
      </w:pPr>
      <w:rPr>
        <w:rFonts w:ascii="Symbol" w:hAnsi="Symbol" w:hint="default"/>
      </w:rPr>
    </w:lvl>
    <w:lvl w:ilvl="2" w:tplc="C2E2D39E" w:tentative="1">
      <w:start w:val="1"/>
      <w:numFmt w:val="bullet"/>
      <w:lvlText w:val=""/>
      <w:lvlPicBulletId w:val="0"/>
      <w:lvlJc w:val="left"/>
      <w:pPr>
        <w:tabs>
          <w:tab w:val="num" w:pos="2160"/>
        </w:tabs>
        <w:ind w:left="2160" w:hanging="360"/>
      </w:pPr>
      <w:rPr>
        <w:rFonts w:ascii="Symbol" w:hAnsi="Symbol" w:hint="default"/>
      </w:rPr>
    </w:lvl>
    <w:lvl w:ilvl="3" w:tplc="D2409656" w:tentative="1">
      <w:start w:val="1"/>
      <w:numFmt w:val="bullet"/>
      <w:lvlText w:val=""/>
      <w:lvlPicBulletId w:val="0"/>
      <w:lvlJc w:val="left"/>
      <w:pPr>
        <w:tabs>
          <w:tab w:val="num" w:pos="2880"/>
        </w:tabs>
        <w:ind w:left="2880" w:hanging="360"/>
      </w:pPr>
      <w:rPr>
        <w:rFonts w:ascii="Symbol" w:hAnsi="Symbol" w:hint="default"/>
      </w:rPr>
    </w:lvl>
    <w:lvl w:ilvl="4" w:tplc="07C0B748" w:tentative="1">
      <w:start w:val="1"/>
      <w:numFmt w:val="bullet"/>
      <w:lvlText w:val=""/>
      <w:lvlPicBulletId w:val="0"/>
      <w:lvlJc w:val="left"/>
      <w:pPr>
        <w:tabs>
          <w:tab w:val="num" w:pos="3600"/>
        </w:tabs>
        <w:ind w:left="3600" w:hanging="360"/>
      </w:pPr>
      <w:rPr>
        <w:rFonts w:ascii="Symbol" w:hAnsi="Symbol" w:hint="default"/>
      </w:rPr>
    </w:lvl>
    <w:lvl w:ilvl="5" w:tplc="C082D012" w:tentative="1">
      <w:start w:val="1"/>
      <w:numFmt w:val="bullet"/>
      <w:lvlText w:val=""/>
      <w:lvlPicBulletId w:val="0"/>
      <w:lvlJc w:val="left"/>
      <w:pPr>
        <w:tabs>
          <w:tab w:val="num" w:pos="4320"/>
        </w:tabs>
        <w:ind w:left="4320" w:hanging="360"/>
      </w:pPr>
      <w:rPr>
        <w:rFonts w:ascii="Symbol" w:hAnsi="Symbol" w:hint="default"/>
      </w:rPr>
    </w:lvl>
    <w:lvl w:ilvl="6" w:tplc="C60C44F2" w:tentative="1">
      <w:start w:val="1"/>
      <w:numFmt w:val="bullet"/>
      <w:lvlText w:val=""/>
      <w:lvlPicBulletId w:val="0"/>
      <w:lvlJc w:val="left"/>
      <w:pPr>
        <w:tabs>
          <w:tab w:val="num" w:pos="5040"/>
        </w:tabs>
        <w:ind w:left="5040" w:hanging="360"/>
      </w:pPr>
      <w:rPr>
        <w:rFonts w:ascii="Symbol" w:hAnsi="Symbol" w:hint="default"/>
      </w:rPr>
    </w:lvl>
    <w:lvl w:ilvl="7" w:tplc="7E9EF714" w:tentative="1">
      <w:start w:val="1"/>
      <w:numFmt w:val="bullet"/>
      <w:lvlText w:val=""/>
      <w:lvlPicBulletId w:val="0"/>
      <w:lvlJc w:val="left"/>
      <w:pPr>
        <w:tabs>
          <w:tab w:val="num" w:pos="5760"/>
        </w:tabs>
        <w:ind w:left="5760" w:hanging="360"/>
      </w:pPr>
      <w:rPr>
        <w:rFonts w:ascii="Symbol" w:hAnsi="Symbol" w:hint="default"/>
      </w:rPr>
    </w:lvl>
    <w:lvl w:ilvl="8" w:tplc="3EEC46E2"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53F933EB"/>
    <w:multiLevelType w:val="hybridMultilevel"/>
    <w:tmpl w:val="0952E016"/>
    <w:lvl w:ilvl="0" w:tplc="3ED4DE18">
      <w:start w:val="1"/>
      <w:numFmt w:val="bullet"/>
      <w:lvlText w:val=""/>
      <w:lvlPicBulletId w:val="0"/>
      <w:lvlJc w:val="left"/>
      <w:pPr>
        <w:tabs>
          <w:tab w:val="num" w:pos="720"/>
        </w:tabs>
        <w:ind w:left="720" w:hanging="360"/>
      </w:pPr>
      <w:rPr>
        <w:rFonts w:ascii="Symbol" w:hAnsi="Symbol" w:hint="default"/>
      </w:rPr>
    </w:lvl>
    <w:lvl w:ilvl="1" w:tplc="BE3EF152" w:tentative="1">
      <w:start w:val="1"/>
      <w:numFmt w:val="bullet"/>
      <w:lvlText w:val=""/>
      <w:lvlPicBulletId w:val="0"/>
      <w:lvlJc w:val="left"/>
      <w:pPr>
        <w:tabs>
          <w:tab w:val="num" w:pos="1440"/>
        </w:tabs>
        <w:ind w:left="1440" w:hanging="360"/>
      </w:pPr>
      <w:rPr>
        <w:rFonts w:ascii="Symbol" w:hAnsi="Symbol" w:hint="default"/>
      </w:rPr>
    </w:lvl>
    <w:lvl w:ilvl="2" w:tplc="7AEAF6AC" w:tentative="1">
      <w:start w:val="1"/>
      <w:numFmt w:val="bullet"/>
      <w:lvlText w:val=""/>
      <w:lvlPicBulletId w:val="0"/>
      <w:lvlJc w:val="left"/>
      <w:pPr>
        <w:tabs>
          <w:tab w:val="num" w:pos="2160"/>
        </w:tabs>
        <w:ind w:left="2160" w:hanging="360"/>
      </w:pPr>
      <w:rPr>
        <w:rFonts w:ascii="Symbol" w:hAnsi="Symbol" w:hint="default"/>
      </w:rPr>
    </w:lvl>
    <w:lvl w:ilvl="3" w:tplc="EF88C9CE" w:tentative="1">
      <w:start w:val="1"/>
      <w:numFmt w:val="bullet"/>
      <w:lvlText w:val=""/>
      <w:lvlPicBulletId w:val="0"/>
      <w:lvlJc w:val="left"/>
      <w:pPr>
        <w:tabs>
          <w:tab w:val="num" w:pos="2880"/>
        </w:tabs>
        <w:ind w:left="2880" w:hanging="360"/>
      </w:pPr>
      <w:rPr>
        <w:rFonts w:ascii="Symbol" w:hAnsi="Symbol" w:hint="default"/>
      </w:rPr>
    </w:lvl>
    <w:lvl w:ilvl="4" w:tplc="8C8A275C" w:tentative="1">
      <w:start w:val="1"/>
      <w:numFmt w:val="bullet"/>
      <w:lvlText w:val=""/>
      <w:lvlPicBulletId w:val="0"/>
      <w:lvlJc w:val="left"/>
      <w:pPr>
        <w:tabs>
          <w:tab w:val="num" w:pos="3600"/>
        </w:tabs>
        <w:ind w:left="3600" w:hanging="360"/>
      </w:pPr>
      <w:rPr>
        <w:rFonts w:ascii="Symbol" w:hAnsi="Symbol" w:hint="default"/>
      </w:rPr>
    </w:lvl>
    <w:lvl w:ilvl="5" w:tplc="3764453A" w:tentative="1">
      <w:start w:val="1"/>
      <w:numFmt w:val="bullet"/>
      <w:lvlText w:val=""/>
      <w:lvlPicBulletId w:val="0"/>
      <w:lvlJc w:val="left"/>
      <w:pPr>
        <w:tabs>
          <w:tab w:val="num" w:pos="4320"/>
        </w:tabs>
        <w:ind w:left="4320" w:hanging="360"/>
      </w:pPr>
      <w:rPr>
        <w:rFonts w:ascii="Symbol" w:hAnsi="Symbol" w:hint="default"/>
      </w:rPr>
    </w:lvl>
    <w:lvl w:ilvl="6" w:tplc="2736C91A" w:tentative="1">
      <w:start w:val="1"/>
      <w:numFmt w:val="bullet"/>
      <w:lvlText w:val=""/>
      <w:lvlPicBulletId w:val="0"/>
      <w:lvlJc w:val="left"/>
      <w:pPr>
        <w:tabs>
          <w:tab w:val="num" w:pos="5040"/>
        </w:tabs>
        <w:ind w:left="5040" w:hanging="360"/>
      </w:pPr>
      <w:rPr>
        <w:rFonts w:ascii="Symbol" w:hAnsi="Symbol" w:hint="default"/>
      </w:rPr>
    </w:lvl>
    <w:lvl w:ilvl="7" w:tplc="9A46DDD0" w:tentative="1">
      <w:start w:val="1"/>
      <w:numFmt w:val="bullet"/>
      <w:lvlText w:val=""/>
      <w:lvlPicBulletId w:val="0"/>
      <w:lvlJc w:val="left"/>
      <w:pPr>
        <w:tabs>
          <w:tab w:val="num" w:pos="5760"/>
        </w:tabs>
        <w:ind w:left="5760" w:hanging="360"/>
      </w:pPr>
      <w:rPr>
        <w:rFonts w:ascii="Symbol" w:hAnsi="Symbol" w:hint="default"/>
      </w:rPr>
    </w:lvl>
    <w:lvl w:ilvl="8" w:tplc="1348128A"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56F54A28"/>
    <w:multiLevelType w:val="hybridMultilevel"/>
    <w:tmpl w:val="2AE26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7C66F9"/>
    <w:multiLevelType w:val="hybridMultilevel"/>
    <w:tmpl w:val="1A546CDC"/>
    <w:lvl w:ilvl="0" w:tplc="819E1564">
      <w:start w:val="41"/>
      <w:numFmt w:val="bullet"/>
      <w:lvlText w:val=""/>
      <w:lvlJc w:val="left"/>
      <w:pPr>
        <w:ind w:left="360" w:hanging="360"/>
      </w:pPr>
      <w:rPr>
        <w:rFonts w:ascii="Wingdings" w:eastAsia="PMingLiU"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725161BD"/>
    <w:multiLevelType w:val="hybridMultilevel"/>
    <w:tmpl w:val="98A2F702"/>
    <w:lvl w:ilvl="0" w:tplc="A864B15A">
      <w:start w:val="1"/>
      <w:numFmt w:val="bullet"/>
      <w:lvlText w:val=""/>
      <w:lvlPicBulletId w:val="0"/>
      <w:lvlJc w:val="left"/>
      <w:pPr>
        <w:tabs>
          <w:tab w:val="num" w:pos="720"/>
        </w:tabs>
        <w:ind w:left="720" w:hanging="360"/>
      </w:pPr>
      <w:rPr>
        <w:rFonts w:ascii="Symbol" w:hAnsi="Symbol" w:hint="default"/>
      </w:rPr>
    </w:lvl>
    <w:lvl w:ilvl="1" w:tplc="5516A3CC">
      <w:start w:val="1461"/>
      <w:numFmt w:val="bullet"/>
      <w:lvlText w:val=""/>
      <w:lvlPicBulletId w:val="0"/>
      <w:lvlJc w:val="left"/>
      <w:pPr>
        <w:tabs>
          <w:tab w:val="num" w:pos="1440"/>
        </w:tabs>
        <w:ind w:left="1440" w:hanging="360"/>
      </w:pPr>
      <w:rPr>
        <w:rFonts w:ascii="Symbol" w:hAnsi="Symbol" w:hint="default"/>
      </w:rPr>
    </w:lvl>
    <w:lvl w:ilvl="2" w:tplc="661EF162" w:tentative="1">
      <w:start w:val="1"/>
      <w:numFmt w:val="bullet"/>
      <w:lvlText w:val=""/>
      <w:lvlPicBulletId w:val="0"/>
      <w:lvlJc w:val="left"/>
      <w:pPr>
        <w:tabs>
          <w:tab w:val="num" w:pos="2160"/>
        </w:tabs>
        <w:ind w:left="2160" w:hanging="360"/>
      </w:pPr>
      <w:rPr>
        <w:rFonts w:ascii="Symbol" w:hAnsi="Symbol" w:hint="default"/>
      </w:rPr>
    </w:lvl>
    <w:lvl w:ilvl="3" w:tplc="DCE038FA" w:tentative="1">
      <w:start w:val="1"/>
      <w:numFmt w:val="bullet"/>
      <w:lvlText w:val=""/>
      <w:lvlPicBulletId w:val="0"/>
      <w:lvlJc w:val="left"/>
      <w:pPr>
        <w:tabs>
          <w:tab w:val="num" w:pos="2880"/>
        </w:tabs>
        <w:ind w:left="2880" w:hanging="360"/>
      </w:pPr>
      <w:rPr>
        <w:rFonts w:ascii="Symbol" w:hAnsi="Symbol" w:hint="default"/>
      </w:rPr>
    </w:lvl>
    <w:lvl w:ilvl="4" w:tplc="3B42DC24" w:tentative="1">
      <w:start w:val="1"/>
      <w:numFmt w:val="bullet"/>
      <w:lvlText w:val=""/>
      <w:lvlPicBulletId w:val="0"/>
      <w:lvlJc w:val="left"/>
      <w:pPr>
        <w:tabs>
          <w:tab w:val="num" w:pos="3600"/>
        </w:tabs>
        <w:ind w:left="3600" w:hanging="360"/>
      </w:pPr>
      <w:rPr>
        <w:rFonts w:ascii="Symbol" w:hAnsi="Symbol" w:hint="default"/>
      </w:rPr>
    </w:lvl>
    <w:lvl w:ilvl="5" w:tplc="F62A75A4" w:tentative="1">
      <w:start w:val="1"/>
      <w:numFmt w:val="bullet"/>
      <w:lvlText w:val=""/>
      <w:lvlPicBulletId w:val="0"/>
      <w:lvlJc w:val="left"/>
      <w:pPr>
        <w:tabs>
          <w:tab w:val="num" w:pos="4320"/>
        </w:tabs>
        <w:ind w:left="4320" w:hanging="360"/>
      </w:pPr>
      <w:rPr>
        <w:rFonts w:ascii="Symbol" w:hAnsi="Symbol" w:hint="default"/>
      </w:rPr>
    </w:lvl>
    <w:lvl w:ilvl="6" w:tplc="70804F66" w:tentative="1">
      <w:start w:val="1"/>
      <w:numFmt w:val="bullet"/>
      <w:lvlText w:val=""/>
      <w:lvlPicBulletId w:val="0"/>
      <w:lvlJc w:val="left"/>
      <w:pPr>
        <w:tabs>
          <w:tab w:val="num" w:pos="5040"/>
        </w:tabs>
        <w:ind w:left="5040" w:hanging="360"/>
      </w:pPr>
      <w:rPr>
        <w:rFonts w:ascii="Symbol" w:hAnsi="Symbol" w:hint="default"/>
      </w:rPr>
    </w:lvl>
    <w:lvl w:ilvl="7" w:tplc="5844C1BE" w:tentative="1">
      <w:start w:val="1"/>
      <w:numFmt w:val="bullet"/>
      <w:lvlText w:val=""/>
      <w:lvlPicBulletId w:val="0"/>
      <w:lvlJc w:val="left"/>
      <w:pPr>
        <w:tabs>
          <w:tab w:val="num" w:pos="5760"/>
        </w:tabs>
        <w:ind w:left="5760" w:hanging="360"/>
      </w:pPr>
      <w:rPr>
        <w:rFonts w:ascii="Symbol" w:hAnsi="Symbol" w:hint="default"/>
      </w:rPr>
    </w:lvl>
    <w:lvl w:ilvl="8" w:tplc="3DD0E4DA"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74E07982"/>
    <w:multiLevelType w:val="hybridMultilevel"/>
    <w:tmpl w:val="6D1E7DCC"/>
    <w:lvl w:ilvl="0" w:tplc="91DADECE">
      <w:start w:val="1"/>
      <w:numFmt w:val="bullet"/>
      <w:lvlText w:val=""/>
      <w:lvlPicBulletId w:val="0"/>
      <w:lvlJc w:val="left"/>
      <w:pPr>
        <w:tabs>
          <w:tab w:val="num" w:pos="720"/>
        </w:tabs>
        <w:ind w:left="720" w:hanging="360"/>
      </w:pPr>
      <w:rPr>
        <w:rFonts w:ascii="Symbol" w:hAnsi="Symbol" w:hint="default"/>
      </w:rPr>
    </w:lvl>
    <w:lvl w:ilvl="1" w:tplc="10747FD2">
      <w:start w:val="1461"/>
      <w:numFmt w:val="bullet"/>
      <w:lvlText w:val=""/>
      <w:lvlPicBulletId w:val="0"/>
      <w:lvlJc w:val="left"/>
      <w:pPr>
        <w:tabs>
          <w:tab w:val="num" w:pos="1440"/>
        </w:tabs>
        <w:ind w:left="1440" w:hanging="360"/>
      </w:pPr>
      <w:rPr>
        <w:rFonts w:ascii="Symbol" w:hAnsi="Symbol" w:hint="default"/>
      </w:rPr>
    </w:lvl>
    <w:lvl w:ilvl="2" w:tplc="1B4A3A68" w:tentative="1">
      <w:start w:val="1"/>
      <w:numFmt w:val="bullet"/>
      <w:lvlText w:val=""/>
      <w:lvlPicBulletId w:val="0"/>
      <w:lvlJc w:val="left"/>
      <w:pPr>
        <w:tabs>
          <w:tab w:val="num" w:pos="2160"/>
        </w:tabs>
        <w:ind w:left="2160" w:hanging="360"/>
      </w:pPr>
      <w:rPr>
        <w:rFonts w:ascii="Symbol" w:hAnsi="Symbol" w:hint="default"/>
      </w:rPr>
    </w:lvl>
    <w:lvl w:ilvl="3" w:tplc="2026A27A" w:tentative="1">
      <w:start w:val="1"/>
      <w:numFmt w:val="bullet"/>
      <w:lvlText w:val=""/>
      <w:lvlPicBulletId w:val="0"/>
      <w:lvlJc w:val="left"/>
      <w:pPr>
        <w:tabs>
          <w:tab w:val="num" w:pos="2880"/>
        </w:tabs>
        <w:ind w:left="2880" w:hanging="360"/>
      </w:pPr>
      <w:rPr>
        <w:rFonts w:ascii="Symbol" w:hAnsi="Symbol" w:hint="default"/>
      </w:rPr>
    </w:lvl>
    <w:lvl w:ilvl="4" w:tplc="A4F83018" w:tentative="1">
      <w:start w:val="1"/>
      <w:numFmt w:val="bullet"/>
      <w:lvlText w:val=""/>
      <w:lvlPicBulletId w:val="0"/>
      <w:lvlJc w:val="left"/>
      <w:pPr>
        <w:tabs>
          <w:tab w:val="num" w:pos="3600"/>
        </w:tabs>
        <w:ind w:left="3600" w:hanging="360"/>
      </w:pPr>
      <w:rPr>
        <w:rFonts w:ascii="Symbol" w:hAnsi="Symbol" w:hint="default"/>
      </w:rPr>
    </w:lvl>
    <w:lvl w:ilvl="5" w:tplc="6BF2B096" w:tentative="1">
      <w:start w:val="1"/>
      <w:numFmt w:val="bullet"/>
      <w:lvlText w:val=""/>
      <w:lvlPicBulletId w:val="0"/>
      <w:lvlJc w:val="left"/>
      <w:pPr>
        <w:tabs>
          <w:tab w:val="num" w:pos="4320"/>
        </w:tabs>
        <w:ind w:left="4320" w:hanging="360"/>
      </w:pPr>
      <w:rPr>
        <w:rFonts w:ascii="Symbol" w:hAnsi="Symbol" w:hint="default"/>
      </w:rPr>
    </w:lvl>
    <w:lvl w:ilvl="6" w:tplc="20A0FA82" w:tentative="1">
      <w:start w:val="1"/>
      <w:numFmt w:val="bullet"/>
      <w:lvlText w:val=""/>
      <w:lvlPicBulletId w:val="0"/>
      <w:lvlJc w:val="left"/>
      <w:pPr>
        <w:tabs>
          <w:tab w:val="num" w:pos="5040"/>
        </w:tabs>
        <w:ind w:left="5040" w:hanging="360"/>
      </w:pPr>
      <w:rPr>
        <w:rFonts w:ascii="Symbol" w:hAnsi="Symbol" w:hint="default"/>
      </w:rPr>
    </w:lvl>
    <w:lvl w:ilvl="7" w:tplc="DD7EE6F4" w:tentative="1">
      <w:start w:val="1"/>
      <w:numFmt w:val="bullet"/>
      <w:lvlText w:val=""/>
      <w:lvlPicBulletId w:val="0"/>
      <w:lvlJc w:val="left"/>
      <w:pPr>
        <w:tabs>
          <w:tab w:val="num" w:pos="5760"/>
        </w:tabs>
        <w:ind w:left="5760" w:hanging="360"/>
      </w:pPr>
      <w:rPr>
        <w:rFonts w:ascii="Symbol" w:hAnsi="Symbol" w:hint="default"/>
      </w:rPr>
    </w:lvl>
    <w:lvl w:ilvl="8" w:tplc="DBBC418C"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759364FC"/>
    <w:multiLevelType w:val="hybridMultilevel"/>
    <w:tmpl w:val="EC9A976A"/>
    <w:lvl w:ilvl="0" w:tplc="08090001">
      <w:start w:val="1"/>
      <w:numFmt w:val="bullet"/>
      <w:lvlText w:val=""/>
      <w:lvlJc w:val="left"/>
      <w:pPr>
        <w:ind w:left="480" w:hanging="480"/>
      </w:pPr>
      <w:rPr>
        <w:rFonts w:ascii="Symbol" w:hAnsi="Symbol"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780E1161"/>
    <w:multiLevelType w:val="hybridMultilevel"/>
    <w:tmpl w:val="C77C8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6"/>
  </w:num>
  <w:num w:numId="4">
    <w:abstractNumId w:val="1"/>
  </w:num>
  <w:num w:numId="5">
    <w:abstractNumId w:val="17"/>
  </w:num>
  <w:num w:numId="6">
    <w:abstractNumId w:val="12"/>
  </w:num>
  <w:num w:numId="7">
    <w:abstractNumId w:val="5"/>
  </w:num>
  <w:num w:numId="8">
    <w:abstractNumId w:val="19"/>
  </w:num>
  <w:num w:numId="9">
    <w:abstractNumId w:val="0"/>
  </w:num>
  <w:num w:numId="10">
    <w:abstractNumId w:val="20"/>
  </w:num>
  <w:num w:numId="11">
    <w:abstractNumId w:val="7"/>
  </w:num>
  <w:num w:numId="12">
    <w:abstractNumId w:val="16"/>
  </w:num>
  <w:num w:numId="13">
    <w:abstractNumId w:val="15"/>
  </w:num>
  <w:num w:numId="14">
    <w:abstractNumId w:val="5"/>
  </w:num>
  <w:num w:numId="15">
    <w:abstractNumId w:val="21"/>
  </w:num>
  <w:num w:numId="16">
    <w:abstractNumId w:val="18"/>
  </w:num>
  <w:num w:numId="17">
    <w:abstractNumId w:val="3"/>
  </w:num>
  <w:num w:numId="18">
    <w:abstractNumId w:val="4"/>
  </w:num>
  <w:num w:numId="19">
    <w:abstractNumId w:val="8"/>
  </w:num>
  <w:num w:numId="20">
    <w:abstractNumId w:val="22"/>
  </w:num>
  <w:num w:numId="21">
    <w:abstractNumId w:val="14"/>
  </w:num>
  <w:num w:numId="22">
    <w:abstractNumId w:val="10"/>
  </w:num>
  <w:num w:numId="23">
    <w:abstractNumId w:val="9"/>
  </w:num>
  <w:num w:numId="24">
    <w:abstractNumId w:val="13"/>
  </w:num>
  <w:num w:numId="25">
    <w:abstractNumId w:val="11"/>
  </w:num>
  <w:num w:numId="26">
    <w:abstractNumId w:val="12"/>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720"/>
  <w:hyphenationZone w:val="425"/>
  <w:characterSpacingControl w:val="doNotCompres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1D22"/>
    <w:rsid w:val="0000001C"/>
    <w:rsid w:val="000067AB"/>
    <w:rsid w:val="0001270D"/>
    <w:rsid w:val="00013522"/>
    <w:rsid w:val="000149CB"/>
    <w:rsid w:val="00014DDB"/>
    <w:rsid w:val="00015838"/>
    <w:rsid w:val="000174FC"/>
    <w:rsid w:val="000226F5"/>
    <w:rsid w:val="00030B99"/>
    <w:rsid w:val="00031946"/>
    <w:rsid w:val="00032A9F"/>
    <w:rsid w:val="00041E51"/>
    <w:rsid w:val="0004457D"/>
    <w:rsid w:val="00046012"/>
    <w:rsid w:val="000547FC"/>
    <w:rsid w:val="00055C59"/>
    <w:rsid w:val="00056C0D"/>
    <w:rsid w:val="00067DC5"/>
    <w:rsid w:val="000740F9"/>
    <w:rsid w:val="00074566"/>
    <w:rsid w:val="00080A54"/>
    <w:rsid w:val="00085298"/>
    <w:rsid w:val="00086D79"/>
    <w:rsid w:val="0009062E"/>
    <w:rsid w:val="00091756"/>
    <w:rsid w:val="00092896"/>
    <w:rsid w:val="00094967"/>
    <w:rsid w:val="00094ACF"/>
    <w:rsid w:val="000956E4"/>
    <w:rsid w:val="00095F22"/>
    <w:rsid w:val="00097073"/>
    <w:rsid w:val="000A21A4"/>
    <w:rsid w:val="000A4232"/>
    <w:rsid w:val="000A6189"/>
    <w:rsid w:val="000A6394"/>
    <w:rsid w:val="000A6455"/>
    <w:rsid w:val="000A7CD4"/>
    <w:rsid w:val="000B57AB"/>
    <w:rsid w:val="000B6C23"/>
    <w:rsid w:val="000C0F2C"/>
    <w:rsid w:val="000C0F5D"/>
    <w:rsid w:val="000C1DA3"/>
    <w:rsid w:val="000C4E78"/>
    <w:rsid w:val="000C59DF"/>
    <w:rsid w:val="000C6364"/>
    <w:rsid w:val="000C675A"/>
    <w:rsid w:val="000C73FB"/>
    <w:rsid w:val="000D17BF"/>
    <w:rsid w:val="000D2107"/>
    <w:rsid w:val="000D6C30"/>
    <w:rsid w:val="000D6D66"/>
    <w:rsid w:val="000E38D8"/>
    <w:rsid w:val="000E4382"/>
    <w:rsid w:val="000F5849"/>
    <w:rsid w:val="000F5F88"/>
    <w:rsid w:val="0010530A"/>
    <w:rsid w:val="001106E5"/>
    <w:rsid w:val="00116ED4"/>
    <w:rsid w:val="001172E8"/>
    <w:rsid w:val="001208D3"/>
    <w:rsid w:val="00121F9B"/>
    <w:rsid w:val="0012228B"/>
    <w:rsid w:val="00123901"/>
    <w:rsid w:val="001254FE"/>
    <w:rsid w:val="00127D7D"/>
    <w:rsid w:val="00131357"/>
    <w:rsid w:val="00131718"/>
    <w:rsid w:val="00134FA5"/>
    <w:rsid w:val="00135CB5"/>
    <w:rsid w:val="00136B49"/>
    <w:rsid w:val="00137BDD"/>
    <w:rsid w:val="00141FD8"/>
    <w:rsid w:val="00142FEE"/>
    <w:rsid w:val="00143FB6"/>
    <w:rsid w:val="00144688"/>
    <w:rsid w:val="001465E0"/>
    <w:rsid w:val="00150319"/>
    <w:rsid w:val="0015034D"/>
    <w:rsid w:val="001551C6"/>
    <w:rsid w:val="001555ED"/>
    <w:rsid w:val="00156ACD"/>
    <w:rsid w:val="00160470"/>
    <w:rsid w:val="00163039"/>
    <w:rsid w:val="00164442"/>
    <w:rsid w:val="00166970"/>
    <w:rsid w:val="001740B6"/>
    <w:rsid w:val="001756C6"/>
    <w:rsid w:val="00181FD3"/>
    <w:rsid w:val="001849D2"/>
    <w:rsid w:val="00184F81"/>
    <w:rsid w:val="00186FD3"/>
    <w:rsid w:val="0018721D"/>
    <w:rsid w:val="00192C26"/>
    <w:rsid w:val="0019585E"/>
    <w:rsid w:val="0019619A"/>
    <w:rsid w:val="00196565"/>
    <w:rsid w:val="001969F4"/>
    <w:rsid w:val="001A058D"/>
    <w:rsid w:val="001A0A58"/>
    <w:rsid w:val="001A2399"/>
    <w:rsid w:val="001A36CD"/>
    <w:rsid w:val="001A53F9"/>
    <w:rsid w:val="001A7366"/>
    <w:rsid w:val="001A761A"/>
    <w:rsid w:val="001B36BB"/>
    <w:rsid w:val="001B4CC3"/>
    <w:rsid w:val="001B7AD0"/>
    <w:rsid w:val="001C04D1"/>
    <w:rsid w:val="001C2DDD"/>
    <w:rsid w:val="001C4C5E"/>
    <w:rsid w:val="001C5484"/>
    <w:rsid w:val="001C5672"/>
    <w:rsid w:val="001D3217"/>
    <w:rsid w:val="001D3353"/>
    <w:rsid w:val="001D48E7"/>
    <w:rsid w:val="001D52BF"/>
    <w:rsid w:val="001E242B"/>
    <w:rsid w:val="001E7918"/>
    <w:rsid w:val="001F170A"/>
    <w:rsid w:val="001F68C2"/>
    <w:rsid w:val="002004A1"/>
    <w:rsid w:val="00202288"/>
    <w:rsid w:val="0020407E"/>
    <w:rsid w:val="0020436A"/>
    <w:rsid w:val="00204C4D"/>
    <w:rsid w:val="0021264A"/>
    <w:rsid w:val="00217799"/>
    <w:rsid w:val="00223D2D"/>
    <w:rsid w:val="00223F48"/>
    <w:rsid w:val="00225343"/>
    <w:rsid w:val="0024501C"/>
    <w:rsid w:val="00246B55"/>
    <w:rsid w:val="0025052B"/>
    <w:rsid w:val="0026648A"/>
    <w:rsid w:val="002674B5"/>
    <w:rsid w:val="0027103A"/>
    <w:rsid w:val="00271ECA"/>
    <w:rsid w:val="00272047"/>
    <w:rsid w:val="00272952"/>
    <w:rsid w:val="00275052"/>
    <w:rsid w:val="00280A14"/>
    <w:rsid w:val="00281C21"/>
    <w:rsid w:val="002824EC"/>
    <w:rsid w:val="002836D5"/>
    <w:rsid w:val="00287178"/>
    <w:rsid w:val="00291A0C"/>
    <w:rsid w:val="00291DA9"/>
    <w:rsid w:val="00292659"/>
    <w:rsid w:val="0029276D"/>
    <w:rsid w:val="00293844"/>
    <w:rsid w:val="00294B90"/>
    <w:rsid w:val="00295A2F"/>
    <w:rsid w:val="002A29F0"/>
    <w:rsid w:val="002A3080"/>
    <w:rsid w:val="002B0940"/>
    <w:rsid w:val="002B19A7"/>
    <w:rsid w:val="002B2BD0"/>
    <w:rsid w:val="002B5EE9"/>
    <w:rsid w:val="002B600C"/>
    <w:rsid w:val="002C0150"/>
    <w:rsid w:val="002C6204"/>
    <w:rsid w:val="002D23D5"/>
    <w:rsid w:val="002D2FFA"/>
    <w:rsid w:val="002D327F"/>
    <w:rsid w:val="002D787F"/>
    <w:rsid w:val="002D79F9"/>
    <w:rsid w:val="002E1559"/>
    <w:rsid w:val="002E2795"/>
    <w:rsid w:val="002E287F"/>
    <w:rsid w:val="002E7E58"/>
    <w:rsid w:val="002F081D"/>
    <w:rsid w:val="002F1F76"/>
    <w:rsid w:val="002F2E54"/>
    <w:rsid w:val="002F5B45"/>
    <w:rsid w:val="002F5D7A"/>
    <w:rsid w:val="0030072D"/>
    <w:rsid w:val="00301A8C"/>
    <w:rsid w:val="00304E04"/>
    <w:rsid w:val="00305746"/>
    <w:rsid w:val="003062A4"/>
    <w:rsid w:val="00306FF1"/>
    <w:rsid w:val="00310AF8"/>
    <w:rsid w:val="003111EC"/>
    <w:rsid w:val="00313202"/>
    <w:rsid w:val="003268EE"/>
    <w:rsid w:val="00327CF9"/>
    <w:rsid w:val="003320B0"/>
    <w:rsid w:val="00332AFB"/>
    <w:rsid w:val="00333D65"/>
    <w:rsid w:val="0033747E"/>
    <w:rsid w:val="003406D0"/>
    <w:rsid w:val="0034098A"/>
    <w:rsid w:val="00340A95"/>
    <w:rsid w:val="00341A8F"/>
    <w:rsid w:val="003467A2"/>
    <w:rsid w:val="00347B39"/>
    <w:rsid w:val="003562E8"/>
    <w:rsid w:val="0036288A"/>
    <w:rsid w:val="003636D5"/>
    <w:rsid w:val="0036588C"/>
    <w:rsid w:val="0036638F"/>
    <w:rsid w:val="00372268"/>
    <w:rsid w:val="00373985"/>
    <w:rsid w:val="00373B05"/>
    <w:rsid w:val="003746E3"/>
    <w:rsid w:val="003750CE"/>
    <w:rsid w:val="00375745"/>
    <w:rsid w:val="003823A2"/>
    <w:rsid w:val="003831CB"/>
    <w:rsid w:val="00385F4D"/>
    <w:rsid w:val="0039554C"/>
    <w:rsid w:val="00396FD1"/>
    <w:rsid w:val="003A0CDF"/>
    <w:rsid w:val="003A14E7"/>
    <w:rsid w:val="003A32EE"/>
    <w:rsid w:val="003B0456"/>
    <w:rsid w:val="003B6067"/>
    <w:rsid w:val="003C09FC"/>
    <w:rsid w:val="003C100E"/>
    <w:rsid w:val="003C1404"/>
    <w:rsid w:val="003C36E4"/>
    <w:rsid w:val="003C3921"/>
    <w:rsid w:val="003C5AC2"/>
    <w:rsid w:val="003C5DA1"/>
    <w:rsid w:val="003C683C"/>
    <w:rsid w:val="003C7244"/>
    <w:rsid w:val="003C7FD2"/>
    <w:rsid w:val="003D6467"/>
    <w:rsid w:val="003D6681"/>
    <w:rsid w:val="003D71A8"/>
    <w:rsid w:val="003E115B"/>
    <w:rsid w:val="003E1A07"/>
    <w:rsid w:val="003E467D"/>
    <w:rsid w:val="003E4F2E"/>
    <w:rsid w:val="003E5CE9"/>
    <w:rsid w:val="003E625A"/>
    <w:rsid w:val="003F1B2C"/>
    <w:rsid w:val="003F2EFF"/>
    <w:rsid w:val="003F3B9C"/>
    <w:rsid w:val="003F40C4"/>
    <w:rsid w:val="003F41BA"/>
    <w:rsid w:val="003F73BB"/>
    <w:rsid w:val="004004B7"/>
    <w:rsid w:val="00403827"/>
    <w:rsid w:val="00404EB0"/>
    <w:rsid w:val="004057D3"/>
    <w:rsid w:val="0040688C"/>
    <w:rsid w:val="004075E2"/>
    <w:rsid w:val="00407968"/>
    <w:rsid w:val="004111E1"/>
    <w:rsid w:val="0041126B"/>
    <w:rsid w:val="00413B14"/>
    <w:rsid w:val="00414BDA"/>
    <w:rsid w:val="00420944"/>
    <w:rsid w:val="004210C0"/>
    <w:rsid w:val="00421F59"/>
    <w:rsid w:val="00426F37"/>
    <w:rsid w:val="004275C2"/>
    <w:rsid w:val="00432751"/>
    <w:rsid w:val="00432C56"/>
    <w:rsid w:val="0043316A"/>
    <w:rsid w:val="00437291"/>
    <w:rsid w:val="00437A63"/>
    <w:rsid w:val="004405B8"/>
    <w:rsid w:val="004456CA"/>
    <w:rsid w:val="00453F57"/>
    <w:rsid w:val="00454F62"/>
    <w:rsid w:val="0045585B"/>
    <w:rsid w:val="00460F48"/>
    <w:rsid w:val="00461104"/>
    <w:rsid w:val="00470CD7"/>
    <w:rsid w:val="00470E99"/>
    <w:rsid w:val="00471D26"/>
    <w:rsid w:val="00471FD0"/>
    <w:rsid w:val="0047463B"/>
    <w:rsid w:val="0047516F"/>
    <w:rsid w:val="0048243C"/>
    <w:rsid w:val="0048409C"/>
    <w:rsid w:val="004846E8"/>
    <w:rsid w:val="00487778"/>
    <w:rsid w:val="00487ED0"/>
    <w:rsid w:val="00490918"/>
    <w:rsid w:val="00490D2B"/>
    <w:rsid w:val="004949C6"/>
    <w:rsid w:val="0049628B"/>
    <w:rsid w:val="004967D4"/>
    <w:rsid w:val="004A256C"/>
    <w:rsid w:val="004A350A"/>
    <w:rsid w:val="004A56D1"/>
    <w:rsid w:val="004A6859"/>
    <w:rsid w:val="004A7CCA"/>
    <w:rsid w:val="004B17C7"/>
    <w:rsid w:val="004B2AC7"/>
    <w:rsid w:val="004B391F"/>
    <w:rsid w:val="004C43E6"/>
    <w:rsid w:val="004C6378"/>
    <w:rsid w:val="004C6BC0"/>
    <w:rsid w:val="004D329D"/>
    <w:rsid w:val="004D7B99"/>
    <w:rsid w:val="004D7E3F"/>
    <w:rsid w:val="004E34FA"/>
    <w:rsid w:val="004E679A"/>
    <w:rsid w:val="004F72FE"/>
    <w:rsid w:val="004F7545"/>
    <w:rsid w:val="00502188"/>
    <w:rsid w:val="00504B45"/>
    <w:rsid w:val="00510D4A"/>
    <w:rsid w:val="005126CB"/>
    <w:rsid w:val="005178CC"/>
    <w:rsid w:val="00520C7C"/>
    <w:rsid w:val="00522816"/>
    <w:rsid w:val="005228ED"/>
    <w:rsid w:val="0052476F"/>
    <w:rsid w:val="00524E85"/>
    <w:rsid w:val="00530A3A"/>
    <w:rsid w:val="0053637F"/>
    <w:rsid w:val="00536DAB"/>
    <w:rsid w:val="00537717"/>
    <w:rsid w:val="00542080"/>
    <w:rsid w:val="005425B2"/>
    <w:rsid w:val="00544DE6"/>
    <w:rsid w:val="00546BAB"/>
    <w:rsid w:val="005507AF"/>
    <w:rsid w:val="00552068"/>
    <w:rsid w:val="00553BF7"/>
    <w:rsid w:val="005553D1"/>
    <w:rsid w:val="00562960"/>
    <w:rsid w:val="00564BB2"/>
    <w:rsid w:val="00571DF8"/>
    <w:rsid w:val="00573908"/>
    <w:rsid w:val="00573CC7"/>
    <w:rsid w:val="005774F5"/>
    <w:rsid w:val="005817F8"/>
    <w:rsid w:val="00581E1C"/>
    <w:rsid w:val="00584395"/>
    <w:rsid w:val="0059240F"/>
    <w:rsid w:val="0059478A"/>
    <w:rsid w:val="0059607C"/>
    <w:rsid w:val="00596310"/>
    <w:rsid w:val="00596A1C"/>
    <w:rsid w:val="00597A78"/>
    <w:rsid w:val="005A200E"/>
    <w:rsid w:val="005A488B"/>
    <w:rsid w:val="005A5AAD"/>
    <w:rsid w:val="005B000F"/>
    <w:rsid w:val="005B3E0F"/>
    <w:rsid w:val="005B47ED"/>
    <w:rsid w:val="005B49B4"/>
    <w:rsid w:val="005C75B1"/>
    <w:rsid w:val="005C7BCD"/>
    <w:rsid w:val="005D10C4"/>
    <w:rsid w:val="005D121F"/>
    <w:rsid w:val="005D5EA9"/>
    <w:rsid w:val="005E067C"/>
    <w:rsid w:val="005E0832"/>
    <w:rsid w:val="005E1BF8"/>
    <w:rsid w:val="005E39E2"/>
    <w:rsid w:val="005E3B4D"/>
    <w:rsid w:val="005E6697"/>
    <w:rsid w:val="005F00D9"/>
    <w:rsid w:val="005F597F"/>
    <w:rsid w:val="005F5FE7"/>
    <w:rsid w:val="0060013E"/>
    <w:rsid w:val="006024AC"/>
    <w:rsid w:val="00603274"/>
    <w:rsid w:val="00611024"/>
    <w:rsid w:val="006141D7"/>
    <w:rsid w:val="006155D0"/>
    <w:rsid w:val="00617A12"/>
    <w:rsid w:val="00620E4B"/>
    <w:rsid w:val="00622E0E"/>
    <w:rsid w:val="00624F6B"/>
    <w:rsid w:val="00626AF1"/>
    <w:rsid w:val="00633C0C"/>
    <w:rsid w:val="0064198B"/>
    <w:rsid w:val="00642193"/>
    <w:rsid w:val="006431B8"/>
    <w:rsid w:val="00643E6B"/>
    <w:rsid w:val="006458AB"/>
    <w:rsid w:val="00650E22"/>
    <w:rsid w:val="00651523"/>
    <w:rsid w:val="00651EE5"/>
    <w:rsid w:val="00657247"/>
    <w:rsid w:val="0066082D"/>
    <w:rsid w:val="0066119A"/>
    <w:rsid w:val="0066155F"/>
    <w:rsid w:val="00662E69"/>
    <w:rsid w:val="00663165"/>
    <w:rsid w:val="00665914"/>
    <w:rsid w:val="00665ADA"/>
    <w:rsid w:val="00671C93"/>
    <w:rsid w:val="00672448"/>
    <w:rsid w:val="006772B0"/>
    <w:rsid w:val="0068736D"/>
    <w:rsid w:val="00690E33"/>
    <w:rsid w:val="00692EC0"/>
    <w:rsid w:val="00693941"/>
    <w:rsid w:val="006A015E"/>
    <w:rsid w:val="006A0946"/>
    <w:rsid w:val="006A1D26"/>
    <w:rsid w:val="006A66F8"/>
    <w:rsid w:val="006B17D1"/>
    <w:rsid w:val="006B32CC"/>
    <w:rsid w:val="006B4E7D"/>
    <w:rsid w:val="006B5C17"/>
    <w:rsid w:val="006C0947"/>
    <w:rsid w:val="006C1B0F"/>
    <w:rsid w:val="006C4EE0"/>
    <w:rsid w:val="006C60A8"/>
    <w:rsid w:val="006C63D0"/>
    <w:rsid w:val="006D3DB3"/>
    <w:rsid w:val="006D5157"/>
    <w:rsid w:val="006D6A60"/>
    <w:rsid w:val="006E4999"/>
    <w:rsid w:val="006F296B"/>
    <w:rsid w:val="006F7505"/>
    <w:rsid w:val="006F7F17"/>
    <w:rsid w:val="00710483"/>
    <w:rsid w:val="007110A2"/>
    <w:rsid w:val="00711D20"/>
    <w:rsid w:val="00712E90"/>
    <w:rsid w:val="007130B8"/>
    <w:rsid w:val="0071312B"/>
    <w:rsid w:val="00713C81"/>
    <w:rsid w:val="00714168"/>
    <w:rsid w:val="0071509E"/>
    <w:rsid w:val="00715BC4"/>
    <w:rsid w:val="00717282"/>
    <w:rsid w:val="00720EE1"/>
    <w:rsid w:val="007229AA"/>
    <w:rsid w:val="00722FF7"/>
    <w:rsid w:val="0072716B"/>
    <w:rsid w:val="00733239"/>
    <w:rsid w:val="00735294"/>
    <w:rsid w:val="007353A5"/>
    <w:rsid w:val="00735AD4"/>
    <w:rsid w:val="00737044"/>
    <w:rsid w:val="00740340"/>
    <w:rsid w:val="00740F84"/>
    <w:rsid w:val="007433FB"/>
    <w:rsid w:val="0075488B"/>
    <w:rsid w:val="00754F32"/>
    <w:rsid w:val="00756075"/>
    <w:rsid w:val="00756A97"/>
    <w:rsid w:val="00757237"/>
    <w:rsid w:val="007577A7"/>
    <w:rsid w:val="00764E82"/>
    <w:rsid w:val="0076536D"/>
    <w:rsid w:val="00765C33"/>
    <w:rsid w:val="00770C73"/>
    <w:rsid w:val="00771463"/>
    <w:rsid w:val="007760F1"/>
    <w:rsid w:val="00776B8F"/>
    <w:rsid w:val="00777994"/>
    <w:rsid w:val="00781A2B"/>
    <w:rsid w:val="00783964"/>
    <w:rsid w:val="00784293"/>
    <w:rsid w:val="0078533C"/>
    <w:rsid w:val="00787670"/>
    <w:rsid w:val="00792D0C"/>
    <w:rsid w:val="00794799"/>
    <w:rsid w:val="007A743B"/>
    <w:rsid w:val="007B0184"/>
    <w:rsid w:val="007B2F5E"/>
    <w:rsid w:val="007B34D4"/>
    <w:rsid w:val="007B4192"/>
    <w:rsid w:val="007B4FC1"/>
    <w:rsid w:val="007B5234"/>
    <w:rsid w:val="007B6CD9"/>
    <w:rsid w:val="007C099B"/>
    <w:rsid w:val="007C26D2"/>
    <w:rsid w:val="007C6547"/>
    <w:rsid w:val="007D1C44"/>
    <w:rsid w:val="007D3BBC"/>
    <w:rsid w:val="007D3EE4"/>
    <w:rsid w:val="007D40C1"/>
    <w:rsid w:val="007D71F4"/>
    <w:rsid w:val="007E1D13"/>
    <w:rsid w:val="007E2EEB"/>
    <w:rsid w:val="007E70DB"/>
    <w:rsid w:val="007F0680"/>
    <w:rsid w:val="007F23F5"/>
    <w:rsid w:val="007F632C"/>
    <w:rsid w:val="007F6CE6"/>
    <w:rsid w:val="007F79BE"/>
    <w:rsid w:val="00800CCC"/>
    <w:rsid w:val="00805A43"/>
    <w:rsid w:val="00806190"/>
    <w:rsid w:val="008067D8"/>
    <w:rsid w:val="00811F56"/>
    <w:rsid w:val="00813013"/>
    <w:rsid w:val="00814355"/>
    <w:rsid w:val="0082236A"/>
    <w:rsid w:val="0082237B"/>
    <w:rsid w:val="00823D89"/>
    <w:rsid w:val="0082464D"/>
    <w:rsid w:val="00830AD0"/>
    <w:rsid w:val="008311A2"/>
    <w:rsid w:val="00832C1C"/>
    <w:rsid w:val="00834A98"/>
    <w:rsid w:val="00836682"/>
    <w:rsid w:val="008368C1"/>
    <w:rsid w:val="008376E9"/>
    <w:rsid w:val="00840165"/>
    <w:rsid w:val="0084110E"/>
    <w:rsid w:val="00841158"/>
    <w:rsid w:val="00842057"/>
    <w:rsid w:val="00854F37"/>
    <w:rsid w:val="00860DF6"/>
    <w:rsid w:val="008633AC"/>
    <w:rsid w:val="008649B1"/>
    <w:rsid w:val="0086563F"/>
    <w:rsid w:val="008716D4"/>
    <w:rsid w:val="00872A87"/>
    <w:rsid w:val="00872B14"/>
    <w:rsid w:val="008740D4"/>
    <w:rsid w:val="00877B15"/>
    <w:rsid w:val="00880D25"/>
    <w:rsid w:val="00882AFC"/>
    <w:rsid w:val="00882D04"/>
    <w:rsid w:val="00883510"/>
    <w:rsid w:val="0088388B"/>
    <w:rsid w:val="0088555C"/>
    <w:rsid w:val="00885767"/>
    <w:rsid w:val="00886297"/>
    <w:rsid w:val="008876BA"/>
    <w:rsid w:val="00890F32"/>
    <w:rsid w:val="00893B3B"/>
    <w:rsid w:val="00895432"/>
    <w:rsid w:val="00895D0B"/>
    <w:rsid w:val="00896199"/>
    <w:rsid w:val="008A2D89"/>
    <w:rsid w:val="008A4153"/>
    <w:rsid w:val="008B0234"/>
    <w:rsid w:val="008B0ED5"/>
    <w:rsid w:val="008B1564"/>
    <w:rsid w:val="008B6FFA"/>
    <w:rsid w:val="008B70B6"/>
    <w:rsid w:val="008B7EE7"/>
    <w:rsid w:val="008C102B"/>
    <w:rsid w:val="008C1547"/>
    <w:rsid w:val="008C3097"/>
    <w:rsid w:val="008C67F1"/>
    <w:rsid w:val="008C6D0D"/>
    <w:rsid w:val="008D109E"/>
    <w:rsid w:val="008D69BC"/>
    <w:rsid w:val="008E792A"/>
    <w:rsid w:val="008E7DA2"/>
    <w:rsid w:val="008F1637"/>
    <w:rsid w:val="008F26D8"/>
    <w:rsid w:val="008F3599"/>
    <w:rsid w:val="008F52CA"/>
    <w:rsid w:val="008F5D02"/>
    <w:rsid w:val="008F71F0"/>
    <w:rsid w:val="00900234"/>
    <w:rsid w:val="00904FA0"/>
    <w:rsid w:val="0090559E"/>
    <w:rsid w:val="0090764E"/>
    <w:rsid w:val="00911977"/>
    <w:rsid w:val="0091206B"/>
    <w:rsid w:val="00913FA6"/>
    <w:rsid w:val="00914B7E"/>
    <w:rsid w:val="00914E69"/>
    <w:rsid w:val="009160A4"/>
    <w:rsid w:val="00920955"/>
    <w:rsid w:val="00922DAC"/>
    <w:rsid w:val="00924158"/>
    <w:rsid w:val="0093306B"/>
    <w:rsid w:val="0093327E"/>
    <w:rsid w:val="00937A17"/>
    <w:rsid w:val="00941B47"/>
    <w:rsid w:val="00943217"/>
    <w:rsid w:val="009453D3"/>
    <w:rsid w:val="009516E5"/>
    <w:rsid w:val="00956DBB"/>
    <w:rsid w:val="009610DA"/>
    <w:rsid w:val="009622FF"/>
    <w:rsid w:val="0096404F"/>
    <w:rsid w:val="00966AF6"/>
    <w:rsid w:val="00970131"/>
    <w:rsid w:val="00970896"/>
    <w:rsid w:val="00971BC2"/>
    <w:rsid w:val="009721BF"/>
    <w:rsid w:val="00974A6C"/>
    <w:rsid w:val="00976345"/>
    <w:rsid w:val="00976EE7"/>
    <w:rsid w:val="00980381"/>
    <w:rsid w:val="00981B63"/>
    <w:rsid w:val="0098287E"/>
    <w:rsid w:val="009842E8"/>
    <w:rsid w:val="00985C50"/>
    <w:rsid w:val="0098663F"/>
    <w:rsid w:val="00987698"/>
    <w:rsid w:val="00987D34"/>
    <w:rsid w:val="0099076E"/>
    <w:rsid w:val="00992E54"/>
    <w:rsid w:val="00992EFC"/>
    <w:rsid w:val="00997609"/>
    <w:rsid w:val="00997B73"/>
    <w:rsid w:val="009A1570"/>
    <w:rsid w:val="009A1F46"/>
    <w:rsid w:val="009A3B15"/>
    <w:rsid w:val="009A4725"/>
    <w:rsid w:val="009A698C"/>
    <w:rsid w:val="009A7900"/>
    <w:rsid w:val="009B046C"/>
    <w:rsid w:val="009B3CE7"/>
    <w:rsid w:val="009B3F92"/>
    <w:rsid w:val="009B5084"/>
    <w:rsid w:val="009C4049"/>
    <w:rsid w:val="009C5B56"/>
    <w:rsid w:val="009D16B9"/>
    <w:rsid w:val="009D36D9"/>
    <w:rsid w:val="009D5462"/>
    <w:rsid w:val="009E2E5D"/>
    <w:rsid w:val="009E3EFD"/>
    <w:rsid w:val="009E51AF"/>
    <w:rsid w:val="009E5C65"/>
    <w:rsid w:val="009E653B"/>
    <w:rsid w:val="009E775A"/>
    <w:rsid w:val="009F048D"/>
    <w:rsid w:val="009F0E62"/>
    <w:rsid w:val="009F1EA0"/>
    <w:rsid w:val="009F25F7"/>
    <w:rsid w:val="009F40D4"/>
    <w:rsid w:val="009F444E"/>
    <w:rsid w:val="009F6670"/>
    <w:rsid w:val="009F781E"/>
    <w:rsid w:val="00A029A7"/>
    <w:rsid w:val="00A05A5D"/>
    <w:rsid w:val="00A1085C"/>
    <w:rsid w:val="00A1114E"/>
    <w:rsid w:val="00A11D62"/>
    <w:rsid w:val="00A11F4C"/>
    <w:rsid w:val="00A1560A"/>
    <w:rsid w:val="00A161E1"/>
    <w:rsid w:val="00A162D5"/>
    <w:rsid w:val="00A16A18"/>
    <w:rsid w:val="00A23F3F"/>
    <w:rsid w:val="00A30434"/>
    <w:rsid w:val="00A31D22"/>
    <w:rsid w:val="00A33A5C"/>
    <w:rsid w:val="00A367B7"/>
    <w:rsid w:val="00A372B8"/>
    <w:rsid w:val="00A402EC"/>
    <w:rsid w:val="00A42E17"/>
    <w:rsid w:val="00A44B4D"/>
    <w:rsid w:val="00A50550"/>
    <w:rsid w:val="00A50CD5"/>
    <w:rsid w:val="00A51989"/>
    <w:rsid w:val="00A52573"/>
    <w:rsid w:val="00A527A4"/>
    <w:rsid w:val="00A532A9"/>
    <w:rsid w:val="00A549FE"/>
    <w:rsid w:val="00A56D53"/>
    <w:rsid w:val="00A620D4"/>
    <w:rsid w:val="00A63C8B"/>
    <w:rsid w:val="00A63FEB"/>
    <w:rsid w:val="00A65020"/>
    <w:rsid w:val="00A65C5C"/>
    <w:rsid w:val="00A67347"/>
    <w:rsid w:val="00A67B79"/>
    <w:rsid w:val="00A733C1"/>
    <w:rsid w:val="00A74EFE"/>
    <w:rsid w:val="00A75338"/>
    <w:rsid w:val="00A81893"/>
    <w:rsid w:val="00A86ED0"/>
    <w:rsid w:val="00A87B40"/>
    <w:rsid w:val="00A910B5"/>
    <w:rsid w:val="00A92B77"/>
    <w:rsid w:val="00A935AD"/>
    <w:rsid w:val="00A94DA9"/>
    <w:rsid w:val="00A95638"/>
    <w:rsid w:val="00A957AB"/>
    <w:rsid w:val="00A96BD5"/>
    <w:rsid w:val="00A96BF7"/>
    <w:rsid w:val="00A96CDD"/>
    <w:rsid w:val="00AA1EB4"/>
    <w:rsid w:val="00AA461D"/>
    <w:rsid w:val="00AA71E5"/>
    <w:rsid w:val="00AB0DBC"/>
    <w:rsid w:val="00AB4B14"/>
    <w:rsid w:val="00AB5450"/>
    <w:rsid w:val="00AB6338"/>
    <w:rsid w:val="00AB7633"/>
    <w:rsid w:val="00AC053E"/>
    <w:rsid w:val="00AD14BB"/>
    <w:rsid w:val="00AD2D20"/>
    <w:rsid w:val="00AD46D6"/>
    <w:rsid w:val="00AE06BC"/>
    <w:rsid w:val="00AE5D0C"/>
    <w:rsid w:val="00AE68E0"/>
    <w:rsid w:val="00AF0C98"/>
    <w:rsid w:val="00AF3127"/>
    <w:rsid w:val="00AF3BA7"/>
    <w:rsid w:val="00AF3D5A"/>
    <w:rsid w:val="00AF4076"/>
    <w:rsid w:val="00AF4EE1"/>
    <w:rsid w:val="00AF57E3"/>
    <w:rsid w:val="00B026D2"/>
    <w:rsid w:val="00B03B85"/>
    <w:rsid w:val="00B10259"/>
    <w:rsid w:val="00B11D41"/>
    <w:rsid w:val="00B149B9"/>
    <w:rsid w:val="00B1682C"/>
    <w:rsid w:val="00B1792C"/>
    <w:rsid w:val="00B25B4C"/>
    <w:rsid w:val="00B27E6D"/>
    <w:rsid w:val="00B32859"/>
    <w:rsid w:val="00B35393"/>
    <w:rsid w:val="00B363EC"/>
    <w:rsid w:val="00B36993"/>
    <w:rsid w:val="00B37E80"/>
    <w:rsid w:val="00B4086A"/>
    <w:rsid w:val="00B4151A"/>
    <w:rsid w:val="00B41B78"/>
    <w:rsid w:val="00B434C8"/>
    <w:rsid w:val="00B44F47"/>
    <w:rsid w:val="00B50FEB"/>
    <w:rsid w:val="00B517E1"/>
    <w:rsid w:val="00B53235"/>
    <w:rsid w:val="00B628E1"/>
    <w:rsid w:val="00B65BD6"/>
    <w:rsid w:val="00B6774F"/>
    <w:rsid w:val="00B71001"/>
    <w:rsid w:val="00B71D6E"/>
    <w:rsid w:val="00B71F9C"/>
    <w:rsid w:val="00B729C8"/>
    <w:rsid w:val="00B7555C"/>
    <w:rsid w:val="00B758DE"/>
    <w:rsid w:val="00B80756"/>
    <w:rsid w:val="00B80894"/>
    <w:rsid w:val="00B8103D"/>
    <w:rsid w:val="00B84921"/>
    <w:rsid w:val="00B86D96"/>
    <w:rsid w:val="00B9676A"/>
    <w:rsid w:val="00BA463C"/>
    <w:rsid w:val="00BA5387"/>
    <w:rsid w:val="00BA658D"/>
    <w:rsid w:val="00BB18A4"/>
    <w:rsid w:val="00BB2131"/>
    <w:rsid w:val="00BB4AD8"/>
    <w:rsid w:val="00BB5CAD"/>
    <w:rsid w:val="00BB7162"/>
    <w:rsid w:val="00BC114B"/>
    <w:rsid w:val="00BC23BB"/>
    <w:rsid w:val="00BC2EE9"/>
    <w:rsid w:val="00BC6AF1"/>
    <w:rsid w:val="00BD082F"/>
    <w:rsid w:val="00BD0BB3"/>
    <w:rsid w:val="00BD19D7"/>
    <w:rsid w:val="00BD3FAD"/>
    <w:rsid w:val="00BD5F88"/>
    <w:rsid w:val="00BE0FFF"/>
    <w:rsid w:val="00BE1A9E"/>
    <w:rsid w:val="00BE5B9D"/>
    <w:rsid w:val="00BE681D"/>
    <w:rsid w:val="00BF0202"/>
    <w:rsid w:val="00BF227B"/>
    <w:rsid w:val="00BF3983"/>
    <w:rsid w:val="00BF551F"/>
    <w:rsid w:val="00C00A18"/>
    <w:rsid w:val="00C019AF"/>
    <w:rsid w:val="00C05940"/>
    <w:rsid w:val="00C12930"/>
    <w:rsid w:val="00C13079"/>
    <w:rsid w:val="00C14EDA"/>
    <w:rsid w:val="00C1631D"/>
    <w:rsid w:val="00C216B3"/>
    <w:rsid w:val="00C25D59"/>
    <w:rsid w:val="00C2764E"/>
    <w:rsid w:val="00C27796"/>
    <w:rsid w:val="00C30960"/>
    <w:rsid w:val="00C31FAB"/>
    <w:rsid w:val="00C32ABC"/>
    <w:rsid w:val="00C33ACD"/>
    <w:rsid w:val="00C33CEA"/>
    <w:rsid w:val="00C35547"/>
    <w:rsid w:val="00C3644E"/>
    <w:rsid w:val="00C40385"/>
    <w:rsid w:val="00C43203"/>
    <w:rsid w:val="00C501F3"/>
    <w:rsid w:val="00C5356D"/>
    <w:rsid w:val="00C53AD6"/>
    <w:rsid w:val="00C61781"/>
    <w:rsid w:val="00C62D90"/>
    <w:rsid w:val="00C62FFD"/>
    <w:rsid w:val="00C652BE"/>
    <w:rsid w:val="00C65619"/>
    <w:rsid w:val="00C66C86"/>
    <w:rsid w:val="00C71232"/>
    <w:rsid w:val="00C753F4"/>
    <w:rsid w:val="00C80364"/>
    <w:rsid w:val="00C815F8"/>
    <w:rsid w:val="00C927A0"/>
    <w:rsid w:val="00C94711"/>
    <w:rsid w:val="00C94C1B"/>
    <w:rsid w:val="00C94CB8"/>
    <w:rsid w:val="00C969F8"/>
    <w:rsid w:val="00C96A4D"/>
    <w:rsid w:val="00CA376D"/>
    <w:rsid w:val="00CA5766"/>
    <w:rsid w:val="00CA6E65"/>
    <w:rsid w:val="00CB4006"/>
    <w:rsid w:val="00CC497E"/>
    <w:rsid w:val="00CD2A2E"/>
    <w:rsid w:val="00CD3349"/>
    <w:rsid w:val="00CD5F4A"/>
    <w:rsid w:val="00CE3289"/>
    <w:rsid w:val="00CF033E"/>
    <w:rsid w:val="00CF0F46"/>
    <w:rsid w:val="00CF2DB3"/>
    <w:rsid w:val="00CF5787"/>
    <w:rsid w:val="00CF7206"/>
    <w:rsid w:val="00D00DB1"/>
    <w:rsid w:val="00D045C0"/>
    <w:rsid w:val="00D053B7"/>
    <w:rsid w:val="00D06AFD"/>
    <w:rsid w:val="00D121FF"/>
    <w:rsid w:val="00D148EB"/>
    <w:rsid w:val="00D15B19"/>
    <w:rsid w:val="00D17E6B"/>
    <w:rsid w:val="00D2377E"/>
    <w:rsid w:val="00D249E5"/>
    <w:rsid w:val="00D26D35"/>
    <w:rsid w:val="00D272D7"/>
    <w:rsid w:val="00D27ED2"/>
    <w:rsid w:val="00D311F5"/>
    <w:rsid w:val="00D32E95"/>
    <w:rsid w:val="00D33A13"/>
    <w:rsid w:val="00D344AC"/>
    <w:rsid w:val="00D34A97"/>
    <w:rsid w:val="00D35646"/>
    <w:rsid w:val="00D35CD8"/>
    <w:rsid w:val="00D36490"/>
    <w:rsid w:val="00D40E1B"/>
    <w:rsid w:val="00D44AFE"/>
    <w:rsid w:val="00D4513D"/>
    <w:rsid w:val="00D455B9"/>
    <w:rsid w:val="00D45796"/>
    <w:rsid w:val="00D50D26"/>
    <w:rsid w:val="00D573D7"/>
    <w:rsid w:val="00D6018D"/>
    <w:rsid w:val="00D60904"/>
    <w:rsid w:val="00D70BAC"/>
    <w:rsid w:val="00D721EC"/>
    <w:rsid w:val="00D72C30"/>
    <w:rsid w:val="00D74160"/>
    <w:rsid w:val="00D75565"/>
    <w:rsid w:val="00D82AB0"/>
    <w:rsid w:val="00D82B56"/>
    <w:rsid w:val="00D87A5A"/>
    <w:rsid w:val="00D92DA2"/>
    <w:rsid w:val="00D933C5"/>
    <w:rsid w:val="00D94446"/>
    <w:rsid w:val="00D94B0F"/>
    <w:rsid w:val="00D9502A"/>
    <w:rsid w:val="00D96DBA"/>
    <w:rsid w:val="00DA2C00"/>
    <w:rsid w:val="00DA463B"/>
    <w:rsid w:val="00DA50CB"/>
    <w:rsid w:val="00DA5454"/>
    <w:rsid w:val="00DA5CDC"/>
    <w:rsid w:val="00DA67A9"/>
    <w:rsid w:val="00DA6CCE"/>
    <w:rsid w:val="00DB0587"/>
    <w:rsid w:val="00DB467C"/>
    <w:rsid w:val="00DC1755"/>
    <w:rsid w:val="00DC558C"/>
    <w:rsid w:val="00DC558F"/>
    <w:rsid w:val="00DC6393"/>
    <w:rsid w:val="00DD1272"/>
    <w:rsid w:val="00DD49A3"/>
    <w:rsid w:val="00DD700B"/>
    <w:rsid w:val="00DE044B"/>
    <w:rsid w:val="00DE1760"/>
    <w:rsid w:val="00DE2132"/>
    <w:rsid w:val="00DE55B5"/>
    <w:rsid w:val="00DE58F1"/>
    <w:rsid w:val="00DE6C29"/>
    <w:rsid w:val="00DE7519"/>
    <w:rsid w:val="00DF2637"/>
    <w:rsid w:val="00DF4046"/>
    <w:rsid w:val="00E00F9D"/>
    <w:rsid w:val="00E025B7"/>
    <w:rsid w:val="00E02B3D"/>
    <w:rsid w:val="00E03D30"/>
    <w:rsid w:val="00E07571"/>
    <w:rsid w:val="00E107CB"/>
    <w:rsid w:val="00E13463"/>
    <w:rsid w:val="00E134A2"/>
    <w:rsid w:val="00E140FF"/>
    <w:rsid w:val="00E222A0"/>
    <w:rsid w:val="00E23060"/>
    <w:rsid w:val="00E24150"/>
    <w:rsid w:val="00E25486"/>
    <w:rsid w:val="00E256D6"/>
    <w:rsid w:val="00E2649B"/>
    <w:rsid w:val="00E274BD"/>
    <w:rsid w:val="00E3093E"/>
    <w:rsid w:val="00E31358"/>
    <w:rsid w:val="00E3224B"/>
    <w:rsid w:val="00E32433"/>
    <w:rsid w:val="00E356B9"/>
    <w:rsid w:val="00E409C9"/>
    <w:rsid w:val="00E40B51"/>
    <w:rsid w:val="00E40F37"/>
    <w:rsid w:val="00E4144C"/>
    <w:rsid w:val="00E41882"/>
    <w:rsid w:val="00E43609"/>
    <w:rsid w:val="00E437A1"/>
    <w:rsid w:val="00E5294A"/>
    <w:rsid w:val="00E60B4D"/>
    <w:rsid w:val="00E612B3"/>
    <w:rsid w:val="00E64F6A"/>
    <w:rsid w:val="00E660D1"/>
    <w:rsid w:val="00E70A0F"/>
    <w:rsid w:val="00E716E7"/>
    <w:rsid w:val="00E726AE"/>
    <w:rsid w:val="00E72960"/>
    <w:rsid w:val="00E74CCA"/>
    <w:rsid w:val="00E77542"/>
    <w:rsid w:val="00E81725"/>
    <w:rsid w:val="00E832C4"/>
    <w:rsid w:val="00E854A3"/>
    <w:rsid w:val="00E904CF"/>
    <w:rsid w:val="00E930A9"/>
    <w:rsid w:val="00E97247"/>
    <w:rsid w:val="00EA1EA3"/>
    <w:rsid w:val="00EA46B2"/>
    <w:rsid w:val="00EA7AD3"/>
    <w:rsid w:val="00EA7BA5"/>
    <w:rsid w:val="00EB4E43"/>
    <w:rsid w:val="00EB70EB"/>
    <w:rsid w:val="00EC02F3"/>
    <w:rsid w:val="00EC0CB6"/>
    <w:rsid w:val="00EC3C69"/>
    <w:rsid w:val="00EC3F3D"/>
    <w:rsid w:val="00EC4064"/>
    <w:rsid w:val="00EC748F"/>
    <w:rsid w:val="00EC7C9A"/>
    <w:rsid w:val="00ED1AE5"/>
    <w:rsid w:val="00ED20A8"/>
    <w:rsid w:val="00ED3F4F"/>
    <w:rsid w:val="00ED4A7D"/>
    <w:rsid w:val="00ED78B9"/>
    <w:rsid w:val="00EE008E"/>
    <w:rsid w:val="00EE154F"/>
    <w:rsid w:val="00EE3F76"/>
    <w:rsid w:val="00EE6994"/>
    <w:rsid w:val="00EE6D59"/>
    <w:rsid w:val="00EF1942"/>
    <w:rsid w:val="00EF2302"/>
    <w:rsid w:val="00EF6207"/>
    <w:rsid w:val="00F00676"/>
    <w:rsid w:val="00F01930"/>
    <w:rsid w:val="00F031D8"/>
    <w:rsid w:val="00F072B6"/>
    <w:rsid w:val="00F07836"/>
    <w:rsid w:val="00F10D1D"/>
    <w:rsid w:val="00F11003"/>
    <w:rsid w:val="00F11ECE"/>
    <w:rsid w:val="00F1270A"/>
    <w:rsid w:val="00F15E65"/>
    <w:rsid w:val="00F20111"/>
    <w:rsid w:val="00F2125F"/>
    <w:rsid w:val="00F21CB8"/>
    <w:rsid w:val="00F24446"/>
    <w:rsid w:val="00F25310"/>
    <w:rsid w:val="00F33645"/>
    <w:rsid w:val="00F348C1"/>
    <w:rsid w:val="00F35568"/>
    <w:rsid w:val="00F36060"/>
    <w:rsid w:val="00F41F3F"/>
    <w:rsid w:val="00F44A30"/>
    <w:rsid w:val="00F53E5C"/>
    <w:rsid w:val="00F55B19"/>
    <w:rsid w:val="00F55B95"/>
    <w:rsid w:val="00F565F9"/>
    <w:rsid w:val="00F60E98"/>
    <w:rsid w:val="00F61024"/>
    <w:rsid w:val="00F624D9"/>
    <w:rsid w:val="00F62D18"/>
    <w:rsid w:val="00F64069"/>
    <w:rsid w:val="00F72413"/>
    <w:rsid w:val="00F7458B"/>
    <w:rsid w:val="00F771A2"/>
    <w:rsid w:val="00F81668"/>
    <w:rsid w:val="00F826BD"/>
    <w:rsid w:val="00F848E7"/>
    <w:rsid w:val="00F86ED5"/>
    <w:rsid w:val="00F87DC9"/>
    <w:rsid w:val="00F94E63"/>
    <w:rsid w:val="00F94EF9"/>
    <w:rsid w:val="00F95932"/>
    <w:rsid w:val="00F95A12"/>
    <w:rsid w:val="00FA17FD"/>
    <w:rsid w:val="00FA6F28"/>
    <w:rsid w:val="00FA76C8"/>
    <w:rsid w:val="00FB0D46"/>
    <w:rsid w:val="00FB24CF"/>
    <w:rsid w:val="00FB33D3"/>
    <w:rsid w:val="00FB5CFB"/>
    <w:rsid w:val="00FB6C79"/>
    <w:rsid w:val="00FB7668"/>
    <w:rsid w:val="00FC210B"/>
    <w:rsid w:val="00FD1BCD"/>
    <w:rsid w:val="00FD30B9"/>
    <w:rsid w:val="00FD4DC5"/>
    <w:rsid w:val="00FD7374"/>
    <w:rsid w:val="00FE2962"/>
    <w:rsid w:val="00FE39A8"/>
    <w:rsid w:val="00FE3E3B"/>
    <w:rsid w:val="00FE4689"/>
    <w:rsid w:val="00FE790D"/>
    <w:rsid w:val="00FF073E"/>
    <w:rsid w:val="00FF1867"/>
    <w:rsid w:val="00FF18B7"/>
    <w:rsid w:val="00FF5C54"/>
    <w:rsid w:val="00FF6621"/>
    <w:rsid w:val="00FF6F6E"/>
    <w:rsid w:val="00FF71C4"/>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18D"/>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31D22"/>
    <w:pPr>
      <w:autoSpaceDE w:val="0"/>
      <w:autoSpaceDN w:val="0"/>
      <w:adjustRightInd w:val="0"/>
    </w:pPr>
    <w:rPr>
      <w:rFonts w:cs="Calibri"/>
      <w:color w:val="000000"/>
      <w:sz w:val="24"/>
      <w:szCs w:val="24"/>
      <w:lang w:val="en-GB" w:eastAsia="en-US"/>
    </w:rPr>
  </w:style>
  <w:style w:type="table" w:styleId="TableGrid">
    <w:name w:val="Table Grid"/>
    <w:basedOn w:val="TableNormal"/>
    <w:uiPriority w:val="99"/>
    <w:rsid w:val="00A31D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6018D"/>
    <w:pPr>
      <w:ind w:left="720"/>
      <w:contextualSpacing/>
    </w:pPr>
  </w:style>
  <w:style w:type="paragraph" w:styleId="BalloonText">
    <w:name w:val="Balloon Text"/>
    <w:basedOn w:val="Normal"/>
    <w:link w:val="BalloonTextChar"/>
    <w:uiPriority w:val="99"/>
    <w:semiHidden/>
    <w:rsid w:val="00055C59"/>
    <w:pPr>
      <w:spacing w:after="0" w:line="240" w:lineRule="auto"/>
    </w:pPr>
    <w:rPr>
      <w:rFonts w:ascii="Tahoma" w:hAnsi="Tahoma"/>
      <w:sz w:val="16"/>
      <w:szCs w:val="16"/>
      <w:lang w:val="nl-BE" w:eastAsia="ja-JP"/>
    </w:rPr>
  </w:style>
  <w:style w:type="character" w:customStyle="1" w:styleId="BalloonTextChar">
    <w:name w:val="Balloon Text Char"/>
    <w:basedOn w:val="DefaultParagraphFont"/>
    <w:link w:val="BalloonText"/>
    <w:uiPriority w:val="99"/>
    <w:semiHidden/>
    <w:locked/>
    <w:rsid w:val="00055C59"/>
    <w:rPr>
      <w:rFonts w:ascii="Tahoma" w:hAnsi="Tahoma"/>
      <w:sz w:val="16"/>
    </w:rPr>
  </w:style>
  <w:style w:type="paragraph" w:styleId="FootnoteText">
    <w:name w:val="footnote text"/>
    <w:basedOn w:val="Normal"/>
    <w:link w:val="FootnoteTextChar"/>
    <w:uiPriority w:val="99"/>
    <w:rsid w:val="00D6018D"/>
    <w:pPr>
      <w:spacing w:after="0" w:line="240" w:lineRule="auto"/>
    </w:pPr>
    <w:rPr>
      <w:sz w:val="20"/>
      <w:szCs w:val="20"/>
      <w:lang w:eastAsia="ja-JP"/>
    </w:rPr>
  </w:style>
  <w:style w:type="character" w:customStyle="1" w:styleId="FootnoteTextChar">
    <w:name w:val="Footnote Text Char"/>
    <w:basedOn w:val="DefaultParagraphFont"/>
    <w:link w:val="FootnoteText"/>
    <w:uiPriority w:val="99"/>
    <w:locked/>
    <w:rsid w:val="009A4725"/>
    <w:rPr>
      <w:lang w:val="en-GB"/>
    </w:rPr>
  </w:style>
  <w:style w:type="character" w:styleId="FootnoteReference">
    <w:name w:val="footnote reference"/>
    <w:basedOn w:val="DefaultParagraphFont"/>
    <w:uiPriority w:val="99"/>
    <w:rsid w:val="009A4725"/>
    <w:rPr>
      <w:rFonts w:cs="Times New Roman"/>
      <w:vertAlign w:val="superscript"/>
    </w:rPr>
  </w:style>
  <w:style w:type="paragraph" w:styleId="Header">
    <w:name w:val="header"/>
    <w:basedOn w:val="Normal"/>
    <w:link w:val="HeaderChar"/>
    <w:uiPriority w:val="99"/>
    <w:rsid w:val="00D6018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111E1"/>
    <w:rPr>
      <w:rFonts w:cs="Times New Roman"/>
      <w:sz w:val="22"/>
      <w:szCs w:val="22"/>
      <w:lang w:val="en-GB"/>
    </w:rPr>
  </w:style>
  <w:style w:type="paragraph" w:styleId="Footer">
    <w:name w:val="footer"/>
    <w:basedOn w:val="Normal"/>
    <w:link w:val="FooterChar"/>
    <w:uiPriority w:val="99"/>
    <w:rsid w:val="00D6018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111E1"/>
    <w:rPr>
      <w:rFonts w:cs="Times New Roman"/>
      <w:sz w:val="22"/>
      <w:szCs w:val="22"/>
      <w:lang w:val="en-GB"/>
    </w:rPr>
  </w:style>
  <w:style w:type="paragraph" w:customStyle="1" w:styleId="BulletL1">
    <w:name w:val="BulletL1"/>
    <w:aliases w:val="bl1"/>
    <w:basedOn w:val="Normal"/>
    <w:uiPriority w:val="99"/>
    <w:rsid w:val="00F72413"/>
    <w:pPr>
      <w:numPr>
        <w:numId w:val="2"/>
      </w:numPr>
      <w:tabs>
        <w:tab w:val="left" w:pos="1094"/>
      </w:tabs>
      <w:spacing w:after="120" w:line="240" w:lineRule="auto"/>
      <w:jc w:val="both"/>
    </w:pPr>
    <w:rPr>
      <w:rFonts w:ascii="Times New Roman" w:hAnsi="Times New Roman"/>
      <w:szCs w:val="20"/>
      <w:lang w:val="en-US"/>
    </w:rPr>
  </w:style>
  <w:style w:type="character" w:styleId="CommentReference">
    <w:name w:val="annotation reference"/>
    <w:basedOn w:val="DefaultParagraphFont"/>
    <w:uiPriority w:val="99"/>
    <w:semiHidden/>
    <w:rsid w:val="00014DDB"/>
    <w:rPr>
      <w:rFonts w:cs="Times New Roman"/>
      <w:sz w:val="16"/>
    </w:rPr>
  </w:style>
  <w:style w:type="paragraph" w:styleId="CommentText">
    <w:name w:val="annotation text"/>
    <w:basedOn w:val="Normal"/>
    <w:link w:val="CommentTextChar"/>
    <w:uiPriority w:val="99"/>
    <w:semiHidden/>
    <w:rsid w:val="00D6018D"/>
    <w:pPr>
      <w:spacing w:line="240" w:lineRule="auto"/>
    </w:pPr>
    <w:rPr>
      <w:sz w:val="20"/>
      <w:szCs w:val="20"/>
      <w:lang w:eastAsia="ja-JP"/>
    </w:rPr>
  </w:style>
  <w:style w:type="character" w:customStyle="1" w:styleId="CommentTextChar">
    <w:name w:val="Comment Text Char"/>
    <w:basedOn w:val="DefaultParagraphFont"/>
    <w:link w:val="CommentText"/>
    <w:uiPriority w:val="99"/>
    <w:semiHidden/>
    <w:locked/>
    <w:rsid w:val="00014DDB"/>
    <w:rPr>
      <w:lang w:val="en-GB"/>
    </w:rPr>
  </w:style>
  <w:style w:type="paragraph" w:styleId="CommentSubject">
    <w:name w:val="annotation subject"/>
    <w:basedOn w:val="CommentText"/>
    <w:next w:val="CommentText"/>
    <w:link w:val="CommentSubjectChar"/>
    <w:uiPriority w:val="99"/>
    <w:semiHidden/>
    <w:rsid w:val="00D6018D"/>
    <w:rPr>
      <w:b/>
      <w:bCs/>
    </w:rPr>
  </w:style>
  <w:style w:type="character" w:customStyle="1" w:styleId="CommentSubjectChar">
    <w:name w:val="Comment Subject Char"/>
    <w:basedOn w:val="CommentTextChar"/>
    <w:link w:val="CommentSubject"/>
    <w:uiPriority w:val="99"/>
    <w:semiHidden/>
    <w:locked/>
    <w:rsid w:val="00014DDB"/>
    <w:rPr>
      <w:b/>
    </w:rPr>
  </w:style>
  <w:style w:type="paragraph" w:styleId="Revision">
    <w:name w:val="Revision"/>
    <w:hidden/>
    <w:uiPriority w:val="99"/>
    <w:semiHidden/>
    <w:rsid w:val="00D6018D"/>
    <w:rPr>
      <w:lang w:val="en-GB" w:eastAsia="en-US"/>
    </w:rPr>
  </w:style>
  <w:style w:type="paragraph" w:customStyle="1" w:styleId="NormalKeepWithNext">
    <w:name w:val="Normal Keep With Next"/>
    <w:aliases w:val="nkwn"/>
    <w:basedOn w:val="Normal"/>
    <w:next w:val="Normal"/>
    <w:uiPriority w:val="99"/>
    <w:rsid w:val="00046012"/>
    <w:pPr>
      <w:keepNext/>
      <w:spacing w:line="240" w:lineRule="auto"/>
      <w:jc w:val="both"/>
    </w:pPr>
    <w:rPr>
      <w:rFonts w:ascii="Times New Roman" w:hAnsi="Times New Roman"/>
      <w:szCs w:val="20"/>
      <w:lang w:val="en-US"/>
    </w:rPr>
  </w:style>
  <w:style w:type="paragraph" w:customStyle="1" w:styleId="EngNote">
    <w:name w:val="Eng_Note"/>
    <w:basedOn w:val="Normal"/>
    <w:uiPriority w:val="99"/>
    <w:rsid w:val="009B3CE7"/>
    <w:pPr>
      <w:widowControl w:val="0"/>
      <w:suppressAutoHyphens/>
      <w:autoSpaceDE w:val="0"/>
      <w:autoSpaceDN w:val="0"/>
      <w:adjustRightInd w:val="0"/>
      <w:spacing w:after="0" w:line="180" w:lineRule="atLeast"/>
      <w:jc w:val="both"/>
      <w:textAlignment w:val="baseline"/>
    </w:pPr>
    <w:rPr>
      <w:rFonts w:ascii="Frutiger 45 Light" w:hAnsi="Frutiger 45 Light" w:cs="Frutiger 45 Light"/>
      <w:color w:val="00004C"/>
      <w:sz w:val="14"/>
      <w:szCs w:val="14"/>
      <w:lang w:eastAsia="zh-TW"/>
    </w:rPr>
  </w:style>
  <w:style w:type="paragraph" w:customStyle="1" w:styleId="NormalTable25mm">
    <w:name w:val="Normal (Table 25mm)"/>
    <w:basedOn w:val="Normal"/>
    <w:uiPriority w:val="99"/>
    <w:rsid w:val="00C30960"/>
    <w:pPr>
      <w:widowControl w:val="0"/>
      <w:tabs>
        <w:tab w:val="left" w:pos="1304"/>
      </w:tabs>
      <w:suppressAutoHyphens/>
      <w:autoSpaceDE w:val="0"/>
      <w:autoSpaceDN w:val="0"/>
      <w:adjustRightInd w:val="0"/>
      <w:spacing w:after="0" w:line="260" w:lineRule="atLeast"/>
      <w:jc w:val="both"/>
      <w:textAlignment w:val="baseline"/>
    </w:pPr>
    <w:rPr>
      <w:rFonts w:ascii="ATC-6b637dda*+Helvetica*0020*Ne" w:eastAsia="ATC-6b637dda*+Helvetica*0020*Ne" w:hAnsi="Times New Roman" w:cs="ATC-6b637dda*+Helvetica*0020*Ne"/>
      <w:color w:val="000000"/>
      <w:position w:val="4"/>
      <w:sz w:val="19"/>
      <w:szCs w:val="19"/>
      <w:lang w:eastAsia="zh-TW"/>
    </w:rPr>
  </w:style>
  <w:style w:type="character" w:customStyle="1" w:styleId="TableBoldColor">
    <w:name w:val="Table Bold Color"/>
    <w:uiPriority w:val="99"/>
    <w:rsid w:val="00C30960"/>
    <w:rPr>
      <w:rFonts w:ascii="ATC-514b*+Helvetica*0020*Neue*0" w:eastAsia="ATC-514b*+Helvetica*0020*Neue*0"/>
      <w:color w:val="00408E"/>
    </w:rPr>
  </w:style>
  <w:style w:type="character" w:customStyle="1" w:styleId="a">
    <w:name w:val="斜字"/>
    <w:uiPriority w:val="99"/>
    <w:rsid w:val="00DB0587"/>
  </w:style>
  <w:style w:type="paragraph" w:customStyle="1" w:styleId="Evisualpagestxt">
    <w:name w:val="E visual pages txt"/>
    <w:basedOn w:val="Normal"/>
    <w:uiPriority w:val="99"/>
    <w:rsid w:val="00EC3F3D"/>
    <w:pPr>
      <w:widowControl w:val="0"/>
      <w:autoSpaceDE w:val="0"/>
      <w:autoSpaceDN w:val="0"/>
      <w:adjustRightInd w:val="0"/>
      <w:spacing w:after="227" w:line="400" w:lineRule="atLeast"/>
      <w:textAlignment w:val="center"/>
    </w:pPr>
    <w:rPr>
      <w:rFonts w:ascii="TradeGothic Light" w:hAnsi="TradeGothic Light" w:cs="TradeGothic Light"/>
      <w:color w:val="000000"/>
      <w:sz w:val="32"/>
      <w:szCs w:val="32"/>
      <w:lang w:val="zh-TW" w:eastAsia="zh-TW"/>
    </w:rPr>
  </w:style>
  <w:style w:type="character" w:customStyle="1" w:styleId="Bold">
    <w:name w:val="克+Bold"/>
    <w:uiPriority w:val="99"/>
    <w:rsid w:val="00EC3F3D"/>
    <w:rPr>
      <w:rFonts w:ascii="ATC-514b*+Helvetica*0020*Neue*0" w:eastAsia="ATC-514b*+Helvetica*0020*Neue*0"/>
      <w:color w:val="000000"/>
    </w:rPr>
  </w:style>
  <w:style w:type="character" w:styleId="Hyperlink">
    <w:name w:val="Hyperlink"/>
    <w:basedOn w:val="DefaultParagraphFont"/>
    <w:uiPriority w:val="99"/>
    <w:rsid w:val="00D6018D"/>
    <w:rPr>
      <w:rFonts w:cs="Times New Roman"/>
      <w:color w:val="0000FF"/>
      <w:u w:val="single"/>
    </w:rPr>
  </w:style>
  <w:style w:type="paragraph" w:customStyle="1" w:styleId="EngText">
    <w:name w:val="Eng_Text"/>
    <w:basedOn w:val="Normal"/>
    <w:uiPriority w:val="99"/>
    <w:rsid w:val="00603274"/>
    <w:pPr>
      <w:widowControl w:val="0"/>
      <w:suppressAutoHyphens/>
      <w:autoSpaceDE w:val="0"/>
      <w:autoSpaceDN w:val="0"/>
      <w:adjustRightInd w:val="0"/>
      <w:spacing w:after="0" w:line="260" w:lineRule="atLeast"/>
      <w:jc w:val="both"/>
      <w:textAlignment w:val="baseline"/>
    </w:pPr>
    <w:rPr>
      <w:rFonts w:ascii="Frutiger 45 Light" w:hAnsi="Frutiger 45 Light" w:cs="Frutiger 45 Light"/>
      <w:color w:val="324460"/>
      <w:sz w:val="17"/>
      <w:szCs w:val="17"/>
      <w:lang w:eastAsia="zh-TW"/>
    </w:rPr>
  </w:style>
  <w:style w:type="paragraph" w:customStyle="1" w:styleId="Ebodytext">
    <w:name w:val="E bodytext"/>
    <w:basedOn w:val="Normal"/>
    <w:link w:val="EbodytextChar"/>
    <w:uiPriority w:val="99"/>
    <w:rsid w:val="00784293"/>
    <w:pPr>
      <w:widowControl w:val="0"/>
      <w:tabs>
        <w:tab w:val="left" w:pos="340"/>
      </w:tabs>
      <w:suppressAutoHyphens/>
      <w:autoSpaceDE w:val="0"/>
      <w:autoSpaceDN w:val="0"/>
      <w:adjustRightInd w:val="0"/>
      <w:spacing w:after="0" w:line="260" w:lineRule="atLeast"/>
      <w:jc w:val="both"/>
      <w:textAlignment w:val="baseline"/>
    </w:pPr>
    <w:rPr>
      <w:rFonts w:ascii="Frutiger 45 Light" w:hAnsi="Frutiger 45 Light" w:cs="Frutiger 45 Light"/>
      <w:color w:val="000000"/>
      <w:sz w:val="17"/>
      <w:szCs w:val="17"/>
      <w:lang w:eastAsia="zh-TW"/>
    </w:rPr>
  </w:style>
  <w:style w:type="paragraph" w:customStyle="1" w:styleId="EFinancialHiglight">
    <w:name w:val="E Financial Higlight"/>
    <w:basedOn w:val="Evisualpagestxt"/>
    <w:uiPriority w:val="99"/>
    <w:rsid w:val="00784293"/>
    <w:pPr>
      <w:tabs>
        <w:tab w:val="left" w:pos="340"/>
        <w:tab w:val="left" w:pos="380"/>
      </w:tabs>
      <w:spacing w:after="0" w:line="260" w:lineRule="atLeast"/>
    </w:pPr>
    <w:rPr>
      <w:sz w:val="20"/>
      <w:szCs w:val="20"/>
    </w:rPr>
  </w:style>
  <w:style w:type="character" w:customStyle="1" w:styleId="EbodytextChar">
    <w:name w:val="E bodytext Char"/>
    <w:basedOn w:val="DefaultParagraphFont"/>
    <w:link w:val="Ebodytext"/>
    <w:uiPriority w:val="99"/>
    <w:locked/>
    <w:rsid w:val="00784293"/>
    <w:rPr>
      <w:rFonts w:ascii="Frutiger 45 Light" w:hAnsi="Frutiger 45 Light" w:cs="Frutiger 45 Light"/>
      <w:color w:val="000000"/>
      <w:sz w:val="17"/>
      <w:szCs w:val="17"/>
      <w:lang w:val="en-GB" w:eastAsia="zh-TW"/>
    </w:rPr>
  </w:style>
  <w:style w:type="paragraph" w:styleId="EndnoteText">
    <w:name w:val="endnote text"/>
    <w:basedOn w:val="Normal"/>
    <w:link w:val="EndnoteTextChar"/>
    <w:uiPriority w:val="99"/>
    <w:semiHidden/>
    <w:rsid w:val="00EC7C9A"/>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EC7C9A"/>
    <w:rPr>
      <w:rFonts w:cs="Times New Roman"/>
      <w:lang w:val="en-GB"/>
    </w:rPr>
  </w:style>
  <w:style w:type="character" w:styleId="EndnoteReference">
    <w:name w:val="endnote reference"/>
    <w:basedOn w:val="DefaultParagraphFont"/>
    <w:uiPriority w:val="99"/>
    <w:semiHidden/>
    <w:rsid w:val="00EC7C9A"/>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282808944">
      <w:marLeft w:val="0"/>
      <w:marRight w:val="0"/>
      <w:marTop w:val="0"/>
      <w:marBottom w:val="0"/>
      <w:divBdr>
        <w:top w:val="none" w:sz="0" w:space="0" w:color="auto"/>
        <w:left w:val="none" w:sz="0" w:space="0" w:color="auto"/>
        <w:bottom w:val="none" w:sz="0" w:space="0" w:color="auto"/>
        <w:right w:val="none" w:sz="0" w:space="0" w:color="auto"/>
      </w:divBdr>
    </w:div>
    <w:div w:id="1282808945">
      <w:marLeft w:val="0"/>
      <w:marRight w:val="0"/>
      <w:marTop w:val="0"/>
      <w:marBottom w:val="0"/>
      <w:divBdr>
        <w:top w:val="none" w:sz="0" w:space="0" w:color="auto"/>
        <w:left w:val="none" w:sz="0" w:space="0" w:color="auto"/>
        <w:bottom w:val="none" w:sz="0" w:space="0" w:color="auto"/>
        <w:right w:val="none" w:sz="0" w:space="0" w:color="auto"/>
      </w:divBdr>
    </w:div>
    <w:div w:id="1282808946">
      <w:marLeft w:val="0"/>
      <w:marRight w:val="0"/>
      <w:marTop w:val="0"/>
      <w:marBottom w:val="0"/>
      <w:divBdr>
        <w:top w:val="none" w:sz="0" w:space="0" w:color="auto"/>
        <w:left w:val="none" w:sz="0" w:space="0" w:color="auto"/>
        <w:bottom w:val="none" w:sz="0" w:space="0" w:color="auto"/>
        <w:right w:val="none" w:sz="0" w:space="0" w:color="auto"/>
      </w:divBdr>
    </w:div>
    <w:div w:id="1282808947">
      <w:marLeft w:val="0"/>
      <w:marRight w:val="0"/>
      <w:marTop w:val="0"/>
      <w:marBottom w:val="0"/>
      <w:divBdr>
        <w:top w:val="none" w:sz="0" w:space="0" w:color="auto"/>
        <w:left w:val="none" w:sz="0" w:space="0" w:color="auto"/>
        <w:bottom w:val="none" w:sz="0" w:space="0" w:color="auto"/>
        <w:right w:val="none" w:sz="0" w:space="0" w:color="auto"/>
      </w:divBdr>
    </w:div>
    <w:div w:id="1282808948">
      <w:marLeft w:val="0"/>
      <w:marRight w:val="0"/>
      <w:marTop w:val="0"/>
      <w:marBottom w:val="0"/>
      <w:divBdr>
        <w:top w:val="none" w:sz="0" w:space="0" w:color="auto"/>
        <w:left w:val="none" w:sz="0" w:space="0" w:color="auto"/>
        <w:bottom w:val="none" w:sz="0" w:space="0" w:color="auto"/>
        <w:right w:val="none" w:sz="0" w:space="0" w:color="auto"/>
      </w:divBdr>
    </w:div>
    <w:div w:id="1282808949">
      <w:marLeft w:val="0"/>
      <w:marRight w:val="0"/>
      <w:marTop w:val="0"/>
      <w:marBottom w:val="0"/>
      <w:divBdr>
        <w:top w:val="none" w:sz="0" w:space="0" w:color="auto"/>
        <w:left w:val="none" w:sz="0" w:space="0" w:color="auto"/>
        <w:bottom w:val="none" w:sz="0" w:space="0" w:color="auto"/>
        <w:right w:val="none" w:sz="0" w:space="0" w:color="auto"/>
      </w:divBdr>
      <w:divsChild>
        <w:div w:id="1282808954">
          <w:marLeft w:val="994"/>
          <w:marRight w:val="0"/>
          <w:marTop w:val="60"/>
          <w:marBottom w:val="60"/>
          <w:divBdr>
            <w:top w:val="none" w:sz="0" w:space="0" w:color="auto"/>
            <w:left w:val="none" w:sz="0" w:space="0" w:color="auto"/>
            <w:bottom w:val="none" w:sz="0" w:space="0" w:color="auto"/>
            <w:right w:val="none" w:sz="0" w:space="0" w:color="auto"/>
          </w:divBdr>
        </w:div>
        <w:div w:id="1282808958">
          <w:marLeft w:val="994"/>
          <w:marRight w:val="0"/>
          <w:marTop w:val="60"/>
          <w:marBottom w:val="60"/>
          <w:divBdr>
            <w:top w:val="none" w:sz="0" w:space="0" w:color="auto"/>
            <w:left w:val="none" w:sz="0" w:space="0" w:color="auto"/>
            <w:bottom w:val="none" w:sz="0" w:space="0" w:color="auto"/>
            <w:right w:val="none" w:sz="0" w:space="0" w:color="auto"/>
          </w:divBdr>
        </w:div>
        <w:div w:id="1282808959">
          <w:marLeft w:val="274"/>
          <w:marRight w:val="0"/>
          <w:marTop w:val="60"/>
          <w:marBottom w:val="60"/>
          <w:divBdr>
            <w:top w:val="none" w:sz="0" w:space="0" w:color="auto"/>
            <w:left w:val="none" w:sz="0" w:space="0" w:color="auto"/>
            <w:bottom w:val="none" w:sz="0" w:space="0" w:color="auto"/>
            <w:right w:val="none" w:sz="0" w:space="0" w:color="auto"/>
          </w:divBdr>
        </w:div>
        <w:div w:id="1282808963">
          <w:marLeft w:val="274"/>
          <w:marRight w:val="0"/>
          <w:marTop w:val="60"/>
          <w:marBottom w:val="60"/>
          <w:divBdr>
            <w:top w:val="none" w:sz="0" w:space="0" w:color="auto"/>
            <w:left w:val="none" w:sz="0" w:space="0" w:color="auto"/>
            <w:bottom w:val="none" w:sz="0" w:space="0" w:color="auto"/>
            <w:right w:val="none" w:sz="0" w:space="0" w:color="auto"/>
          </w:divBdr>
        </w:div>
        <w:div w:id="1282808965">
          <w:marLeft w:val="274"/>
          <w:marRight w:val="0"/>
          <w:marTop w:val="60"/>
          <w:marBottom w:val="60"/>
          <w:divBdr>
            <w:top w:val="none" w:sz="0" w:space="0" w:color="auto"/>
            <w:left w:val="none" w:sz="0" w:space="0" w:color="auto"/>
            <w:bottom w:val="none" w:sz="0" w:space="0" w:color="auto"/>
            <w:right w:val="none" w:sz="0" w:space="0" w:color="auto"/>
          </w:divBdr>
        </w:div>
        <w:div w:id="1282808966">
          <w:marLeft w:val="994"/>
          <w:marRight w:val="0"/>
          <w:marTop w:val="60"/>
          <w:marBottom w:val="60"/>
          <w:divBdr>
            <w:top w:val="none" w:sz="0" w:space="0" w:color="auto"/>
            <w:left w:val="none" w:sz="0" w:space="0" w:color="auto"/>
            <w:bottom w:val="none" w:sz="0" w:space="0" w:color="auto"/>
            <w:right w:val="none" w:sz="0" w:space="0" w:color="auto"/>
          </w:divBdr>
        </w:div>
        <w:div w:id="1282808967">
          <w:marLeft w:val="274"/>
          <w:marRight w:val="0"/>
          <w:marTop w:val="60"/>
          <w:marBottom w:val="60"/>
          <w:divBdr>
            <w:top w:val="none" w:sz="0" w:space="0" w:color="auto"/>
            <w:left w:val="none" w:sz="0" w:space="0" w:color="auto"/>
            <w:bottom w:val="none" w:sz="0" w:space="0" w:color="auto"/>
            <w:right w:val="none" w:sz="0" w:space="0" w:color="auto"/>
          </w:divBdr>
        </w:div>
        <w:div w:id="1282808968">
          <w:marLeft w:val="274"/>
          <w:marRight w:val="0"/>
          <w:marTop w:val="60"/>
          <w:marBottom w:val="60"/>
          <w:divBdr>
            <w:top w:val="none" w:sz="0" w:space="0" w:color="auto"/>
            <w:left w:val="none" w:sz="0" w:space="0" w:color="auto"/>
            <w:bottom w:val="none" w:sz="0" w:space="0" w:color="auto"/>
            <w:right w:val="none" w:sz="0" w:space="0" w:color="auto"/>
          </w:divBdr>
        </w:div>
        <w:div w:id="1282808970">
          <w:marLeft w:val="274"/>
          <w:marRight w:val="0"/>
          <w:marTop w:val="60"/>
          <w:marBottom w:val="60"/>
          <w:divBdr>
            <w:top w:val="none" w:sz="0" w:space="0" w:color="auto"/>
            <w:left w:val="none" w:sz="0" w:space="0" w:color="auto"/>
            <w:bottom w:val="none" w:sz="0" w:space="0" w:color="auto"/>
            <w:right w:val="none" w:sz="0" w:space="0" w:color="auto"/>
          </w:divBdr>
        </w:div>
      </w:divsChild>
    </w:div>
    <w:div w:id="1282808950">
      <w:marLeft w:val="0"/>
      <w:marRight w:val="0"/>
      <w:marTop w:val="0"/>
      <w:marBottom w:val="0"/>
      <w:divBdr>
        <w:top w:val="none" w:sz="0" w:space="0" w:color="auto"/>
        <w:left w:val="none" w:sz="0" w:space="0" w:color="auto"/>
        <w:bottom w:val="none" w:sz="0" w:space="0" w:color="auto"/>
        <w:right w:val="none" w:sz="0" w:space="0" w:color="auto"/>
      </w:divBdr>
    </w:div>
    <w:div w:id="1282808951">
      <w:marLeft w:val="0"/>
      <w:marRight w:val="0"/>
      <w:marTop w:val="0"/>
      <w:marBottom w:val="0"/>
      <w:divBdr>
        <w:top w:val="none" w:sz="0" w:space="0" w:color="auto"/>
        <w:left w:val="none" w:sz="0" w:space="0" w:color="auto"/>
        <w:bottom w:val="none" w:sz="0" w:space="0" w:color="auto"/>
        <w:right w:val="none" w:sz="0" w:space="0" w:color="auto"/>
      </w:divBdr>
    </w:div>
    <w:div w:id="1282808952">
      <w:marLeft w:val="0"/>
      <w:marRight w:val="0"/>
      <w:marTop w:val="0"/>
      <w:marBottom w:val="0"/>
      <w:divBdr>
        <w:top w:val="none" w:sz="0" w:space="0" w:color="auto"/>
        <w:left w:val="none" w:sz="0" w:space="0" w:color="auto"/>
        <w:bottom w:val="none" w:sz="0" w:space="0" w:color="auto"/>
        <w:right w:val="none" w:sz="0" w:space="0" w:color="auto"/>
      </w:divBdr>
    </w:div>
    <w:div w:id="1282808953">
      <w:marLeft w:val="0"/>
      <w:marRight w:val="0"/>
      <w:marTop w:val="0"/>
      <w:marBottom w:val="0"/>
      <w:divBdr>
        <w:top w:val="none" w:sz="0" w:space="0" w:color="auto"/>
        <w:left w:val="none" w:sz="0" w:space="0" w:color="auto"/>
        <w:bottom w:val="none" w:sz="0" w:space="0" w:color="auto"/>
        <w:right w:val="none" w:sz="0" w:space="0" w:color="auto"/>
      </w:divBdr>
    </w:div>
    <w:div w:id="1282808955">
      <w:marLeft w:val="0"/>
      <w:marRight w:val="0"/>
      <w:marTop w:val="0"/>
      <w:marBottom w:val="0"/>
      <w:divBdr>
        <w:top w:val="none" w:sz="0" w:space="0" w:color="auto"/>
        <w:left w:val="none" w:sz="0" w:space="0" w:color="auto"/>
        <w:bottom w:val="none" w:sz="0" w:space="0" w:color="auto"/>
        <w:right w:val="none" w:sz="0" w:space="0" w:color="auto"/>
      </w:divBdr>
    </w:div>
    <w:div w:id="1282808956">
      <w:marLeft w:val="0"/>
      <w:marRight w:val="0"/>
      <w:marTop w:val="0"/>
      <w:marBottom w:val="0"/>
      <w:divBdr>
        <w:top w:val="none" w:sz="0" w:space="0" w:color="auto"/>
        <w:left w:val="none" w:sz="0" w:space="0" w:color="auto"/>
        <w:bottom w:val="none" w:sz="0" w:space="0" w:color="auto"/>
        <w:right w:val="none" w:sz="0" w:space="0" w:color="auto"/>
      </w:divBdr>
    </w:div>
    <w:div w:id="1282808957">
      <w:marLeft w:val="0"/>
      <w:marRight w:val="0"/>
      <w:marTop w:val="0"/>
      <w:marBottom w:val="0"/>
      <w:divBdr>
        <w:top w:val="none" w:sz="0" w:space="0" w:color="auto"/>
        <w:left w:val="none" w:sz="0" w:space="0" w:color="auto"/>
        <w:bottom w:val="none" w:sz="0" w:space="0" w:color="auto"/>
        <w:right w:val="none" w:sz="0" w:space="0" w:color="auto"/>
      </w:divBdr>
    </w:div>
    <w:div w:id="1282808960">
      <w:marLeft w:val="0"/>
      <w:marRight w:val="0"/>
      <w:marTop w:val="0"/>
      <w:marBottom w:val="0"/>
      <w:divBdr>
        <w:top w:val="none" w:sz="0" w:space="0" w:color="auto"/>
        <w:left w:val="none" w:sz="0" w:space="0" w:color="auto"/>
        <w:bottom w:val="none" w:sz="0" w:space="0" w:color="auto"/>
        <w:right w:val="none" w:sz="0" w:space="0" w:color="auto"/>
      </w:divBdr>
    </w:div>
    <w:div w:id="1282808961">
      <w:marLeft w:val="0"/>
      <w:marRight w:val="0"/>
      <w:marTop w:val="0"/>
      <w:marBottom w:val="0"/>
      <w:divBdr>
        <w:top w:val="none" w:sz="0" w:space="0" w:color="auto"/>
        <w:left w:val="none" w:sz="0" w:space="0" w:color="auto"/>
        <w:bottom w:val="none" w:sz="0" w:space="0" w:color="auto"/>
        <w:right w:val="none" w:sz="0" w:space="0" w:color="auto"/>
      </w:divBdr>
    </w:div>
    <w:div w:id="1282808962">
      <w:marLeft w:val="0"/>
      <w:marRight w:val="0"/>
      <w:marTop w:val="0"/>
      <w:marBottom w:val="0"/>
      <w:divBdr>
        <w:top w:val="none" w:sz="0" w:space="0" w:color="auto"/>
        <w:left w:val="none" w:sz="0" w:space="0" w:color="auto"/>
        <w:bottom w:val="none" w:sz="0" w:space="0" w:color="auto"/>
        <w:right w:val="none" w:sz="0" w:space="0" w:color="auto"/>
      </w:divBdr>
    </w:div>
    <w:div w:id="1282808964">
      <w:marLeft w:val="0"/>
      <w:marRight w:val="0"/>
      <w:marTop w:val="0"/>
      <w:marBottom w:val="0"/>
      <w:divBdr>
        <w:top w:val="none" w:sz="0" w:space="0" w:color="auto"/>
        <w:left w:val="none" w:sz="0" w:space="0" w:color="auto"/>
        <w:bottom w:val="none" w:sz="0" w:space="0" w:color="auto"/>
        <w:right w:val="none" w:sz="0" w:space="0" w:color="auto"/>
      </w:divBdr>
    </w:div>
    <w:div w:id="1282808969">
      <w:marLeft w:val="0"/>
      <w:marRight w:val="0"/>
      <w:marTop w:val="0"/>
      <w:marBottom w:val="0"/>
      <w:divBdr>
        <w:top w:val="none" w:sz="0" w:space="0" w:color="auto"/>
        <w:left w:val="none" w:sz="0" w:space="0" w:color="auto"/>
        <w:bottom w:val="none" w:sz="0" w:space="0" w:color="auto"/>
        <w:right w:val="none" w:sz="0" w:space="0" w:color="auto"/>
      </w:divBdr>
    </w:div>
    <w:div w:id="12828089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lliam.yue@samsonit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msonite@newgatecomm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onathan.yang@artemisassociates.com" TargetMode="External"/><Relationship Id="rId4" Type="http://schemas.openxmlformats.org/officeDocument/2006/relationships/webSettings" Target="webSettings.xml"/><Relationship Id="rId9" Type="http://schemas.openxmlformats.org/officeDocument/2006/relationships/hyperlink" Target="mailto:vanita.sehgal@artemisassociates.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9</Pages>
  <Words>3672</Words>
  <Characters>20199</Characters>
  <Application>Microsoft Office Outlook</Application>
  <DocSecurity>0</DocSecurity>
  <Lines>0</Lines>
  <Paragraphs>0</Paragraphs>
  <ScaleCrop>false</ScaleCrop>
  <Company>Samsonite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Withers</dc:creator>
  <cp:keywords/>
  <dc:description/>
  <cp:lastModifiedBy>HP</cp:lastModifiedBy>
  <cp:revision>4</cp:revision>
  <cp:lastPrinted>2015-08-14T06:48:00Z</cp:lastPrinted>
  <dcterms:created xsi:type="dcterms:W3CDTF">2015-08-20T11:47:00Z</dcterms:created>
  <dcterms:modified xsi:type="dcterms:W3CDTF">2015-08-26T07:51:00Z</dcterms:modified>
</cp:coreProperties>
</file>