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8F5D06" w:rsidRPr="003854EF" w14:paraId="2A9973C8" w14:textId="77777777" w:rsidTr="008B0BFB">
        <w:trPr>
          <w:trHeight w:val="433"/>
        </w:trPr>
        <w:tc>
          <w:tcPr>
            <w:tcW w:w="7621" w:type="dxa"/>
            <w:gridSpan w:val="2"/>
          </w:tcPr>
          <w:p w14:paraId="540DB4AE" w14:textId="6216EA26" w:rsidR="008F5D06" w:rsidRPr="003854EF" w:rsidRDefault="00900C05" w:rsidP="00B81927">
            <w:pPr>
              <w:rPr>
                <w:b/>
                <w:bCs/>
                <w:color w:val="00A0CB"/>
                <w:spacing w:val="38"/>
                <w:sz w:val="36"/>
                <w:szCs w:val="36"/>
                <w:lang w:val="nl-NL"/>
              </w:rPr>
            </w:pPr>
            <w:r w:rsidRPr="003854EF">
              <w:rPr>
                <w:rFonts w:cs="Arial"/>
                <w:noProof/>
                <w:sz w:val="28"/>
                <w:szCs w:val="28"/>
                <w:lang w:val="nl-NL"/>
              </w:rPr>
              <w:drawing>
                <wp:anchor distT="0" distB="0" distL="114300" distR="114300" simplePos="0" relativeHeight="251660288" behindDoc="1" locked="0" layoutInCell="1" allowOverlap="1" wp14:anchorId="699506D6" wp14:editId="6E01A2BE">
                  <wp:simplePos x="0" y="0"/>
                  <wp:positionH relativeFrom="column">
                    <wp:posOffset>4423410</wp:posOffset>
                  </wp:positionH>
                  <wp:positionV relativeFrom="paragraph">
                    <wp:posOffset>5080</wp:posOffset>
                  </wp:positionV>
                  <wp:extent cx="1634490" cy="20027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5 at 10.42.03.png"/>
                          <pic:cNvPicPr/>
                        </pic:nvPicPr>
                        <pic:blipFill>
                          <a:blip r:embed="rId8">
                            <a:extLst>
                              <a:ext uri="{28A0092B-C50C-407E-A947-70E740481C1C}">
                                <a14:useLocalDpi xmlns:a14="http://schemas.microsoft.com/office/drawing/2010/main" val="0"/>
                              </a:ext>
                            </a:extLst>
                          </a:blip>
                          <a:stretch>
                            <a:fillRect/>
                          </a:stretch>
                        </pic:blipFill>
                        <pic:spPr>
                          <a:xfrm>
                            <a:off x="0" y="0"/>
                            <a:ext cx="1634490" cy="2002790"/>
                          </a:xfrm>
                          <a:prstGeom prst="rect">
                            <a:avLst/>
                          </a:prstGeom>
                        </pic:spPr>
                      </pic:pic>
                    </a:graphicData>
                  </a:graphic>
                  <wp14:sizeRelH relativeFrom="page">
                    <wp14:pctWidth>0</wp14:pctWidth>
                  </wp14:sizeRelH>
                  <wp14:sizeRelV relativeFrom="page">
                    <wp14:pctHeight>0</wp14:pctHeight>
                  </wp14:sizeRelV>
                </wp:anchor>
              </w:drawing>
            </w:r>
            <w:r w:rsidR="00B81927">
              <w:rPr>
                <w:b/>
                <w:bCs/>
                <w:color w:val="00A0CB"/>
                <w:spacing w:val="38"/>
                <w:sz w:val="36"/>
                <w:szCs w:val="36"/>
                <w:lang w:val="nl-NL"/>
              </w:rPr>
              <w:t>Vraag aan een expert</w:t>
            </w:r>
          </w:p>
        </w:tc>
        <w:tc>
          <w:tcPr>
            <w:tcW w:w="1902" w:type="dxa"/>
            <w:vMerge w:val="restart"/>
          </w:tcPr>
          <w:p w14:paraId="2CD96236" w14:textId="38BAA6CE" w:rsidR="008F5D06" w:rsidRPr="003854EF" w:rsidRDefault="008F5D06" w:rsidP="008B0BFB">
            <w:pPr>
              <w:rPr>
                <w:rFonts w:ascii="Calibri" w:hAnsi="Calibri"/>
                <w:sz w:val="24"/>
                <w:lang w:val="nl-NL"/>
              </w:rPr>
            </w:pPr>
          </w:p>
        </w:tc>
      </w:tr>
      <w:tr w:rsidR="008F5D06" w:rsidRPr="003854EF" w14:paraId="0BFC55F3" w14:textId="77777777" w:rsidTr="008B0BFB">
        <w:trPr>
          <w:trHeight w:val="1680"/>
        </w:trPr>
        <w:tc>
          <w:tcPr>
            <w:tcW w:w="5642" w:type="dxa"/>
          </w:tcPr>
          <w:p w14:paraId="5AB8B749" w14:textId="38E0413E" w:rsidR="008F5D06" w:rsidRPr="003854EF" w:rsidRDefault="00F01F97" w:rsidP="008B0BFB">
            <w:pPr>
              <w:spacing w:line="280" w:lineRule="exact"/>
              <w:jc w:val="both"/>
              <w:rPr>
                <w:rFonts w:cs="Arial"/>
                <w:sz w:val="28"/>
                <w:szCs w:val="28"/>
                <w:lang w:val="nl-NL"/>
              </w:rPr>
            </w:pPr>
            <w:r w:rsidRPr="003854EF">
              <w:rPr>
                <w:b/>
                <w:sz w:val="28"/>
                <w:szCs w:val="28"/>
                <w:lang w:val="nl-NL"/>
              </w:rPr>
              <w:t>Thuiswerk, nog altijd actueel?</w:t>
            </w:r>
          </w:p>
          <w:p w14:paraId="7B5C5CCF" w14:textId="77777777" w:rsidR="008F5D06" w:rsidRPr="003854EF" w:rsidRDefault="008F5D06" w:rsidP="008B0BFB">
            <w:pPr>
              <w:spacing w:line="280" w:lineRule="exact"/>
              <w:jc w:val="both"/>
              <w:rPr>
                <w:rFonts w:cs="Arial"/>
                <w:sz w:val="28"/>
                <w:szCs w:val="28"/>
                <w:lang w:val="nl-NL"/>
              </w:rPr>
            </w:pPr>
          </w:p>
          <w:p w14:paraId="2161639E" w14:textId="77777777" w:rsidR="008F5D06" w:rsidRPr="003854EF" w:rsidRDefault="008F5D06" w:rsidP="008B0BFB">
            <w:pPr>
              <w:spacing w:line="280" w:lineRule="exact"/>
              <w:jc w:val="both"/>
              <w:rPr>
                <w:rFonts w:cs="Arial"/>
                <w:sz w:val="28"/>
                <w:szCs w:val="28"/>
                <w:lang w:val="nl-NL"/>
              </w:rPr>
            </w:pPr>
          </w:p>
          <w:p w14:paraId="303765F6" w14:textId="72A405FB" w:rsidR="008F5D06" w:rsidRPr="003854EF" w:rsidRDefault="008F5D06" w:rsidP="008B0BFB">
            <w:pPr>
              <w:spacing w:line="280" w:lineRule="exact"/>
              <w:jc w:val="both"/>
              <w:rPr>
                <w:rFonts w:cs="Arial"/>
                <w:sz w:val="28"/>
                <w:szCs w:val="28"/>
                <w:lang w:val="nl-NL"/>
              </w:rPr>
            </w:pPr>
          </w:p>
        </w:tc>
        <w:tc>
          <w:tcPr>
            <w:tcW w:w="1979" w:type="dxa"/>
            <w:vAlign w:val="bottom"/>
          </w:tcPr>
          <w:p w14:paraId="78FEAF31" w14:textId="571528B4" w:rsidR="008F5D06" w:rsidRPr="003854EF" w:rsidRDefault="008F5D06" w:rsidP="008B0BFB">
            <w:pPr>
              <w:jc w:val="right"/>
              <w:rPr>
                <w:rFonts w:cs="Arial"/>
                <w:sz w:val="28"/>
                <w:szCs w:val="28"/>
                <w:lang w:val="nl-NL"/>
              </w:rPr>
            </w:pPr>
          </w:p>
        </w:tc>
        <w:tc>
          <w:tcPr>
            <w:tcW w:w="1902" w:type="dxa"/>
            <w:vMerge/>
          </w:tcPr>
          <w:p w14:paraId="5D93D918" w14:textId="77777777" w:rsidR="008F5D06" w:rsidRPr="003854EF" w:rsidRDefault="008F5D06" w:rsidP="008B0BFB">
            <w:pPr>
              <w:jc w:val="center"/>
              <w:rPr>
                <w:rFonts w:ascii="Calibri" w:hAnsi="Calibri"/>
                <w:sz w:val="24"/>
                <w:lang w:val="nl-NL"/>
              </w:rPr>
            </w:pPr>
          </w:p>
        </w:tc>
      </w:tr>
    </w:tbl>
    <w:p w14:paraId="76972A40" w14:textId="77777777" w:rsidR="00900C05" w:rsidRPr="003854EF" w:rsidRDefault="00900C05" w:rsidP="00900C05">
      <w:pPr>
        <w:autoSpaceDE w:val="0"/>
        <w:autoSpaceDN w:val="0"/>
        <w:adjustRightInd w:val="0"/>
        <w:jc w:val="both"/>
        <w:rPr>
          <w:rFonts w:ascii="Calibri" w:hAnsi="Calibri" w:cs="Arial"/>
          <w:sz w:val="24"/>
          <w:lang w:val="nl-NL"/>
        </w:rPr>
      </w:pPr>
    </w:p>
    <w:p w14:paraId="203CE2BF" w14:textId="77777777" w:rsidR="00900C05" w:rsidRPr="003854EF" w:rsidRDefault="00900C05" w:rsidP="00900C05">
      <w:pPr>
        <w:autoSpaceDE w:val="0"/>
        <w:autoSpaceDN w:val="0"/>
        <w:adjustRightInd w:val="0"/>
        <w:jc w:val="both"/>
        <w:rPr>
          <w:rFonts w:ascii="Calibri" w:hAnsi="Calibri" w:cs="Arial"/>
          <w:sz w:val="24"/>
          <w:lang w:val="nl-NL"/>
        </w:rPr>
      </w:pPr>
    </w:p>
    <w:p w14:paraId="5AD378DA" w14:textId="77777777" w:rsidR="00900C05" w:rsidRPr="003854EF" w:rsidRDefault="00900C05" w:rsidP="00900C05">
      <w:pPr>
        <w:autoSpaceDE w:val="0"/>
        <w:autoSpaceDN w:val="0"/>
        <w:adjustRightInd w:val="0"/>
        <w:jc w:val="both"/>
        <w:rPr>
          <w:rFonts w:ascii="Calibri" w:hAnsi="Calibri" w:cs="Arial"/>
          <w:sz w:val="24"/>
          <w:lang w:val="nl-NL"/>
        </w:rPr>
      </w:pPr>
      <w:bookmarkStart w:id="0" w:name="_GoBack"/>
      <w:bookmarkEnd w:id="0"/>
    </w:p>
    <w:p w14:paraId="19BA6E7D" w14:textId="77777777" w:rsidR="00900C05" w:rsidRPr="003854EF" w:rsidRDefault="00900C05" w:rsidP="00900C05">
      <w:pPr>
        <w:autoSpaceDE w:val="0"/>
        <w:autoSpaceDN w:val="0"/>
        <w:adjustRightInd w:val="0"/>
        <w:jc w:val="right"/>
        <w:rPr>
          <w:rFonts w:ascii="Calibri" w:hAnsi="Calibri" w:cs="Arial"/>
          <w:lang w:val="nl-NL"/>
        </w:rPr>
      </w:pPr>
      <w:r w:rsidRPr="003854EF">
        <w:rPr>
          <w:rFonts w:ascii="Calibri" w:hAnsi="Calibri" w:cs="Arial"/>
          <w:lang w:val="nl-NL"/>
        </w:rPr>
        <w:t>Yves Stox</w:t>
      </w:r>
    </w:p>
    <w:p w14:paraId="202D6470" w14:textId="1D31B38E" w:rsidR="00900C05" w:rsidRPr="003854EF" w:rsidRDefault="00900C05" w:rsidP="00900C05">
      <w:pPr>
        <w:autoSpaceDE w:val="0"/>
        <w:autoSpaceDN w:val="0"/>
        <w:adjustRightInd w:val="0"/>
        <w:jc w:val="right"/>
        <w:rPr>
          <w:rFonts w:ascii="Calibri" w:hAnsi="Calibri" w:cs="Arial"/>
          <w:lang w:val="nl-NL"/>
        </w:rPr>
      </w:pPr>
      <w:r w:rsidRPr="003854EF">
        <w:rPr>
          <w:rFonts w:ascii="Calibri" w:hAnsi="Calibri" w:cs="Arial"/>
          <w:lang w:val="nl-NL"/>
        </w:rPr>
        <w:t xml:space="preserve">Senior Legal Counsel </w:t>
      </w:r>
    </w:p>
    <w:p w14:paraId="6B3784FC" w14:textId="4FCD399A" w:rsidR="00900C05" w:rsidRPr="003854EF" w:rsidRDefault="00900C05" w:rsidP="00900C05">
      <w:pPr>
        <w:autoSpaceDE w:val="0"/>
        <w:autoSpaceDN w:val="0"/>
        <w:adjustRightInd w:val="0"/>
        <w:jc w:val="right"/>
        <w:rPr>
          <w:rFonts w:ascii="Calibri" w:hAnsi="Calibri" w:cs="Arial"/>
          <w:lang w:val="nl-NL"/>
        </w:rPr>
      </w:pPr>
      <w:r w:rsidRPr="003854EF">
        <w:rPr>
          <w:rFonts w:ascii="Calibri" w:hAnsi="Calibri" w:cs="Arial"/>
          <w:lang w:val="nl-NL"/>
        </w:rPr>
        <w:t>Partena Professional</w:t>
      </w:r>
    </w:p>
    <w:p w14:paraId="6A79F1CA" w14:textId="77777777" w:rsidR="008F5D06" w:rsidRPr="003854EF" w:rsidRDefault="008F5D06" w:rsidP="008F5D06">
      <w:pPr>
        <w:autoSpaceDE w:val="0"/>
        <w:autoSpaceDN w:val="0"/>
        <w:adjustRightInd w:val="0"/>
        <w:jc w:val="both"/>
        <w:rPr>
          <w:rFonts w:ascii="Calibri" w:hAnsi="Calibri" w:cs="Arial"/>
          <w:sz w:val="24"/>
          <w:lang w:val="nl-NL"/>
        </w:rPr>
      </w:pPr>
      <w:r w:rsidRPr="003854EF">
        <w:rPr>
          <w:noProof/>
          <w:lang w:val="nl-NL"/>
        </w:rPr>
        <mc:AlternateContent>
          <mc:Choice Requires="wps">
            <w:drawing>
              <wp:anchor distT="4294967293" distB="4294967293" distL="114300" distR="114300" simplePos="0" relativeHeight="251659264" behindDoc="0" locked="0" layoutInCell="1" allowOverlap="1" wp14:anchorId="667AD993" wp14:editId="11F9D989">
                <wp:simplePos x="0" y="0"/>
                <wp:positionH relativeFrom="column">
                  <wp:posOffset>-213360</wp:posOffset>
                </wp:positionH>
                <wp:positionV relativeFrom="paragraph">
                  <wp:posOffset>73025</wp:posOffset>
                </wp:positionV>
                <wp:extent cx="6426835"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FB35A5"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" strokecolor="#f6a500" strokeweight="1pt"/>
            </w:pict>
          </mc:Fallback>
        </mc:AlternateContent>
      </w:r>
    </w:p>
    <w:p w14:paraId="49D8FE45" w14:textId="77777777" w:rsidR="00F01F97" w:rsidRPr="003854EF" w:rsidRDefault="00F01F97" w:rsidP="00900C05">
      <w:pPr>
        <w:spacing w:line="280" w:lineRule="exact"/>
        <w:jc w:val="both"/>
        <w:rPr>
          <w:b/>
          <w:sz w:val="24"/>
          <w:lang w:val="nl-NL"/>
        </w:rPr>
      </w:pPr>
      <w:r w:rsidRPr="003854EF">
        <w:rPr>
          <w:b/>
          <w:sz w:val="24"/>
          <w:lang w:val="nl-NL"/>
        </w:rPr>
        <w:t>Thuiswerken zit in de lift. Volgens de FOD Economie zijn er 20% meer thuiswerkers in vijf jaar tijd. De Informatie- en Communicatietechnologieën (ICT) hebben thuiswerk fundamenteel veranderd. Vandaag zijn er vele combinaties en vormen mogelijk. Werken vanuit thuis in combinatie met werken op een satellietkantoor, de rustige koffiebar op de hoek, of in de trein op weg naar het werk.  Het kan voltijds of deeltijds, in een vast patroon of af en toe.</w:t>
      </w:r>
    </w:p>
    <w:p w14:paraId="0416CA4C" w14:textId="77777777" w:rsidR="008D0215" w:rsidRPr="003854EF" w:rsidRDefault="008D0215" w:rsidP="00900C05">
      <w:pPr>
        <w:spacing w:line="280" w:lineRule="exact"/>
        <w:jc w:val="both"/>
        <w:rPr>
          <w:rFonts w:cs="Arial"/>
          <w:sz w:val="24"/>
          <w:lang w:val="nl-NL"/>
        </w:rPr>
      </w:pPr>
    </w:p>
    <w:p w14:paraId="000B5A04" w14:textId="541D2829" w:rsidR="0085165B" w:rsidRPr="003854EF" w:rsidRDefault="00F01F97" w:rsidP="00900C05">
      <w:pPr>
        <w:spacing w:line="280" w:lineRule="exact"/>
        <w:jc w:val="both"/>
        <w:rPr>
          <w:rFonts w:cs="Arial"/>
          <w:b/>
          <w:color w:val="00A0CB"/>
          <w:sz w:val="24"/>
          <w:lang w:val="nl-NL"/>
        </w:rPr>
      </w:pPr>
      <w:r w:rsidRPr="003854EF">
        <w:rPr>
          <w:rFonts w:cs="Arial"/>
          <w:b/>
          <w:color w:val="00A0CB"/>
          <w:sz w:val="24"/>
          <w:lang w:val="nl-NL"/>
        </w:rPr>
        <w:t xml:space="preserve">Wat is het verschil tussen een huisarbeider en een telewerker? </w:t>
      </w:r>
    </w:p>
    <w:p w14:paraId="61C9C9BF" w14:textId="356B2F47" w:rsidR="005F027C" w:rsidRPr="003854EF" w:rsidRDefault="00F01F97" w:rsidP="00900C05">
      <w:pPr>
        <w:jc w:val="both"/>
        <w:rPr>
          <w:rFonts w:cs="Arial"/>
          <w:szCs w:val="20"/>
          <w:lang w:val="nl-NL"/>
        </w:rPr>
      </w:pPr>
      <w:r w:rsidRPr="003854EF">
        <w:rPr>
          <w:rFonts w:cs="Arial"/>
          <w:sz w:val="22"/>
          <w:szCs w:val="20"/>
          <w:lang w:val="nl-NL"/>
        </w:rPr>
        <w:t xml:space="preserve">De werknemer die kiest waar hij werkt, zonder toezicht of rechtstreekse controle van de werkgever is een huisarbeider (Titel VI Arbeidsovereenkomstenwet 1978). Maakt deze huisarbeider gebruikt van ICT, dan is hij een telewerker (cao nr. 85). Voorwaarde is wel dat het telewerk “op regelmatige basis” wordt uitgevoerd.   </w:t>
      </w:r>
    </w:p>
    <w:p w14:paraId="154D8A11" w14:textId="77777777" w:rsidR="008F5D06" w:rsidRPr="003854EF" w:rsidRDefault="008F5D06" w:rsidP="00900C05">
      <w:pPr>
        <w:spacing w:line="280" w:lineRule="exact"/>
        <w:jc w:val="both"/>
        <w:rPr>
          <w:rFonts w:cs="Arial"/>
          <w:sz w:val="22"/>
          <w:szCs w:val="22"/>
          <w:lang w:val="nl-NL"/>
        </w:rPr>
      </w:pPr>
    </w:p>
    <w:p w14:paraId="2498D524" w14:textId="7516A281" w:rsidR="008F5D06" w:rsidRPr="003854EF" w:rsidRDefault="00F01F97" w:rsidP="00900C05">
      <w:pPr>
        <w:spacing w:line="280" w:lineRule="exact"/>
        <w:jc w:val="both"/>
        <w:rPr>
          <w:rFonts w:cs="Arial"/>
          <w:sz w:val="22"/>
          <w:szCs w:val="22"/>
          <w:lang w:val="nl-NL"/>
        </w:rPr>
      </w:pPr>
      <w:r w:rsidRPr="003854EF">
        <w:rPr>
          <w:rFonts w:cs="Arial"/>
          <w:b/>
          <w:color w:val="00A0CB"/>
          <w:sz w:val="24"/>
          <w:lang w:val="nl-NL"/>
        </w:rPr>
        <w:t>Wat moeten we verstaan onder het begrip “regelmatig”?</w:t>
      </w:r>
    </w:p>
    <w:p w14:paraId="5B744A87" w14:textId="1ABA1895" w:rsidR="00F01F97" w:rsidRPr="003854EF" w:rsidRDefault="00F01F97" w:rsidP="00900C05">
      <w:pPr>
        <w:jc w:val="both"/>
        <w:rPr>
          <w:sz w:val="22"/>
          <w:szCs w:val="22"/>
          <w:lang w:val="nl-NL"/>
        </w:rPr>
      </w:pPr>
      <w:r w:rsidRPr="003854EF">
        <w:rPr>
          <w:sz w:val="22"/>
          <w:szCs w:val="22"/>
          <w:lang w:val="nl-NL"/>
        </w:rPr>
        <w:t>Een definitie van “regelmatig” ontbreekt. Wanneer “af en toe telewerken” verandert in “regelmatig telewerken”, is niet duidelijk. Werken in een koffiebar kan dus telewerk zijn. Werken in een satellietkantoor van de werkgever is dat nooit. Mobiele technici of handelsvertegenwoordigers zijn ook geen telewerkers, ook niet als ze regelmatig een stukje van thuis uit werken.</w:t>
      </w:r>
    </w:p>
    <w:p w14:paraId="0F27A197" w14:textId="77777777" w:rsidR="00900C05" w:rsidRPr="003854EF" w:rsidRDefault="00900C05" w:rsidP="00900C05">
      <w:pPr>
        <w:jc w:val="both"/>
        <w:rPr>
          <w:lang w:val="nl-NL"/>
        </w:rPr>
      </w:pPr>
    </w:p>
    <w:p w14:paraId="02E8B0CA" w14:textId="77777777" w:rsidR="00F01F97" w:rsidRPr="003854EF" w:rsidRDefault="00F01F97" w:rsidP="00900C05">
      <w:pPr>
        <w:jc w:val="both"/>
        <w:rPr>
          <w:rFonts w:cs="Arial"/>
          <w:b/>
          <w:color w:val="00A0CB"/>
          <w:sz w:val="24"/>
          <w:lang w:val="nl-NL"/>
        </w:rPr>
      </w:pPr>
      <w:r w:rsidRPr="003854EF">
        <w:rPr>
          <w:rFonts w:cs="Arial"/>
          <w:b/>
          <w:color w:val="00A0CB"/>
          <w:sz w:val="24"/>
          <w:lang w:val="nl-NL"/>
        </w:rPr>
        <w:t>Biedt het formaliseren van het telethuiswerk steeds een oplossing?</w:t>
      </w:r>
    </w:p>
    <w:p w14:paraId="212360DF" w14:textId="09320338" w:rsidR="00F01F97" w:rsidRPr="003854EF" w:rsidRDefault="00F01F97" w:rsidP="00900C05">
      <w:pPr>
        <w:jc w:val="both"/>
        <w:rPr>
          <w:sz w:val="22"/>
          <w:szCs w:val="22"/>
          <w:lang w:val="nl-NL"/>
        </w:rPr>
      </w:pPr>
      <w:r w:rsidRPr="003854EF">
        <w:rPr>
          <w:sz w:val="22"/>
          <w:szCs w:val="22"/>
          <w:lang w:val="nl-NL"/>
        </w:rPr>
        <w:t xml:space="preserve">De werkgever kan zijn werknemers de kans geven om van thuis uit te werken, maar het is erg belangrijk om die afspraken te formaliseren in de arbeidsovereenkomst of in een bijlage aan de arbeidsovereenkomst. Het Plan Peeters “Werkbaar en Wendbaar Werk” wil een juridisch kader uitwerken, toegespitst op occasioneel telewerk. Toch hoeven werkgevers niet te wachten om zelf al actie te ondernemen. Werkgever en werknemer moeten sowieso een aantal afspraken maken, en dat kan nu al. </w:t>
      </w:r>
    </w:p>
    <w:p w14:paraId="6D994CE8" w14:textId="77777777" w:rsidR="00F01F97" w:rsidRPr="003854EF" w:rsidRDefault="00F01F97" w:rsidP="00900C05">
      <w:pPr>
        <w:jc w:val="both"/>
        <w:rPr>
          <w:sz w:val="24"/>
          <w:lang w:val="nl-NL"/>
        </w:rPr>
      </w:pPr>
    </w:p>
    <w:p w14:paraId="654805D4" w14:textId="77777777" w:rsidR="00F01F97" w:rsidRPr="003854EF" w:rsidRDefault="00F01F97" w:rsidP="00900C05">
      <w:pPr>
        <w:jc w:val="both"/>
        <w:rPr>
          <w:rFonts w:cs="Arial"/>
          <w:b/>
          <w:color w:val="00A0CB"/>
          <w:sz w:val="24"/>
          <w:lang w:val="nl-NL"/>
        </w:rPr>
      </w:pPr>
      <w:r w:rsidRPr="003854EF">
        <w:rPr>
          <w:rFonts w:cs="Arial"/>
          <w:b/>
          <w:color w:val="00A0CB"/>
          <w:sz w:val="24"/>
          <w:lang w:val="nl-NL"/>
        </w:rPr>
        <w:t>Welke risico's loopt de werkgever indien een akkoord met de werknemers niet geformaliseerd wordt?</w:t>
      </w:r>
    </w:p>
    <w:p w14:paraId="17148669" w14:textId="77777777" w:rsidR="00F01F97" w:rsidRPr="003854EF" w:rsidRDefault="00F01F97" w:rsidP="00900C05">
      <w:pPr>
        <w:jc w:val="both"/>
        <w:rPr>
          <w:sz w:val="22"/>
          <w:szCs w:val="22"/>
          <w:lang w:val="nl-NL"/>
        </w:rPr>
      </w:pPr>
      <w:r w:rsidRPr="003854EF">
        <w:rPr>
          <w:sz w:val="22"/>
          <w:szCs w:val="22"/>
          <w:lang w:val="nl-NL"/>
        </w:rPr>
        <w:t>Stel dat een werkgever zijn medewerkers toestaat om te telewerken zonder  voorafgaand akkoord vastgelegd in een overeenkomst. De werknemer kan dan van thuis werken in overleg met het team of de manager. Dat gebeurt dus af en toe. Het is echter niet zo gemakkelijk om te bepalen of dat thuiswerk “op regelmatige basis” is.</w:t>
      </w:r>
    </w:p>
    <w:p w14:paraId="3243611F" w14:textId="77777777" w:rsidR="00F01F97" w:rsidRPr="003854EF" w:rsidRDefault="00F01F97" w:rsidP="00900C05">
      <w:pPr>
        <w:jc w:val="both"/>
        <w:rPr>
          <w:sz w:val="22"/>
          <w:szCs w:val="22"/>
          <w:lang w:val="nl-NL"/>
        </w:rPr>
      </w:pPr>
    </w:p>
    <w:p w14:paraId="4E082B4A" w14:textId="77777777" w:rsidR="00F01F97" w:rsidRPr="003854EF" w:rsidRDefault="00F01F97" w:rsidP="00900C05">
      <w:pPr>
        <w:jc w:val="both"/>
        <w:rPr>
          <w:sz w:val="22"/>
          <w:szCs w:val="22"/>
          <w:lang w:val="nl-NL"/>
        </w:rPr>
      </w:pPr>
    </w:p>
    <w:p w14:paraId="7BD3BF71" w14:textId="77777777" w:rsidR="00F01F97" w:rsidRPr="003854EF" w:rsidRDefault="00F01F97" w:rsidP="00900C05">
      <w:pPr>
        <w:jc w:val="both"/>
        <w:rPr>
          <w:sz w:val="22"/>
          <w:szCs w:val="22"/>
          <w:lang w:val="nl-NL"/>
        </w:rPr>
      </w:pPr>
    </w:p>
    <w:p w14:paraId="09752F4F" w14:textId="77777777" w:rsidR="00F01F97" w:rsidRPr="003854EF" w:rsidRDefault="00F01F97" w:rsidP="00900C05">
      <w:pPr>
        <w:jc w:val="both"/>
        <w:rPr>
          <w:sz w:val="22"/>
          <w:szCs w:val="22"/>
          <w:lang w:val="nl-NL"/>
        </w:rPr>
      </w:pPr>
      <w:r w:rsidRPr="003854EF">
        <w:rPr>
          <w:sz w:val="22"/>
          <w:szCs w:val="22"/>
          <w:lang w:val="nl-NL"/>
        </w:rPr>
        <w:t xml:space="preserve">Wat kan er mislopen? </w:t>
      </w:r>
    </w:p>
    <w:p w14:paraId="6FA48FE9" w14:textId="77777777" w:rsidR="00F01F97" w:rsidRPr="003854EF" w:rsidRDefault="00F01F97" w:rsidP="00900C05">
      <w:pPr>
        <w:pStyle w:val="ListParagraph"/>
        <w:numPr>
          <w:ilvl w:val="0"/>
          <w:numId w:val="6"/>
        </w:numPr>
        <w:spacing w:after="160" w:line="259" w:lineRule="auto"/>
        <w:jc w:val="both"/>
        <w:rPr>
          <w:sz w:val="22"/>
          <w:szCs w:val="22"/>
          <w:lang w:val="nl-NL"/>
        </w:rPr>
      </w:pPr>
      <w:r w:rsidRPr="003854EF">
        <w:rPr>
          <w:sz w:val="22"/>
          <w:szCs w:val="22"/>
          <w:lang w:val="nl-NL"/>
        </w:rPr>
        <w:lastRenderedPageBreak/>
        <w:t>In deze situatie kan de werknemer een forfaitaire kostenvergoeding claimen gelijk aan 10% van het brutoloon</w:t>
      </w:r>
    </w:p>
    <w:p w14:paraId="1731CFEA" w14:textId="77777777" w:rsidR="00F01F97" w:rsidRPr="003854EF" w:rsidRDefault="00F01F97" w:rsidP="00900C05">
      <w:pPr>
        <w:pStyle w:val="ListParagraph"/>
        <w:numPr>
          <w:ilvl w:val="0"/>
          <w:numId w:val="6"/>
        </w:numPr>
        <w:spacing w:after="160" w:line="259" w:lineRule="auto"/>
        <w:jc w:val="both"/>
        <w:rPr>
          <w:sz w:val="22"/>
          <w:szCs w:val="22"/>
          <w:lang w:val="nl-NL"/>
        </w:rPr>
      </w:pPr>
      <w:r w:rsidRPr="003854EF">
        <w:rPr>
          <w:sz w:val="22"/>
          <w:szCs w:val="22"/>
          <w:lang w:val="nl-NL"/>
        </w:rPr>
        <w:t>Bovendien heeft de werknemer het recht om de arbeidsovereenkomst onmiddellijk te beëindigen (Cass. 13 april 2015, JTT 2015, 318; Arbeidshof Gent, 14 juni 2013, JTT 2013, 360)</w:t>
      </w:r>
    </w:p>
    <w:p w14:paraId="6D01F7A2" w14:textId="0385A516" w:rsidR="00F01F97" w:rsidRPr="003854EF" w:rsidRDefault="00F01F97" w:rsidP="00900C05">
      <w:pPr>
        <w:jc w:val="both"/>
        <w:rPr>
          <w:rFonts w:cs="Arial"/>
          <w:b/>
          <w:color w:val="00A0CB"/>
          <w:sz w:val="24"/>
          <w:lang w:val="nl-NL"/>
        </w:rPr>
      </w:pPr>
      <w:r w:rsidRPr="003854EF">
        <w:rPr>
          <w:rFonts w:cs="Arial"/>
          <w:b/>
          <w:color w:val="00A0CB"/>
          <w:sz w:val="24"/>
          <w:lang w:val="nl-NL"/>
        </w:rPr>
        <w:t>De telewerker thuis: pas het loonpakket aan</w:t>
      </w:r>
    </w:p>
    <w:p w14:paraId="7F85E175" w14:textId="24B239C0" w:rsidR="00F01F97" w:rsidRPr="003854EF" w:rsidRDefault="00F01F97" w:rsidP="00900C05">
      <w:pPr>
        <w:jc w:val="both"/>
        <w:rPr>
          <w:sz w:val="22"/>
          <w:szCs w:val="22"/>
          <w:lang w:val="nl-NL"/>
        </w:rPr>
      </w:pPr>
      <w:r w:rsidRPr="003854EF">
        <w:rPr>
          <w:sz w:val="22"/>
          <w:szCs w:val="22"/>
          <w:lang w:val="nl-NL"/>
        </w:rPr>
        <w:t>Telethuiswerk biedt ook kansen om een efficiënt verloningspakket uit te bouwen. De thuiswerk- of bureauvergoeding is immers vrijgesteld van RSZ-bijdragen. De RSZ voorziet twee mogelijkheden:</w:t>
      </w:r>
    </w:p>
    <w:p w14:paraId="4E273D04" w14:textId="77777777" w:rsidR="00F01F97" w:rsidRPr="003854EF" w:rsidRDefault="00F01F97" w:rsidP="00900C05">
      <w:pPr>
        <w:pStyle w:val="ListParagraph"/>
        <w:numPr>
          <w:ilvl w:val="0"/>
          <w:numId w:val="5"/>
        </w:numPr>
        <w:spacing w:after="160" w:line="259" w:lineRule="auto"/>
        <w:jc w:val="both"/>
        <w:rPr>
          <w:sz w:val="22"/>
          <w:szCs w:val="22"/>
          <w:lang w:val="nl-NL"/>
        </w:rPr>
      </w:pPr>
      <w:r w:rsidRPr="003854EF">
        <w:rPr>
          <w:sz w:val="22"/>
          <w:szCs w:val="22"/>
          <w:lang w:val="nl-NL"/>
        </w:rPr>
        <w:t>Specifieke vergoeding voor telewerkers: dit is een forfaitaire vergoeding van maximum 10% van het brutoloon (beperkt tot het deel dat betrekking heeft op het telewerk)</w:t>
      </w:r>
    </w:p>
    <w:p w14:paraId="525C9180" w14:textId="77777777" w:rsidR="00F01F97" w:rsidRPr="003854EF" w:rsidRDefault="00F01F97" w:rsidP="00900C05">
      <w:pPr>
        <w:pStyle w:val="ListParagraph"/>
        <w:numPr>
          <w:ilvl w:val="0"/>
          <w:numId w:val="5"/>
        </w:numPr>
        <w:spacing w:after="160" w:line="259" w:lineRule="auto"/>
        <w:jc w:val="both"/>
        <w:rPr>
          <w:sz w:val="22"/>
          <w:szCs w:val="22"/>
          <w:lang w:val="nl-NL"/>
        </w:rPr>
      </w:pPr>
      <w:r w:rsidRPr="003854EF">
        <w:rPr>
          <w:sz w:val="22"/>
          <w:szCs w:val="22"/>
          <w:lang w:val="nl-NL"/>
        </w:rPr>
        <w:t>Vergoeding voor werknemers die structureel en op regelmatige basis een gedeelte van hun arbeidstijd thuis presteren: dit is een forfaitaire vergoeding van max. €122,01 EUR per maand (geïndexeerd)</w:t>
      </w:r>
    </w:p>
    <w:p w14:paraId="0F2B35B3" w14:textId="77777777" w:rsidR="00900C05" w:rsidRPr="003854EF" w:rsidRDefault="00F01F97" w:rsidP="00900C05">
      <w:pPr>
        <w:jc w:val="both"/>
        <w:rPr>
          <w:rFonts w:cs="Arial"/>
          <w:b/>
          <w:color w:val="00A0CB"/>
          <w:sz w:val="24"/>
          <w:lang w:val="nl-NL"/>
        </w:rPr>
      </w:pPr>
      <w:r w:rsidRPr="003854EF">
        <w:rPr>
          <w:rFonts w:cs="Arial"/>
          <w:b/>
          <w:color w:val="00A0CB"/>
          <w:sz w:val="24"/>
          <w:lang w:val="nl-NL"/>
        </w:rPr>
        <w:t>Nieuwe hype: 'Bring your own device' (BYOD) </w:t>
      </w:r>
    </w:p>
    <w:p w14:paraId="6B481281" w14:textId="07B7C2C9" w:rsidR="00F01F97" w:rsidRPr="003854EF" w:rsidRDefault="00F01F97" w:rsidP="00900C05">
      <w:pPr>
        <w:jc w:val="both"/>
        <w:rPr>
          <w:rFonts w:cs="Arial"/>
          <w:b/>
          <w:color w:val="00A0CB"/>
          <w:sz w:val="24"/>
          <w:lang w:val="nl-NL"/>
        </w:rPr>
      </w:pPr>
      <w:r w:rsidRPr="003854EF">
        <w:rPr>
          <w:rFonts w:cs="Arial"/>
          <w:sz w:val="22"/>
          <w:szCs w:val="22"/>
          <w:lang w:val="nl-NL"/>
        </w:rPr>
        <w:t>De RSZ aanvaardt dat, wanneer een werknemer professioneel gebruik maakt van zijn of haar persoonlijke computer en internetverbinding, de werkgever een forfaitaire onkostenvergoeding kan toekennen zonder dat RSZ-bijdragen verschuldigd zijn. Weliswaar op voorwaarde dat de onkostenvergoeding niet meer bedraagt dan €40 per maand.</w:t>
      </w:r>
    </w:p>
    <w:p w14:paraId="09215366" w14:textId="5637C02B" w:rsidR="00F33796" w:rsidRPr="003854EF" w:rsidRDefault="00F01F97" w:rsidP="00900C05">
      <w:pPr>
        <w:jc w:val="both"/>
        <w:rPr>
          <w:rFonts w:cs="Arial"/>
          <w:sz w:val="22"/>
          <w:szCs w:val="20"/>
          <w:lang w:val="nl-NL"/>
        </w:rPr>
      </w:pPr>
      <w:r w:rsidRPr="003854EF">
        <w:rPr>
          <w:rFonts w:cs="Arial"/>
          <w:sz w:val="22"/>
          <w:szCs w:val="22"/>
          <w:lang w:val="nl-NL"/>
        </w:rPr>
        <w:t>In dat geval moet de werknemer “wezenlijk en op regelmatige basis” gebruik maken van de computer en internetverbinding. Een overlapping met een specifieke vergoeding voor bureaukosten kan niet, maar een combinatie is wel mogelijk.</w:t>
      </w:r>
    </w:p>
    <w:p w14:paraId="5E8934EA" w14:textId="77777777" w:rsidR="009E1727" w:rsidRPr="003854EF" w:rsidRDefault="009E1727" w:rsidP="008F5D06">
      <w:pPr>
        <w:spacing w:line="280" w:lineRule="exact"/>
        <w:rPr>
          <w:rFonts w:cs="Arial"/>
          <w:sz w:val="22"/>
          <w:szCs w:val="22"/>
          <w:lang w:val="nl-NL"/>
        </w:rPr>
      </w:pPr>
    </w:p>
    <w:p w14:paraId="0BE2F0D6" w14:textId="77777777" w:rsidR="003854EF" w:rsidRPr="003854EF" w:rsidRDefault="003854EF" w:rsidP="008F5D06">
      <w:pPr>
        <w:spacing w:line="280" w:lineRule="exact"/>
        <w:rPr>
          <w:rFonts w:cs="Arial"/>
          <w:sz w:val="22"/>
          <w:szCs w:val="22"/>
          <w:lang w:val="nl-NL"/>
        </w:rPr>
      </w:pPr>
    </w:p>
    <w:p w14:paraId="1C3DEEDA" w14:textId="77777777" w:rsidR="003854EF" w:rsidRPr="003854EF" w:rsidRDefault="003854EF" w:rsidP="008F5D06">
      <w:pPr>
        <w:spacing w:line="280" w:lineRule="exact"/>
        <w:rPr>
          <w:rFonts w:cs="Arial"/>
          <w:sz w:val="22"/>
          <w:szCs w:val="22"/>
          <w:lang w:val="nl-NL"/>
        </w:rPr>
      </w:pPr>
    </w:p>
    <w:p w14:paraId="50F93749" w14:textId="77777777" w:rsidR="003854EF" w:rsidRPr="003854EF" w:rsidRDefault="003854EF" w:rsidP="003854EF">
      <w:pPr>
        <w:jc w:val="both"/>
        <w:rPr>
          <w:rFonts w:cs="Arial"/>
          <w:color w:val="F6A500"/>
          <w:sz w:val="28"/>
          <w:szCs w:val="28"/>
          <w:lang w:val="nl-NL"/>
        </w:rPr>
      </w:pPr>
      <w:r w:rsidRPr="003854EF">
        <w:rPr>
          <w:rFonts w:cs="Arial"/>
          <w:color w:val="F6A500"/>
          <w:sz w:val="28"/>
          <w:szCs w:val="28"/>
          <w:lang w:val="nl-NL"/>
        </w:rPr>
        <w:t>Over Partena Professional</w:t>
      </w:r>
    </w:p>
    <w:p w14:paraId="03CABFBE" w14:textId="142A95CC" w:rsidR="003854EF" w:rsidRPr="003854EF" w:rsidRDefault="003854EF" w:rsidP="003854EF">
      <w:pPr>
        <w:jc w:val="both"/>
        <w:rPr>
          <w:rFonts w:cs="Arial"/>
          <w:b/>
          <w:color w:val="404040" w:themeColor="text1" w:themeTint="BF"/>
          <w:sz w:val="24"/>
          <w:lang w:val="nl-NL"/>
        </w:rPr>
      </w:pPr>
      <w:r w:rsidRPr="003854EF">
        <w:rPr>
          <w:szCs w:val="20"/>
          <w:lang w:val="nl-NL"/>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3854EF">
          <w:rPr>
            <w:rStyle w:val="Hyperlink"/>
            <w:rFonts w:eastAsiaTheme="majorEastAsia"/>
            <w:szCs w:val="20"/>
            <w:lang w:val="nl-NL"/>
          </w:rPr>
          <w:t>www.partena-professional.be</w:t>
        </w:r>
      </w:hyperlink>
      <w:r w:rsidRPr="003854EF">
        <w:rPr>
          <w:rStyle w:val="Hyperlink"/>
          <w:rFonts w:eastAsiaTheme="majorEastAsia"/>
          <w:szCs w:val="20"/>
          <w:lang w:val="nl-NL"/>
        </w:rPr>
        <w:t>.</w:t>
      </w:r>
    </w:p>
    <w:p w14:paraId="0F00E203" w14:textId="77777777" w:rsidR="003854EF" w:rsidRPr="003854EF" w:rsidRDefault="003854EF" w:rsidP="008F5D06">
      <w:pPr>
        <w:spacing w:line="280" w:lineRule="exact"/>
        <w:rPr>
          <w:rFonts w:cs="Arial"/>
          <w:sz w:val="22"/>
          <w:szCs w:val="22"/>
          <w:lang w:val="nl-NL"/>
        </w:rPr>
      </w:pPr>
    </w:p>
    <w:sectPr w:rsidR="003854EF" w:rsidRPr="003854EF" w:rsidSect="008B0BFB">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85165B" w:rsidRDefault="0085165B" w:rsidP="009E1727">
      <w:r>
        <w:separator/>
      </w:r>
    </w:p>
  </w:endnote>
  <w:endnote w:type="continuationSeparator" w:id="0">
    <w:p w14:paraId="660D3D0E" w14:textId="77777777" w:rsidR="0085165B" w:rsidRDefault="0085165B"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0895" w14:textId="7A758F44" w:rsidR="0085165B" w:rsidRDefault="0085165B">
    <w:pPr>
      <w:pStyle w:val="Footer"/>
      <w:rPr>
        <w:rFonts w:ascii="Arial" w:hAnsi="Arial" w:cs="Arial"/>
        <w:sz w:val="16"/>
        <w:lang w:val="nl-BE"/>
      </w:rPr>
    </w:pPr>
    <w:r w:rsidRPr="009E1727">
      <w:rPr>
        <w:rFonts w:ascii="Arial" w:hAnsi="Arial" w:cs="Arial"/>
        <w:noProof/>
        <w:sz w:val="16"/>
        <w:szCs w:val="16"/>
      </w:rPr>
      <mc:AlternateContent>
        <mc:Choice Requires="wps">
          <w:drawing>
            <wp:anchor distT="4294967293" distB="4294967293" distL="114300" distR="114300" simplePos="0" relativeHeight="251660288" behindDoc="0" locked="0" layoutInCell="1" allowOverlap="1" wp14:anchorId="7B979740" wp14:editId="01926C63">
              <wp:simplePos x="0" y="0"/>
              <wp:positionH relativeFrom="column">
                <wp:posOffset>-36195</wp:posOffset>
              </wp:positionH>
              <wp:positionV relativeFrom="paragraph">
                <wp:posOffset>-45720</wp:posOffset>
              </wp:positionV>
              <wp:extent cx="6132195" cy="0"/>
              <wp:effectExtent l="6985"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F663C"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" strokecolor="#f6a500"/>
          </w:pict>
        </mc:Fallback>
      </mc:AlternateContent>
    </w:r>
    <w:r w:rsidRPr="009E1727">
      <w:rPr>
        <w:rFonts w:ascii="Arial" w:hAnsi="Arial" w:cs="Arial"/>
        <w:noProof/>
        <w:sz w:val="16"/>
        <w:szCs w:val="16"/>
      </w:rPr>
      <mc:AlternateContent>
        <mc:Choice Requires="wps">
          <w:drawing>
            <wp:anchor distT="0" distB="0" distL="114300" distR="114300" simplePos="0" relativeHeight="251659264" behindDoc="0" locked="0" layoutInCell="1" allowOverlap="1" wp14:anchorId="6954C86F" wp14:editId="749A4C8C">
              <wp:simplePos x="0" y="0"/>
              <wp:positionH relativeFrom="column">
                <wp:posOffset>5842000</wp:posOffset>
              </wp:positionH>
              <wp:positionV relativeFrom="paragraph">
                <wp:posOffset>-55245</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96AF" w14:textId="3F7A1B61" w:rsidR="0085165B" w:rsidRDefault="0085165B">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8192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81927">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oW7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xxjoW7MCAAC4BQAADgAA&#10;AAAAAAAAAAAAAAAsAgAAZHJzL2Uyb0RvYy54bWxQSwECLQAUAAYACAAAACEAcc+dI90AAAAKAQAA&#10;DwAAAAAAAAAAAAAAAAALBQAAZHJzL2Rvd25yZXYueG1sUEsFBgAAAAAEAAQA8wAAABUGAAAAAA==&#10;" filled="f" stroked="f">
              <v:textbox>
                <w:txbxContent>
                  <w:p w14:paraId="5E7796AF" w14:textId="3F7A1B61" w:rsidR="0085165B" w:rsidRDefault="0085165B">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8192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81927">
                      <w:rPr>
                        <w:rStyle w:val="PageNumber"/>
                        <w:rFonts w:cs="Arial"/>
                        <w:noProof/>
                        <w:sz w:val="16"/>
                      </w:rPr>
                      <w:t>2</w:t>
                    </w:r>
                    <w:r w:rsidRPr="00513D1D">
                      <w:rPr>
                        <w:rStyle w:val="PageNumber"/>
                        <w:rFonts w:cs="Arial"/>
                        <w:sz w:val="16"/>
                      </w:rPr>
                      <w:fldChar w:fldCharType="end"/>
                    </w:r>
                  </w:p>
                </w:txbxContent>
              </v:textbox>
            </v:shape>
          </w:pict>
        </mc:Fallback>
      </mc:AlternateContent>
    </w:r>
    <w:r w:rsidR="00900C05">
      <w:rPr>
        <w:rFonts w:ascii="Arial" w:hAnsi="Arial" w:cs="Arial"/>
        <w:noProof/>
        <w:sz w:val="16"/>
        <w:szCs w:val="16"/>
        <w:lang w:val="nl-BE" w:eastAsia="nl-BE"/>
      </w:rPr>
      <w:t>Oktober</w:t>
    </w:r>
    <w:r>
      <w:rPr>
        <w:rFonts w:ascii="Arial" w:hAnsi="Arial" w:cs="Arial"/>
        <w:sz w:val="16"/>
        <w:lang w:val="nl-BE"/>
      </w:rPr>
      <w:t xml:space="preserve"> 2016</w:t>
    </w:r>
  </w:p>
  <w:p w14:paraId="24251572" w14:textId="77777777" w:rsidR="0085165B" w:rsidRPr="00CB07BB" w:rsidRDefault="0085165B">
    <w:pPr>
      <w:pStyle w:val="Footer"/>
      <w:rPr>
        <w:rFonts w:ascii="Arial" w:hAnsi="Arial" w:cs="Arial"/>
        <w:sz w:val="16"/>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85165B" w:rsidRDefault="0085165B" w:rsidP="009E1727">
      <w:r>
        <w:separator/>
      </w:r>
    </w:p>
  </w:footnote>
  <w:footnote w:type="continuationSeparator" w:id="0">
    <w:p w14:paraId="74EFCA50" w14:textId="77777777" w:rsidR="0085165B" w:rsidRDefault="0085165B"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85165B" w:rsidRDefault="0085165B" w:rsidP="008B0BFB">
    <w:pPr>
      <w:pStyle w:val="Header"/>
      <w:jc w:val="center"/>
    </w:pPr>
    <w:r>
      <w:rPr>
        <w:noProof/>
      </w:rPr>
      <w:drawing>
        <wp:inline distT="0" distB="0" distL="0" distR="0" wp14:anchorId="28623807" wp14:editId="5B0C229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B212BF8" w14:textId="77777777" w:rsidR="0085165B" w:rsidRDefault="0085165B" w:rsidP="008B0BF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82B"/>
    <w:multiLevelType w:val="hybridMultilevel"/>
    <w:tmpl w:val="0A40A09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2A269F"/>
    <w:multiLevelType w:val="hybridMultilevel"/>
    <w:tmpl w:val="1F58DD64"/>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BC7148"/>
    <w:multiLevelType w:val="hybridMultilevel"/>
    <w:tmpl w:val="4880E378"/>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2E18AF"/>
    <w:multiLevelType w:val="hybridMultilevel"/>
    <w:tmpl w:val="38520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090674"/>
    <w:multiLevelType w:val="hybridMultilevel"/>
    <w:tmpl w:val="803E7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9D577A"/>
    <w:multiLevelType w:val="hybridMultilevel"/>
    <w:tmpl w:val="3CDC4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A1C1E"/>
    <w:rsid w:val="000C2260"/>
    <w:rsid w:val="000C5B09"/>
    <w:rsid w:val="001238F4"/>
    <w:rsid w:val="00141A56"/>
    <w:rsid w:val="001521A9"/>
    <w:rsid w:val="00181687"/>
    <w:rsid w:val="001E0B16"/>
    <w:rsid w:val="001E1E08"/>
    <w:rsid w:val="001F19DE"/>
    <w:rsid w:val="001F3043"/>
    <w:rsid w:val="00200FAE"/>
    <w:rsid w:val="00277A8D"/>
    <w:rsid w:val="002A18F3"/>
    <w:rsid w:val="002A46E3"/>
    <w:rsid w:val="0030252A"/>
    <w:rsid w:val="00311488"/>
    <w:rsid w:val="003854EF"/>
    <w:rsid w:val="00396570"/>
    <w:rsid w:val="0040077B"/>
    <w:rsid w:val="00427538"/>
    <w:rsid w:val="0046183C"/>
    <w:rsid w:val="00543E4C"/>
    <w:rsid w:val="005973FA"/>
    <w:rsid w:val="005C493D"/>
    <w:rsid w:val="005E44C7"/>
    <w:rsid w:val="005E4E6C"/>
    <w:rsid w:val="005F027C"/>
    <w:rsid w:val="006272F1"/>
    <w:rsid w:val="00686DBD"/>
    <w:rsid w:val="00773B8E"/>
    <w:rsid w:val="0085165B"/>
    <w:rsid w:val="00877080"/>
    <w:rsid w:val="00880312"/>
    <w:rsid w:val="008A4D9E"/>
    <w:rsid w:val="008A6E46"/>
    <w:rsid w:val="008B0BFB"/>
    <w:rsid w:val="008C6358"/>
    <w:rsid w:val="008D0215"/>
    <w:rsid w:val="008E052F"/>
    <w:rsid w:val="008F5D06"/>
    <w:rsid w:val="00900C05"/>
    <w:rsid w:val="009A73FD"/>
    <w:rsid w:val="009B72DF"/>
    <w:rsid w:val="009D5A80"/>
    <w:rsid w:val="009E1727"/>
    <w:rsid w:val="00A26C10"/>
    <w:rsid w:val="00A42966"/>
    <w:rsid w:val="00A66F9B"/>
    <w:rsid w:val="00A76C0A"/>
    <w:rsid w:val="00AA0EEB"/>
    <w:rsid w:val="00AD2A35"/>
    <w:rsid w:val="00AF4EBD"/>
    <w:rsid w:val="00B22380"/>
    <w:rsid w:val="00B521C2"/>
    <w:rsid w:val="00B81927"/>
    <w:rsid w:val="00BB1501"/>
    <w:rsid w:val="00BE1C91"/>
    <w:rsid w:val="00C314C6"/>
    <w:rsid w:val="00C32761"/>
    <w:rsid w:val="00C356B9"/>
    <w:rsid w:val="00CA2EC8"/>
    <w:rsid w:val="00D30715"/>
    <w:rsid w:val="00D400D4"/>
    <w:rsid w:val="00D86C66"/>
    <w:rsid w:val="00DD08C6"/>
    <w:rsid w:val="00E24755"/>
    <w:rsid w:val="00E44A97"/>
    <w:rsid w:val="00E53B61"/>
    <w:rsid w:val="00E8635A"/>
    <w:rsid w:val="00EF015F"/>
    <w:rsid w:val="00F01F97"/>
    <w:rsid w:val="00F07EA1"/>
    <w:rsid w:val="00F33796"/>
    <w:rsid w:val="00F43574"/>
    <w:rsid w:val="00F467D2"/>
    <w:rsid w:val="00F77DC1"/>
    <w:rsid w:val="00FD1BD0"/>
    <w:rsid w:val="00FF2A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paragraph" w:styleId="NormalWeb">
    <w:name w:val="Normal (Web)"/>
    <w:basedOn w:val="Normal"/>
    <w:uiPriority w:val="99"/>
    <w:semiHidden/>
    <w:unhideWhenUsed/>
    <w:rsid w:val="00F01F97"/>
    <w:pPr>
      <w:spacing w:before="100" w:beforeAutospacing="1" w:after="100" w:afterAutospacing="1" w:line="300" w:lineRule="atLeast"/>
    </w:pPr>
    <w:rPr>
      <w:rFonts w:ascii="Helvetica" w:hAnsi="Helvetica" w:cs="Helvetica"/>
      <w:sz w:val="26"/>
      <w:szCs w:val="26"/>
      <w:lang w:val="nl-NL" w:eastAsia="nl-NL" w:bidi="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paragraph" w:styleId="NormalWeb">
    <w:name w:val="Normal (Web)"/>
    <w:basedOn w:val="Normal"/>
    <w:uiPriority w:val="99"/>
    <w:semiHidden/>
    <w:unhideWhenUsed/>
    <w:rsid w:val="00F01F97"/>
    <w:pPr>
      <w:spacing w:before="100" w:beforeAutospacing="1" w:after="100" w:afterAutospacing="1" w:line="300" w:lineRule="atLeast"/>
    </w:pPr>
    <w:rPr>
      <w:rFonts w:ascii="Helvetica" w:hAnsi="Helvetica" w:cs="Helvetica"/>
      <w:sz w:val="26"/>
      <w:szCs w:val="2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5</cp:revision>
  <cp:lastPrinted>2016-06-21T13:08:00Z</cp:lastPrinted>
  <dcterms:created xsi:type="dcterms:W3CDTF">2016-10-25T08:47:00Z</dcterms:created>
  <dcterms:modified xsi:type="dcterms:W3CDTF">2016-10-25T09:06:00Z</dcterms:modified>
</cp:coreProperties>
</file>