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Pr="0096301E" w:rsidRDefault="001572F2" w:rsidP="004278B1">
      <w:pPr>
        <w:pStyle w:val="NoSpacing"/>
        <w:ind w:left="993"/>
        <w:rPr>
          <w:lang w:val="fr-FR"/>
        </w:rPr>
      </w:pPr>
    </w:p>
    <w:p w:rsidR="00B97593" w:rsidRPr="0096301E" w:rsidRDefault="003F42C7" w:rsidP="006917E1">
      <w:pPr>
        <w:pStyle w:val="NoSpacing"/>
        <w:ind w:left="993"/>
        <w:rPr>
          <w:lang w:val="fr-FR"/>
        </w:rPr>
      </w:pPr>
      <w:r>
        <w:rPr>
          <w:lang w:val="fr-FR"/>
        </w:rPr>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v:textbox>
              <w:txbxContent>
                <w:p w:rsidR="00892218" w:rsidRPr="00104763" w:rsidRDefault="00892218" w:rsidP="00673D3E">
                  <w:pPr>
                    <w:spacing w:after="0" w:line="240" w:lineRule="auto"/>
                    <w:rPr>
                      <w:rFonts w:ascii="Rockwell" w:hAnsi="Rockwell" w:cs="Rockwell"/>
                      <w:color w:val="00AEEF"/>
                      <w:sz w:val="56"/>
                      <w:szCs w:val="56"/>
                      <w:lang w:val="fr-FR" w:eastAsia="nl-BE"/>
                    </w:rPr>
                  </w:pPr>
                  <w:r w:rsidRPr="00104763">
                    <w:rPr>
                      <w:rFonts w:ascii="Rockwell" w:hAnsi="Rockwell" w:cs="Rockwell"/>
                      <w:color w:val="00AEEF"/>
                      <w:sz w:val="56"/>
                      <w:szCs w:val="56"/>
                      <w:lang w:val="fr-FR"/>
                    </w:rPr>
                    <w:t>Communiqué de presse</w:t>
                  </w:r>
                </w:p>
                <w:p w:rsidR="00892218" w:rsidRPr="00104763" w:rsidRDefault="00892218" w:rsidP="00673D3E">
                  <w:pPr>
                    <w:rPr>
                      <w:color w:val="003768"/>
                      <w:szCs w:val="20"/>
                      <w:lang w:val="fr-FR"/>
                    </w:rPr>
                  </w:pPr>
                  <w:r w:rsidRPr="00104763">
                    <w:rPr>
                      <w:rFonts w:ascii="Rockwell" w:hAnsi="Rockwell" w:cs="Rockwell"/>
                      <w:color w:val="003768"/>
                      <w:sz w:val="20"/>
                      <w:szCs w:val="20"/>
                      <w:lang w:val="fr-FR"/>
                    </w:rPr>
                    <w:t>Hors séance - Informations réglementées*</w:t>
                  </w:r>
                </w:p>
              </w:txbxContent>
            </v:textbox>
          </v:shape>
        </w:pict>
      </w:r>
      <w:r w:rsidR="00571370" w:rsidRPr="0096301E">
        <w:rPr>
          <w:noProof/>
          <w:lang w:val="nl-BE" w:eastAsia="nl-BE"/>
        </w:rPr>
        <w:drawing>
          <wp:inline distT="0" distB="0" distL="0" distR="0" wp14:anchorId="2065577D" wp14:editId="6ADA0949">
            <wp:extent cx="802005" cy="62293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8"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p>
    <w:p w:rsidR="004278B1" w:rsidRPr="0096301E" w:rsidRDefault="004278B1" w:rsidP="00673D3E">
      <w:pPr>
        <w:pStyle w:val="NoSpacing"/>
        <w:ind w:left="1440"/>
        <w:rPr>
          <w:sz w:val="8"/>
          <w:szCs w:val="8"/>
          <w:lang w:val="fr-FR"/>
        </w:rPr>
      </w:pPr>
    </w:p>
    <w:p w:rsidR="00FC36C2" w:rsidRPr="0096301E" w:rsidRDefault="00FC36C2" w:rsidP="00673D3E">
      <w:pPr>
        <w:pStyle w:val="NoSpacing"/>
        <w:ind w:left="1440"/>
        <w:rPr>
          <w:sz w:val="8"/>
          <w:szCs w:val="8"/>
          <w:lang w:val="fr-FR"/>
        </w:rPr>
      </w:pPr>
    </w:p>
    <w:p w:rsidR="004278B1" w:rsidRPr="0096301E" w:rsidRDefault="00571370" w:rsidP="00FC36C2">
      <w:pPr>
        <w:pStyle w:val="NoSpacing"/>
        <w:ind w:left="284"/>
        <w:rPr>
          <w:lang w:val="fr-FR"/>
        </w:rPr>
      </w:pPr>
      <w:r w:rsidRPr="0096301E">
        <w:rPr>
          <w:noProof/>
          <w:lang w:val="nl-BE" w:eastAsia="nl-BE"/>
        </w:rPr>
        <w:drawing>
          <wp:inline distT="0" distB="0" distL="0" distR="0" wp14:anchorId="49A31C2C" wp14:editId="117C97FB">
            <wp:extent cx="6771005" cy="168275"/>
            <wp:effectExtent l="19050" t="0" r="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9" cstate="print"/>
                    <a:srcRect/>
                    <a:stretch>
                      <a:fillRect/>
                    </a:stretch>
                  </pic:blipFill>
                  <pic:spPr bwMode="auto">
                    <a:xfrm>
                      <a:off x="0" y="0"/>
                      <a:ext cx="6771005" cy="168275"/>
                    </a:xfrm>
                    <a:prstGeom prst="rect">
                      <a:avLst/>
                    </a:prstGeom>
                    <a:noFill/>
                    <a:ln w="9525">
                      <a:noFill/>
                      <a:miter lim="800000"/>
                      <a:headEnd/>
                      <a:tailEnd/>
                    </a:ln>
                  </pic:spPr>
                </pic:pic>
              </a:graphicData>
            </a:graphic>
          </wp:inline>
        </w:drawing>
      </w:r>
    </w:p>
    <w:p w:rsidR="00574F3C" w:rsidRPr="0096301E" w:rsidRDefault="00574F3C" w:rsidP="002D344C">
      <w:pPr>
        <w:pStyle w:val="NoSpacing"/>
        <w:ind w:left="993"/>
        <w:rPr>
          <w:lang w:val="fr-FR"/>
        </w:rPr>
      </w:pPr>
    </w:p>
    <w:p w:rsidR="00B91505" w:rsidRPr="0096301E" w:rsidRDefault="00104763" w:rsidP="002D344C">
      <w:pPr>
        <w:ind w:left="993"/>
        <w:rPr>
          <w:color w:val="003768"/>
          <w:lang w:val="fr-FR"/>
        </w:rPr>
      </w:pPr>
      <w:r w:rsidRPr="00104763">
        <w:rPr>
          <w:color w:val="003768"/>
          <w:lang w:val="fr-FR"/>
        </w:rPr>
        <w:t>Bruxelles, 23 septembre 2014 (</w:t>
      </w:r>
      <w:r w:rsidR="001E41C7" w:rsidRPr="00104763">
        <w:rPr>
          <w:color w:val="003768"/>
          <w:lang w:val="fr-FR"/>
        </w:rPr>
        <w:t xml:space="preserve"> 8h CET)</w:t>
      </w:r>
    </w:p>
    <w:p w:rsidR="00B91505" w:rsidRPr="0096301E" w:rsidRDefault="00B91505" w:rsidP="002D344C">
      <w:pPr>
        <w:autoSpaceDE w:val="0"/>
        <w:autoSpaceDN w:val="0"/>
        <w:adjustRightInd w:val="0"/>
        <w:spacing w:after="0" w:line="240" w:lineRule="auto"/>
        <w:ind w:left="993" w:right="4"/>
        <w:rPr>
          <w:rFonts w:cs="Arial"/>
          <w:b/>
          <w:bCs/>
          <w:color w:val="003768"/>
          <w:sz w:val="28"/>
          <w:szCs w:val="28"/>
          <w:lang w:val="fr-FR"/>
        </w:rPr>
      </w:pPr>
    </w:p>
    <w:p w:rsidR="00B91505" w:rsidRPr="0096301E" w:rsidRDefault="00B91505" w:rsidP="002D344C">
      <w:pPr>
        <w:autoSpaceDE w:val="0"/>
        <w:autoSpaceDN w:val="0"/>
        <w:adjustRightInd w:val="0"/>
        <w:spacing w:after="0" w:line="240" w:lineRule="auto"/>
        <w:ind w:left="993" w:right="4"/>
        <w:rPr>
          <w:rFonts w:cs="Arial"/>
          <w:b/>
          <w:bCs/>
          <w:color w:val="003768"/>
          <w:sz w:val="28"/>
          <w:szCs w:val="28"/>
          <w:lang w:val="fr-FR"/>
        </w:rPr>
      </w:pPr>
    </w:p>
    <w:p w:rsidR="00B91505" w:rsidRPr="0096301E" w:rsidRDefault="001E41C7" w:rsidP="003F7A8B">
      <w:pPr>
        <w:ind w:left="993" w:right="-31"/>
        <w:jc w:val="center"/>
        <w:rPr>
          <w:rFonts w:ascii="Rockwell" w:hAnsi="Rockwell" w:cs="Rockwell,Bold"/>
          <w:b/>
          <w:bCs/>
          <w:color w:val="00AEEF"/>
          <w:sz w:val="44"/>
          <w:szCs w:val="44"/>
          <w:lang w:val="fr-FR"/>
        </w:rPr>
      </w:pPr>
      <w:r w:rsidRPr="0096301E">
        <w:rPr>
          <w:rFonts w:ascii="Rockwell" w:hAnsi="Rockwell" w:cs="Rockwell,Bold"/>
          <w:b/>
          <w:bCs/>
          <w:color w:val="00AEEF"/>
          <w:sz w:val="44"/>
          <w:szCs w:val="44"/>
          <w:lang w:val="fr-FR"/>
        </w:rPr>
        <w:t>KBC salue la prolongation des accords d’ancrage de Cera, KBC Ancora, MRBB et d'Autres Actionnaires Stables relatifs à KBC Groupe</w:t>
      </w:r>
    </w:p>
    <w:p w:rsidR="00B91505" w:rsidRPr="0096301E" w:rsidRDefault="00B91505" w:rsidP="002D344C">
      <w:pPr>
        <w:autoSpaceDE w:val="0"/>
        <w:autoSpaceDN w:val="0"/>
        <w:adjustRightInd w:val="0"/>
        <w:spacing w:after="0" w:line="240" w:lineRule="auto"/>
        <w:ind w:left="993" w:right="4"/>
        <w:rPr>
          <w:rFonts w:cs="Arial"/>
          <w:b/>
          <w:bCs/>
          <w:color w:val="003768"/>
          <w:sz w:val="28"/>
          <w:szCs w:val="28"/>
          <w:lang w:val="fr-FR"/>
        </w:rPr>
      </w:pPr>
    </w:p>
    <w:p w:rsidR="001E41C7" w:rsidRPr="0096301E" w:rsidRDefault="0050362C" w:rsidP="0050362C">
      <w:pPr>
        <w:autoSpaceDE w:val="0"/>
        <w:autoSpaceDN w:val="0"/>
        <w:adjustRightInd w:val="0"/>
        <w:spacing w:after="0" w:line="240" w:lineRule="auto"/>
        <w:ind w:left="993" w:right="4"/>
        <w:jc w:val="both"/>
        <w:rPr>
          <w:rFonts w:cs="Arial"/>
          <w:b/>
          <w:bCs/>
          <w:color w:val="17365D" w:themeColor="text2" w:themeShade="BF"/>
          <w:sz w:val="28"/>
          <w:szCs w:val="28"/>
          <w:lang w:val="fr-FR"/>
        </w:rPr>
      </w:pPr>
      <w:r w:rsidRPr="0096301E">
        <w:rPr>
          <w:b/>
          <w:color w:val="17365D" w:themeColor="text2" w:themeShade="BF"/>
          <w:sz w:val="28"/>
          <w:szCs w:val="28"/>
          <w:lang w:val="fr-FR"/>
        </w:rPr>
        <w:t xml:space="preserve">Cera et KBC Ancora ont confirmé avec MRRB et d’Autres Actionnaires Stables, de prolonger leur action de concert sur KBC Groupe pour une nouvelle période de 10 ans. Les actionnaires concernés assurent par cette voie la </w:t>
      </w:r>
      <w:r w:rsidR="00104763">
        <w:rPr>
          <w:b/>
          <w:color w:val="17365D" w:themeColor="text2" w:themeShade="BF"/>
          <w:sz w:val="28"/>
          <w:szCs w:val="28"/>
          <w:lang w:val="fr-FR"/>
        </w:rPr>
        <w:t xml:space="preserve">continuation </w:t>
      </w:r>
      <w:r w:rsidRPr="0096301E">
        <w:rPr>
          <w:b/>
          <w:color w:val="17365D" w:themeColor="text2" w:themeShade="BF"/>
          <w:sz w:val="28"/>
          <w:szCs w:val="28"/>
          <w:lang w:val="fr-FR"/>
        </w:rPr>
        <w:t>de la stabilité de l’actionnariat et leur soutien au développement futur du groupe KBC.</w:t>
      </w:r>
      <w:r w:rsidR="001E41C7" w:rsidRPr="0096301E">
        <w:rPr>
          <w:rFonts w:cs="Arial"/>
          <w:b/>
          <w:bCs/>
          <w:color w:val="17365D" w:themeColor="text2" w:themeShade="BF"/>
          <w:sz w:val="28"/>
          <w:szCs w:val="28"/>
          <w:lang w:val="fr-FR"/>
        </w:rPr>
        <w:t xml:space="preserve">KBC prend note de la </w:t>
      </w:r>
      <w:r w:rsidR="00104763">
        <w:rPr>
          <w:rFonts w:cs="Arial"/>
          <w:b/>
          <w:bCs/>
          <w:color w:val="17365D" w:themeColor="text2" w:themeShade="BF"/>
          <w:sz w:val="28"/>
          <w:szCs w:val="28"/>
          <w:lang w:val="fr-FR"/>
        </w:rPr>
        <w:t xml:space="preserve">continuation </w:t>
      </w:r>
      <w:r w:rsidR="001E41C7" w:rsidRPr="0096301E">
        <w:rPr>
          <w:rFonts w:cs="Arial"/>
          <w:b/>
          <w:bCs/>
          <w:color w:val="17365D" w:themeColor="text2" w:themeShade="BF"/>
          <w:sz w:val="28"/>
          <w:szCs w:val="28"/>
          <w:lang w:val="fr-FR"/>
        </w:rPr>
        <w:t>de la convention d'actionnaires.</w:t>
      </w:r>
    </w:p>
    <w:p w:rsidR="0050362C" w:rsidRPr="0096301E" w:rsidRDefault="0050362C" w:rsidP="002D344C">
      <w:pPr>
        <w:autoSpaceDE w:val="0"/>
        <w:autoSpaceDN w:val="0"/>
        <w:adjustRightInd w:val="0"/>
        <w:spacing w:after="0" w:line="240" w:lineRule="auto"/>
        <w:ind w:left="993" w:right="4"/>
        <w:rPr>
          <w:rFonts w:cs="Arial"/>
          <w:b/>
          <w:bCs/>
          <w:sz w:val="28"/>
          <w:szCs w:val="28"/>
          <w:lang w:val="fr-FR"/>
        </w:rPr>
      </w:pPr>
    </w:p>
    <w:p w:rsidR="00B91505" w:rsidRPr="0096301E" w:rsidRDefault="001E41C7" w:rsidP="0050362C">
      <w:pPr>
        <w:autoSpaceDE w:val="0"/>
        <w:autoSpaceDN w:val="0"/>
        <w:adjustRightInd w:val="0"/>
        <w:spacing w:after="0" w:line="240" w:lineRule="auto"/>
        <w:ind w:left="993" w:right="4"/>
        <w:jc w:val="both"/>
        <w:rPr>
          <w:rFonts w:cs="Arial"/>
          <w:bCs/>
          <w:color w:val="003768"/>
          <w:sz w:val="28"/>
          <w:szCs w:val="28"/>
          <w:lang w:val="fr-FR"/>
        </w:rPr>
      </w:pPr>
      <w:r w:rsidRPr="0096301E">
        <w:rPr>
          <w:rFonts w:cs="Arial"/>
          <w:b/>
          <w:bCs/>
          <w:color w:val="003768"/>
          <w:sz w:val="28"/>
          <w:szCs w:val="28"/>
          <w:lang w:val="fr-FR"/>
        </w:rPr>
        <w:t xml:space="preserve">Johan Thijs, CEO de KBC Groupe SA : </w:t>
      </w:r>
      <w:r w:rsidRPr="0096301E">
        <w:rPr>
          <w:rFonts w:cs="Arial"/>
          <w:bCs/>
          <w:color w:val="003768"/>
          <w:sz w:val="28"/>
          <w:szCs w:val="28"/>
          <w:lang w:val="fr-FR"/>
        </w:rPr>
        <w:t>“Nous saluons la prolongation des accords d'ancrage entre KBC Ancora, CERA, MRBB et d'Autres Actionnaires Stables, qui assure la stabilité et la continuité de KBC Groupe. Nous remercions nos actionnaires de la confiance qu'ils ont mise en KBC et qu'ils souhaitent renouveler afin d'assurer l'avenir de notre groupe. Un actionnariat stable et local forme la base d’un futur développement sain et de la c</w:t>
      </w:r>
      <w:r w:rsidR="00104763">
        <w:rPr>
          <w:rFonts w:cs="Arial"/>
          <w:bCs/>
          <w:color w:val="003768"/>
          <w:sz w:val="28"/>
          <w:szCs w:val="28"/>
          <w:lang w:val="fr-FR"/>
        </w:rPr>
        <w:t>réation de valeur durable pour tout a</w:t>
      </w:r>
      <w:r w:rsidRPr="0096301E">
        <w:rPr>
          <w:rFonts w:cs="Arial"/>
          <w:bCs/>
          <w:color w:val="003768"/>
          <w:sz w:val="28"/>
          <w:szCs w:val="28"/>
          <w:lang w:val="fr-FR"/>
        </w:rPr>
        <w:t xml:space="preserve">ctionnaire </w:t>
      </w:r>
      <w:r w:rsidR="00104763">
        <w:rPr>
          <w:rFonts w:cs="Arial"/>
          <w:bCs/>
          <w:color w:val="003768"/>
          <w:sz w:val="28"/>
          <w:szCs w:val="28"/>
          <w:lang w:val="fr-FR"/>
        </w:rPr>
        <w:t xml:space="preserve">et toute partie prenante </w:t>
      </w:r>
      <w:r w:rsidRPr="0096301E">
        <w:rPr>
          <w:rFonts w:cs="Arial"/>
          <w:bCs/>
          <w:color w:val="003768"/>
          <w:sz w:val="28"/>
          <w:szCs w:val="28"/>
          <w:lang w:val="fr-FR"/>
        </w:rPr>
        <w:t>sur le long terme.”</w:t>
      </w:r>
    </w:p>
    <w:p w:rsidR="00B91505" w:rsidRPr="0096301E" w:rsidRDefault="00B91505" w:rsidP="0050362C">
      <w:pPr>
        <w:autoSpaceDE w:val="0"/>
        <w:autoSpaceDN w:val="0"/>
        <w:adjustRightInd w:val="0"/>
        <w:spacing w:after="0" w:line="240" w:lineRule="auto"/>
        <w:ind w:left="993" w:right="4"/>
        <w:jc w:val="both"/>
        <w:rPr>
          <w:rFonts w:cs="Arial"/>
          <w:bCs/>
          <w:color w:val="003366"/>
          <w:sz w:val="28"/>
          <w:szCs w:val="28"/>
          <w:lang w:val="fr-FR"/>
        </w:rPr>
      </w:pPr>
    </w:p>
    <w:p w:rsidR="0050362C" w:rsidRPr="0096301E" w:rsidRDefault="0050362C" w:rsidP="003F7A8B">
      <w:pPr>
        <w:pStyle w:val="Default"/>
        <w:spacing w:line="300" w:lineRule="exact"/>
        <w:ind w:left="993"/>
        <w:jc w:val="both"/>
        <w:rPr>
          <w:rFonts w:asciiTheme="minorHAnsi" w:hAnsiTheme="minorHAnsi" w:cstheme="minorHAnsi"/>
          <w:lang w:val="fr-FR"/>
        </w:rPr>
      </w:pPr>
      <w:r w:rsidRPr="0096301E">
        <w:rPr>
          <w:rFonts w:asciiTheme="minorHAnsi" w:hAnsiTheme="minorHAnsi" w:cstheme="minorHAnsi"/>
          <w:lang w:val="fr-FR"/>
        </w:rPr>
        <w:t xml:space="preserve">Cera et KBC Ancora assurent, avec MRBB et d’Autres Actionnaires Stable (AVA), la stabilité de l’actionnariat et la poursuite de l’expansion du groupe KBC. À cette fin, une convention d’actionnaires d’une durée initiale de 10 ans avait été conclue le 23 décembre 2004. Ces accords sont désormais actualisés et prolongés pour une nouvelle période de 10 ans. </w:t>
      </w:r>
    </w:p>
    <w:p w:rsidR="0050362C" w:rsidRPr="0096301E" w:rsidRDefault="0050362C" w:rsidP="0050362C">
      <w:pPr>
        <w:pStyle w:val="Default"/>
        <w:rPr>
          <w:rFonts w:asciiTheme="minorHAnsi" w:hAnsiTheme="minorHAnsi" w:cstheme="minorHAnsi"/>
          <w:lang w:val="fr-FR"/>
        </w:rPr>
      </w:pPr>
    </w:p>
    <w:p w:rsidR="0050362C" w:rsidRPr="0096301E" w:rsidRDefault="0050362C" w:rsidP="003F7A8B">
      <w:pPr>
        <w:pStyle w:val="Default"/>
        <w:spacing w:line="300" w:lineRule="exact"/>
        <w:ind w:left="993"/>
        <w:jc w:val="both"/>
        <w:rPr>
          <w:rFonts w:asciiTheme="minorHAnsi" w:hAnsiTheme="minorHAnsi" w:cstheme="minorHAnsi"/>
          <w:lang w:val="fr-FR"/>
        </w:rPr>
      </w:pPr>
      <w:r w:rsidRPr="0096301E">
        <w:rPr>
          <w:rFonts w:asciiTheme="minorHAnsi" w:hAnsiTheme="minorHAnsi" w:cstheme="minorHAnsi"/>
          <w:lang w:val="fr-FR"/>
        </w:rPr>
        <w:t xml:space="preserve">C’est dans ce cadre que Cera, KBC Ancora, MRBB et d’Autres Actionnaires Stables (AVA) participeront avec toutes leurs actions à la convention d’actionnaires. La convention continuera donc à l’avenir de réunir plus de 30% de toutes les actions du groupe KBC. </w:t>
      </w:r>
    </w:p>
    <w:p w:rsidR="0050362C" w:rsidRPr="0096301E" w:rsidRDefault="0050362C" w:rsidP="0050362C">
      <w:pPr>
        <w:pStyle w:val="Default"/>
        <w:spacing w:line="300" w:lineRule="exact"/>
        <w:jc w:val="both"/>
        <w:rPr>
          <w:rFonts w:asciiTheme="minorHAnsi" w:hAnsiTheme="minorHAnsi" w:cstheme="minorHAnsi"/>
          <w:lang w:val="fr-FR"/>
        </w:rPr>
      </w:pPr>
    </w:p>
    <w:p w:rsidR="0050362C" w:rsidRPr="0096301E" w:rsidRDefault="0050362C" w:rsidP="003F7A8B">
      <w:pPr>
        <w:pStyle w:val="Default"/>
        <w:spacing w:line="300" w:lineRule="exact"/>
        <w:ind w:left="993"/>
        <w:jc w:val="both"/>
        <w:rPr>
          <w:rFonts w:asciiTheme="minorHAnsi" w:hAnsiTheme="minorHAnsi" w:cstheme="minorHAnsi"/>
          <w:lang w:val="fr-FR"/>
        </w:rPr>
      </w:pPr>
      <w:r w:rsidRPr="0096301E">
        <w:rPr>
          <w:rFonts w:asciiTheme="minorHAnsi" w:hAnsiTheme="minorHAnsi" w:cstheme="minorHAnsi"/>
          <w:lang w:val="fr-FR"/>
        </w:rPr>
        <w:t>Le nombre exact d’actions que toutes les parties réunissent dans le cadre de la concertation mutuelle sera établi le 1er décembre 2014 lorsque la prolongation de la convention entrera en vigueur et que les organes compétents de toutes les parties auront pris les décisions nécessaires.</w:t>
      </w:r>
    </w:p>
    <w:p w:rsidR="0050362C" w:rsidRPr="0096301E" w:rsidRDefault="0050362C" w:rsidP="0050362C">
      <w:pPr>
        <w:pStyle w:val="Default"/>
        <w:spacing w:line="300" w:lineRule="exact"/>
        <w:jc w:val="both"/>
        <w:rPr>
          <w:rFonts w:asciiTheme="minorHAnsi" w:hAnsiTheme="minorHAnsi" w:cstheme="minorHAnsi"/>
          <w:lang w:val="fr-FR"/>
        </w:rPr>
      </w:pPr>
    </w:p>
    <w:p w:rsidR="0050362C" w:rsidRPr="0096301E" w:rsidRDefault="0050362C" w:rsidP="0050362C">
      <w:pPr>
        <w:pStyle w:val="Default"/>
        <w:spacing w:line="300" w:lineRule="exact"/>
        <w:jc w:val="both"/>
        <w:rPr>
          <w:sz w:val="21"/>
          <w:szCs w:val="21"/>
          <w:lang w:val="fr-FR"/>
        </w:rPr>
      </w:pPr>
    </w:p>
    <w:p w:rsidR="00B91505" w:rsidRPr="0096301E" w:rsidRDefault="00B91505" w:rsidP="002D344C">
      <w:pPr>
        <w:autoSpaceDE w:val="0"/>
        <w:autoSpaceDN w:val="0"/>
        <w:adjustRightInd w:val="0"/>
        <w:spacing w:after="0" w:line="240" w:lineRule="auto"/>
        <w:ind w:left="993" w:right="4"/>
        <w:rPr>
          <w:rFonts w:ascii="Rockwell" w:hAnsi="Rockwell" w:cs="Arial"/>
          <w:b/>
          <w:bCs/>
          <w:color w:val="003768"/>
          <w:sz w:val="28"/>
          <w:szCs w:val="28"/>
          <w:lang w:val="fr-FR" w:eastAsia="nl-BE"/>
        </w:rPr>
      </w:pPr>
      <w:bookmarkStart w:id="0" w:name="_GoBack"/>
      <w:bookmarkEnd w:id="0"/>
    </w:p>
    <w:p w:rsidR="003F7A8B" w:rsidRPr="0096301E" w:rsidRDefault="003F7A8B" w:rsidP="002D34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571370" w:rsidRPr="0096301E" w:rsidRDefault="00B91505" w:rsidP="00571370">
      <w:pPr>
        <w:autoSpaceDE w:val="0"/>
        <w:autoSpaceDN w:val="0"/>
        <w:adjustRightInd w:val="0"/>
        <w:spacing w:after="120" w:line="240" w:lineRule="auto"/>
        <w:ind w:left="993" w:right="4"/>
        <w:rPr>
          <w:rFonts w:ascii="Rockwell" w:hAnsi="Rockwell" w:cs="Arial"/>
          <w:b/>
          <w:bCs/>
          <w:color w:val="003768"/>
          <w:sz w:val="24"/>
          <w:szCs w:val="24"/>
          <w:lang w:val="fr-FR" w:eastAsia="nl-BE"/>
        </w:rPr>
      </w:pPr>
      <w:r w:rsidRPr="0096301E">
        <w:rPr>
          <w:rFonts w:ascii="Rockwell" w:hAnsi="Rockwell" w:cs="Arial"/>
          <w:b/>
          <w:bCs/>
          <w:color w:val="003768"/>
          <w:sz w:val="24"/>
          <w:szCs w:val="24"/>
          <w:lang w:val="fr-FR"/>
        </w:rPr>
        <w:t>Pour tout complément d’information, veuillez vous adresser à :</w:t>
      </w:r>
    </w:p>
    <w:p w:rsidR="00B91505" w:rsidRPr="0096301E" w:rsidRDefault="00B91505" w:rsidP="00571370">
      <w:pPr>
        <w:autoSpaceDE w:val="0"/>
        <w:autoSpaceDN w:val="0"/>
        <w:adjustRightInd w:val="0"/>
        <w:spacing w:after="0" w:line="240" w:lineRule="auto"/>
        <w:ind w:left="993" w:right="4"/>
        <w:rPr>
          <w:rFonts w:ascii="Rockwell" w:hAnsi="Rockwell" w:cs="Arial"/>
          <w:b/>
          <w:bCs/>
          <w:color w:val="003768"/>
          <w:sz w:val="20"/>
          <w:szCs w:val="20"/>
          <w:lang w:val="fr-FR" w:eastAsia="nl-BE"/>
        </w:rPr>
      </w:pPr>
      <w:r w:rsidRPr="0096301E">
        <w:rPr>
          <w:color w:val="003768"/>
          <w:sz w:val="20"/>
          <w:szCs w:val="20"/>
          <w:lang w:val="fr-FR"/>
        </w:rPr>
        <w:t>Wim Allegaert, directeur Investor Relations, KBC Groupe</w:t>
      </w:r>
    </w:p>
    <w:p w:rsidR="00571370" w:rsidRPr="0096301E" w:rsidRDefault="00571370" w:rsidP="00571370">
      <w:pPr>
        <w:pStyle w:val="NoSpacing"/>
        <w:spacing w:after="120"/>
        <w:ind w:left="993"/>
        <w:rPr>
          <w:color w:val="00AEEF"/>
          <w:sz w:val="20"/>
          <w:szCs w:val="20"/>
          <w:lang w:val="fr-FR"/>
        </w:rPr>
      </w:pPr>
      <w:r w:rsidRPr="0096301E">
        <w:rPr>
          <w:color w:val="003768"/>
          <w:sz w:val="20"/>
          <w:szCs w:val="20"/>
          <w:lang w:val="fr-FR"/>
        </w:rPr>
        <w:t>Tél. +32 2 429 50 51  - E-mail :</w:t>
      </w:r>
      <w:hyperlink r:id="rId10" w:history="1">
        <w:r w:rsidR="00B91505" w:rsidRPr="0096301E">
          <w:rPr>
            <w:rStyle w:val="Hyperlink"/>
            <w:rFonts w:cs="Arial"/>
            <w:color w:val="00AEEF"/>
            <w:sz w:val="20"/>
            <w:szCs w:val="20"/>
            <w:lang w:val="fr-FR"/>
          </w:rPr>
          <w:t>wim.allegaert@kbc.be</w:t>
        </w:r>
      </w:hyperlink>
    </w:p>
    <w:p w:rsidR="00B91505" w:rsidRPr="0096301E" w:rsidRDefault="00B91505" w:rsidP="00571370">
      <w:pPr>
        <w:pStyle w:val="NoSpacing"/>
        <w:ind w:left="993"/>
        <w:rPr>
          <w:color w:val="00AEEF"/>
          <w:sz w:val="20"/>
          <w:szCs w:val="20"/>
          <w:lang w:val="fr-FR"/>
        </w:rPr>
      </w:pPr>
      <w:r w:rsidRPr="0096301E">
        <w:rPr>
          <w:rFonts w:cs="Arial"/>
          <w:color w:val="003768"/>
          <w:sz w:val="20"/>
          <w:szCs w:val="20"/>
          <w:lang w:val="fr-FR"/>
        </w:rPr>
        <w:t>Viviane Huybrecht, Directrice Communication Corporate / Porte-parole de KBC Groupe</w:t>
      </w:r>
    </w:p>
    <w:p w:rsidR="00B91505" w:rsidRPr="0096301E" w:rsidRDefault="00571370" w:rsidP="00571370">
      <w:pPr>
        <w:autoSpaceDE w:val="0"/>
        <w:autoSpaceDN w:val="0"/>
        <w:adjustRightInd w:val="0"/>
        <w:spacing w:after="0" w:line="240" w:lineRule="auto"/>
        <w:ind w:left="993" w:right="4"/>
        <w:rPr>
          <w:rFonts w:cs="Arial"/>
          <w:sz w:val="20"/>
          <w:szCs w:val="20"/>
          <w:lang w:val="fr-FR"/>
        </w:rPr>
      </w:pPr>
      <w:r w:rsidRPr="0096301E">
        <w:rPr>
          <w:rFonts w:cs="Arial"/>
          <w:color w:val="003768"/>
          <w:sz w:val="20"/>
          <w:szCs w:val="20"/>
          <w:lang w:val="fr-FR"/>
        </w:rPr>
        <w:t>Tél. +32 2 429 85 45  - E-mail :</w:t>
      </w:r>
      <w:hyperlink r:id="rId11" w:history="1">
        <w:r w:rsidR="00B91505" w:rsidRPr="0096301E">
          <w:rPr>
            <w:rStyle w:val="Hyperlink"/>
            <w:rFonts w:cs="Arial"/>
            <w:color w:val="00AEEF"/>
            <w:sz w:val="20"/>
            <w:szCs w:val="20"/>
            <w:lang w:val="fr-FR"/>
          </w:rPr>
          <w:t>pressofficekbc@kbc.be</w:t>
        </w:r>
      </w:hyperlink>
    </w:p>
    <w:p w:rsidR="003F7A8B" w:rsidRPr="0096301E" w:rsidRDefault="003F7A8B" w:rsidP="003F7A8B">
      <w:pPr>
        <w:pStyle w:val="Default"/>
        <w:rPr>
          <w:sz w:val="21"/>
          <w:szCs w:val="21"/>
          <w:lang w:val="fr-FR"/>
        </w:rPr>
      </w:pPr>
    </w:p>
    <w:p w:rsidR="003F7A8B" w:rsidRPr="0096301E" w:rsidRDefault="003F7A8B" w:rsidP="003F7A8B">
      <w:pPr>
        <w:pStyle w:val="Default"/>
        <w:ind w:left="273" w:firstLine="720"/>
        <w:rPr>
          <w:rFonts w:ascii="Calibri" w:hAnsi="Calibri" w:cs="Calibri"/>
          <w:sz w:val="20"/>
          <w:szCs w:val="20"/>
          <w:lang w:val="fr-FR"/>
        </w:rPr>
      </w:pPr>
      <w:r w:rsidRPr="0096301E">
        <w:rPr>
          <w:rFonts w:ascii="Calibri" w:hAnsi="Calibri" w:cs="Calibri"/>
          <w:sz w:val="20"/>
          <w:szCs w:val="20"/>
          <w:lang w:val="fr-FR"/>
        </w:rPr>
        <w:t>KBC Ancora Investor Relations &amp; Pers contact : Jan Bergmans</w:t>
      </w:r>
    </w:p>
    <w:p w:rsidR="003F7A8B" w:rsidRPr="0096301E" w:rsidRDefault="003F7A8B" w:rsidP="003F7A8B">
      <w:pPr>
        <w:pStyle w:val="Default"/>
        <w:ind w:left="273" w:firstLine="720"/>
        <w:rPr>
          <w:rStyle w:val="Hyperlink"/>
          <w:rFonts w:ascii="Calibri" w:hAnsi="Calibri" w:cs="Calibri"/>
          <w:color w:val="00B0F0"/>
          <w:sz w:val="20"/>
          <w:szCs w:val="20"/>
          <w:lang w:val="fr-FR"/>
        </w:rPr>
      </w:pPr>
      <w:r w:rsidRPr="0096301E">
        <w:rPr>
          <w:rFonts w:ascii="Calibri" w:hAnsi="Calibri" w:cs="Calibri"/>
          <w:sz w:val="20"/>
          <w:szCs w:val="20"/>
          <w:lang w:val="fr-FR"/>
        </w:rPr>
        <w:t xml:space="preserve">tél.: +32 (0)16 27 96 72 ; e-mail : </w:t>
      </w:r>
      <w:hyperlink r:id="rId12" w:history="1">
        <w:r w:rsidRPr="0096301E">
          <w:rPr>
            <w:rStyle w:val="Hyperlink"/>
            <w:rFonts w:ascii="Calibri" w:hAnsi="Calibri" w:cs="Calibri"/>
            <w:color w:val="00B0F0"/>
            <w:sz w:val="20"/>
            <w:szCs w:val="20"/>
            <w:lang w:val="fr-FR"/>
          </w:rPr>
          <w:t>jan.bergmans@kbcancora.be</w:t>
        </w:r>
      </w:hyperlink>
    </w:p>
    <w:p w:rsidR="003F7A8B" w:rsidRPr="0096301E" w:rsidRDefault="003F42C7" w:rsidP="003F7A8B">
      <w:pPr>
        <w:pStyle w:val="Default"/>
        <w:ind w:left="273" w:firstLine="720"/>
        <w:rPr>
          <w:rStyle w:val="Hyperlink"/>
          <w:rFonts w:ascii="Calibri" w:hAnsi="Calibri" w:cs="Calibri"/>
          <w:color w:val="00B0F0"/>
          <w:sz w:val="20"/>
          <w:szCs w:val="20"/>
          <w:lang w:val="fr-FR"/>
        </w:rPr>
      </w:pPr>
      <w:hyperlink r:id="rId13" w:history="1">
        <w:r w:rsidR="003F7A8B" w:rsidRPr="0096301E">
          <w:rPr>
            <w:rStyle w:val="Hyperlink"/>
            <w:rFonts w:ascii="Calibri" w:hAnsi="Calibri" w:cs="Calibri"/>
            <w:color w:val="00B0F0"/>
            <w:sz w:val="20"/>
            <w:szCs w:val="20"/>
            <w:lang w:val="fr-FR"/>
          </w:rPr>
          <w:t>www.kbcaconcora.be</w:t>
        </w:r>
      </w:hyperlink>
    </w:p>
    <w:p w:rsidR="003F7A8B" w:rsidRPr="0096301E" w:rsidRDefault="003F7A8B" w:rsidP="003F7A8B">
      <w:pPr>
        <w:pStyle w:val="Default"/>
        <w:ind w:left="273" w:firstLine="720"/>
        <w:rPr>
          <w:rFonts w:ascii="Calibri" w:hAnsi="Calibri" w:cs="Calibri"/>
          <w:color w:val="00B0F0"/>
          <w:sz w:val="20"/>
          <w:szCs w:val="20"/>
          <w:lang w:val="fr-FR"/>
        </w:rPr>
      </w:pPr>
    </w:p>
    <w:p w:rsidR="003F7A8B" w:rsidRPr="0096301E" w:rsidRDefault="003F7A8B" w:rsidP="003F7A8B">
      <w:pPr>
        <w:pStyle w:val="Default"/>
        <w:ind w:left="273" w:firstLine="720"/>
        <w:rPr>
          <w:rFonts w:ascii="Calibri" w:hAnsi="Calibri" w:cs="Calibri"/>
          <w:sz w:val="20"/>
          <w:szCs w:val="20"/>
          <w:lang w:val="fr-FR"/>
        </w:rPr>
      </w:pPr>
      <w:r w:rsidRPr="0096301E">
        <w:rPr>
          <w:rFonts w:ascii="Calibri" w:hAnsi="Calibri" w:cs="Calibri"/>
          <w:sz w:val="20"/>
          <w:szCs w:val="20"/>
          <w:lang w:val="fr-FR"/>
        </w:rPr>
        <w:t xml:space="preserve">Cera : Hilde Talloen, Responsable Communication, </w:t>
      </w:r>
    </w:p>
    <w:p w:rsidR="003F7A8B" w:rsidRPr="0096301E" w:rsidRDefault="003F7A8B" w:rsidP="003F7A8B">
      <w:pPr>
        <w:pStyle w:val="Default"/>
        <w:ind w:left="273" w:firstLine="720"/>
        <w:rPr>
          <w:rFonts w:ascii="Calibri" w:hAnsi="Calibri" w:cs="Calibri"/>
          <w:color w:val="00B0F0"/>
          <w:sz w:val="20"/>
          <w:szCs w:val="20"/>
          <w:lang w:val="fr-FR"/>
        </w:rPr>
      </w:pPr>
      <w:r w:rsidRPr="0096301E">
        <w:rPr>
          <w:rFonts w:ascii="Calibri" w:hAnsi="Calibri" w:cs="Calibri"/>
          <w:sz w:val="20"/>
          <w:szCs w:val="20"/>
          <w:lang w:val="fr-FR"/>
        </w:rPr>
        <w:t>tél. 016 27 96 79, e-mail :</w:t>
      </w:r>
      <w:hyperlink r:id="rId14" w:history="1">
        <w:r w:rsidRPr="0096301E">
          <w:rPr>
            <w:rStyle w:val="Hyperlink"/>
            <w:rFonts w:ascii="Calibri" w:hAnsi="Calibri" w:cs="Calibri"/>
            <w:color w:val="00B0F0"/>
            <w:sz w:val="20"/>
            <w:szCs w:val="20"/>
            <w:lang w:val="fr-FR"/>
          </w:rPr>
          <w:t xml:space="preserve"> Hilde.Talloen@cera.be</w:t>
        </w:r>
      </w:hyperlink>
      <w:r w:rsidRPr="0096301E">
        <w:rPr>
          <w:rFonts w:ascii="Calibri" w:hAnsi="Calibri" w:cs="Calibri"/>
          <w:color w:val="00B0F0"/>
          <w:sz w:val="20"/>
          <w:szCs w:val="20"/>
          <w:lang w:val="fr-FR"/>
        </w:rPr>
        <w:t xml:space="preserve"> </w:t>
      </w:r>
    </w:p>
    <w:p w:rsidR="003F7A8B" w:rsidRPr="0096301E" w:rsidRDefault="003F7A8B" w:rsidP="003F7A8B">
      <w:pPr>
        <w:pStyle w:val="Default"/>
        <w:ind w:left="273" w:firstLine="720"/>
        <w:rPr>
          <w:rFonts w:ascii="Calibri" w:hAnsi="Calibri" w:cs="Calibri"/>
          <w:color w:val="00B0F0"/>
          <w:sz w:val="20"/>
          <w:szCs w:val="20"/>
          <w:lang w:val="fr-FR"/>
        </w:rPr>
      </w:pPr>
      <w:r w:rsidRPr="0096301E">
        <w:rPr>
          <w:rFonts w:ascii="Calibri" w:hAnsi="Calibri" w:cs="Calibri"/>
          <w:color w:val="00B0F0"/>
          <w:sz w:val="20"/>
          <w:szCs w:val="20"/>
          <w:lang w:val="fr-FR"/>
        </w:rPr>
        <w:t>www.cera.be</w:t>
      </w:r>
    </w:p>
    <w:p w:rsidR="003F7A8B" w:rsidRDefault="003F7A8B" w:rsidP="003F7A8B">
      <w:pPr>
        <w:autoSpaceDE w:val="0"/>
        <w:autoSpaceDN w:val="0"/>
        <w:adjustRightInd w:val="0"/>
        <w:spacing w:after="0" w:line="240" w:lineRule="auto"/>
        <w:ind w:left="993" w:right="4"/>
        <w:rPr>
          <w:rFonts w:asciiTheme="minorHAnsi" w:hAnsiTheme="minorHAnsi" w:cstheme="minorHAnsi"/>
          <w:b/>
          <w:bCs/>
          <w:color w:val="00B0F0"/>
          <w:sz w:val="20"/>
          <w:szCs w:val="20"/>
          <w:lang w:val="fr-FR" w:eastAsia="nl-BE"/>
        </w:rPr>
      </w:pPr>
    </w:p>
    <w:p w:rsidR="00104763" w:rsidRDefault="00104763" w:rsidP="003F7A8B">
      <w:pPr>
        <w:autoSpaceDE w:val="0"/>
        <w:autoSpaceDN w:val="0"/>
        <w:adjustRightInd w:val="0"/>
        <w:spacing w:after="0" w:line="240" w:lineRule="auto"/>
        <w:ind w:left="993" w:right="4"/>
        <w:rPr>
          <w:rFonts w:asciiTheme="minorHAnsi" w:hAnsiTheme="minorHAnsi" w:cstheme="minorHAnsi"/>
          <w:b/>
          <w:bCs/>
          <w:color w:val="00B0F0"/>
          <w:sz w:val="20"/>
          <w:szCs w:val="20"/>
          <w:lang w:val="fr-FR" w:eastAsia="nl-BE"/>
        </w:rPr>
      </w:pPr>
    </w:p>
    <w:p w:rsidR="00104763" w:rsidRDefault="00104763" w:rsidP="003F7A8B">
      <w:pPr>
        <w:autoSpaceDE w:val="0"/>
        <w:autoSpaceDN w:val="0"/>
        <w:adjustRightInd w:val="0"/>
        <w:spacing w:after="0" w:line="240" w:lineRule="auto"/>
        <w:ind w:left="993" w:right="4"/>
        <w:rPr>
          <w:rFonts w:asciiTheme="minorHAnsi" w:hAnsiTheme="minorHAnsi" w:cstheme="minorHAnsi"/>
          <w:b/>
          <w:bCs/>
          <w:color w:val="00B0F0"/>
          <w:sz w:val="20"/>
          <w:szCs w:val="20"/>
          <w:lang w:val="fr-FR" w:eastAsia="nl-BE"/>
        </w:rPr>
      </w:pPr>
    </w:p>
    <w:p w:rsidR="00104763" w:rsidRDefault="00104763" w:rsidP="003F7A8B">
      <w:pPr>
        <w:autoSpaceDE w:val="0"/>
        <w:autoSpaceDN w:val="0"/>
        <w:adjustRightInd w:val="0"/>
        <w:spacing w:after="0" w:line="240" w:lineRule="auto"/>
        <w:ind w:left="993" w:right="4"/>
        <w:rPr>
          <w:rFonts w:asciiTheme="minorHAnsi" w:hAnsiTheme="minorHAnsi" w:cstheme="minorHAnsi"/>
          <w:b/>
          <w:bCs/>
          <w:color w:val="00B0F0"/>
          <w:sz w:val="20"/>
          <w:szCs w:val="20"/>
          <w:lang w:val="fr-FR" w:eastAsia="nl-BE"/>
        </w:rPr>
      </w:pPr>
    </w:p>
    <w:p w:rsidR="00104763" w:rsidRDefault="00104763" w:rsidP="003F7A8B">
      <w:pPr>
        <w:autoSpaceDE w:val="0"/>
        <w:autoSpaceDN w:val="0"/>
        <w:adjustRightInd w:val="0"/>
        <w:spacing w:after="0" w:line="240" w:lineRule="auto"/>
        <w:ind w:left="993" w:right="4"/>
        <w:rPr>
          <w:rFonts w:asciiTheme="minorHAnsi" w:hAnsiTheme="minorHAnsi" w:cstheme="minorHAnsi"/>
          <w:b/>
          <w:bCs/>
          <w:color w:val="00B0F0"/>
          <w:sz w:val="20"/>
          <w:szCs w:val="20"/>
          <w:lang w:val="fr-FR" w:eastAsia="nl-BE"/>
        </w:rPr>
      </w:pPr>
    </w:p>
    <w:p w:rsidR="00104763" w:rsidRDefault="00104763" w:rsidP="003F7A8B">
      <w:pPr>
        <w:autoSpaceDE w:val="0"/>
        <w:autoSpaceDN w:val="0"/>
        <w:adjustRightInd w:val="0"/>
        <w:spacing w:after="0" w:line="240" w:lineRule="auto"/>
        <w:ind w:left="993" w:right="4"/>
        <w:rPr>
          <w:rFonts w:asciiTheme="minorHAnsi" w:hAnsiTheme="minorHAnsi" w:cstheme="minorHAnsi"/>
          <w:b/>
          <w:bCs/>
          <w:color w:val="00B0F0"/>
          <w:sz w:val="20"/>
          <w:szCs w:val="20"/>
          <w:lang w:val="fr-FR" w:eastAsia="nl-BE"/>
        </w:rPr>
      </w:pPr>
    </w:p>
    <w:p w:rsidR="00104763" w:rsidRDefault="00104763" w:rsidP="003F7A8B">
      <w:pPr>
        <w:autoSpaceDE w:val="0"/>
        <w:autoSpaceDN w:val="0"/>
        <w:adjustRightInd w:val="0"/>
        <w:spacing w:after="0" w:line="240" w:lineRule="auto"/>
        <w:ind w:left="993" w:right="4"/>
        <w:rPr>
          <w:rFonts w:asciiTheme="minorHAnsi" w:hAnsiTheme="minorHAnsi" w:cstheme="minorHAnsi"/>
          <w:b/>
          <w:bCs/>
          <w:color w:val="00B0F0"/>
          <w:sz w:val="20"/>
          <w:szCs w:val="20"/>
          <w:lang w:val="fr-FR" w:eastAsia="nl-BE"/>
        </w:rPr>
      </w:pPr>
    </w:p>
    <w:p w:rsidR="00104763" w:rsidRPr="0096301E" w:rsidRDefault="00104763" w:rsidP="003F7A8B">
      <w:pPr>
        <w:autoSpaceDE w:val="0"/>
        <w:autoSpaceDN w:val="0"/>
        <w:adjustRightInd w:val="0"/>
        <w:spacing w:after="0" w:line="240" w:lineRule="auto"/>
        <w:ind w:left="993" w:right="4"/>
        <w:rPr>
          <w:rFonts w:asciiTheme="minorHAnsi" w:hAnsiTheme="minorHAnsi" w:cstheme="minorHAnsi"/>
          <w:b/>
          <w:bCs/>
          <w:color w:val="00B0F0"/>
          <w:sz w:val="20"/>
          <w:szCs w:val="20"/>
          <w:lang w:val="fr-FR" w:eastAsia="nl-BE"/>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CE168D" w:rsidRPr="00104763" w:rsidTr="00020337">
        <w:trPr>
          <w:trHeight w:val="356"/>
        </w:trPr>
        <w:tc>
          <w:tcPr>
            <w:tcW w:w="9780" w:type="dxa"/>
            <w:gridSpan w:val="3"/>
            <w:shd w:val="clear" w:color="auto" w:fill="FFFFFF"/>
            <w:tcMar>
              <w:top w:w="15" w:type="dxa"/>
              <w:left w:w="15" w:type="dxa"/>
              <w:bottom w:w="0" w:type="dxa"/>
              <w:right w:w="15" w:type="dxa"/>
            </w:tcMar>
            <w:vAlign w:val="center"/>
            <w:hideMark/>
          </w:tcPr>
          <w:p w:rsidR="00CE168D" w:rsidRPr="0096301E" w:rsidRDefault="00892218" w:rsidP="00892218">
            <w:pPr>
              <w:autoSpaceDE w:val="0"/>
              <w:autoSpaceDN w:val="0"/>
              <w:adjustRightInd w:val="0"/>
              <w:spacing w:after="0" w:line="240" w:lineRule="auto"/>
              <w:rPr>
                <w:b/>
                <w:bCs/>
                <w:color w:val="003768"/>
                <w:sz w:val="18"/>
                <w:szCs w:val="18"/>
                <w:lang w:val="fr-FR"/>
              </w:rPr>
            </w:pPr>
            <w:r w:rsidRPr="0096301E">
              <w:rPr>
                <w:rFonts w:ascii="Rockwell" w:hAnsi="Rockwell" w:cs="Rockwell"/>
                <w:color w:val="003768"/>
                <w:sz w:val="18"/>
                <w:szCs w:val="18"/>
                <w:lang w:val="fr-FR"/>
              </w:rPr>
              <w:t>Le présent communiqué contient des informations soumises à la législation européenne en matière de transparence des entreprises cotées.</w:t>
            </w:r>
          </w:p>
        </w:tc>
      </w:tr>
      <w:tr w:rsidR="00CE168D" w:rsidRPr="00104763" w:rsidTr="00020337">
        <w:trPr>
          <w:trHeight w:val="913"/>
        </w:trPr>
        <w:tc>
          <w:tcPr>
            <w:tcW w:w="3400" w:type="dxa"/>
            <w:shd w:val="clear" w:color="auto" w:fill="FFFFFF"/>
            <w:tcMar>
              <w:top w:w="15" w:type="dxa"/>
              <w:left w:w="15" w:type="dxa"/>
              <w:bottom w:w="0" w:type="dxa"/>
              <w:right w:w="15" w:type="dxa"/>
            </w:tcMar>
            <w:hideMark/>
          </w:tcPr>
          <w:p w:rsidR="00CE168D" w:rsidRPr="0096301E" w:rsidRDefault="00CE168D" w:rsidP="0064576A">
            <w:pPr>
              <w:pStyle w:val="Footer"/>
              <w:tabs>
                <w:tab w:val="bar" w:pos="-2709"/>
              </w:tabs>
              <w:rPr>
                <w:bCs/>
                <w:color w:val="00B0F0"/>
                <w:sz w:val="4"/>
                <w:szCs w:val="4"/>
                <w:lang w:val="fr-FR"/>
              </w:rPr>
            </w:pPr>
          </w:p>
          <w:p w:rsidR="00CE168D" w:rsidRPr="0096301E" w:rsidRDefault="00CE168D" w:rsidP="0064576A">
            <w:pPr>
              <w:pStyle w:val="Footer"/>
              <w:tabs>
                <w:tab w:val="bar" w:pos="-2709"/>
              </w:tabs>
              <w:rPr>
                <w:rFonts w:ascii="Rockwell" w:hAnsi="Rockwell"/>
                <w:color w:val="00B0F0"/>
                <w:sz w:val="18"/>
                <w:szCs w:val="18"/>
                <w:lang w:val="fr-FR"/>
              </w:rPr>
            </w:pPr>
            <w:r w:rsidRPr="0096301E">
              <w:rPr>
                <w:rFonts w:ascii="Rockwell" w:hAnsi="Rockwell"/>
                <w:b/>
                <w:bCs/>
                <w:color w:val="00B0F0"/>
                <w:sz w:val="18"/>
                <w:szCs w:val="18"/>
                <w:lang w:val="fr-FR"/>
              </w:rPr>
              <w:t>KBC Groupe SA</w:t>
            </w:r>
          </w:p>
          <w:p w:rsidR="00CE168D" w:rsidRPr="0096301E" w:rsidRDefault="00CE168D" w:rsidP="0064576A">
            <w:pPr>
              <w:pStyle w:val="Footer"/>
              <w:tabs>
                <w:tab w:val="bar" w:pos="-2709"/>
              </w:tabs>
              <w:rPr>
                <w:color w:val="002060"/>
                <w:sz w:val="14"/>
                <w:szCs w:val="14"/>
                <w:lang w:val="fr-FR"/>
              </w:rPr>
            </w:pPr>
            <w:r w:rsidRPr="0096301E">
              <w:rPr>
                <w:b/>
                <w:bCs/>
                <w:color w:val="002060"/>
                <w:sz w:val="14"/>
                <w:szCs w:val="14"/>
                <w:lang w:val="fr-FR"/>
              </w:rPr>
              <w:t>Avenue du Port 2 - 1080 Bruxelles</w:t>
            </w:r>
          </w:p>
          <w:p w:rsidR="00CE168D" w:rsidRPr="0096301E" w:rsidRDefault="00CE168D" w:rsidP="0064576A">
            <w:pPr>
              <w:pStyle w:val="Footer"/>
              <w:tabs>
                <w:tab w:val="bar" w:pos="-2709"/>
              </w:tabs>
              <w:rPr>
                <w:color w:val="002060"/>
                <w:sz w:val="14"/>
                <w:szCs w:val="14"/>
                <w:lang w:val="fr-FR"/>
              </w:rPr>
            </w:pPr>
            <w:r w:rsidRPr="0096301E">
              <w:rPr>
                <w:b/>
                <w:bCs/>
                <w:color w:val="002060"/>
                <w:sz w:val="14"/>
                <w:szCs w:val="14"/>
                <w:lang w:val="fr-FR"/>
              </w:rPr>
              <w:t>Viviane Huybrecht</w:t>
            </w:r>
          </w:p>
          <w:p w:rsidR="00892218" w:rsidRPr="0096301E" w:rsidRDefault="00892218" w:rsidP="00892218">
            <w:pPr>
              <w:autoSpaceDE w:val="0"/>
              <w:autoSpaceDN w:val="0"/>
              <w:adjustRightInd w:val="0"/>
              <w:spacing w:after="0" w:line="240" w:lineRule="auto"/>
              <w:rPr>
                <w:rFonts w:cs="Arial"/>
                <w:b/>
                <w:color w:val="003768"/>
                <w:sz w:val="14"/>
                <w:szCs w:val="14"/>
                <w:lang w:val="fr-FR" w:eastAsia="nl-BE"/>
              </w:rPr>
            </w:pPr>
            <w:r w:rsidRPr="0096301E">
              <w:rPr>
                <w:rFonts w:cs="Arial"/>
                <w:b/>
                <w:color w:val="003768"/>
                <w:sz w:val="14"/>
                <w:szCs w:val="14"/>
                <w:lang w:val="fr-FR"/>
              </w:rPr>
              <w:t>Directeur Co</w:t>
            </w:r>
            <w:r w:rsidR="0096301E">
              <w:rPr>
                <w:rFonts w:cs="Arial"/>
                <w:b/>
                <w:color w:val="003768"/>
                <w:sz w:val="14"/>
                <w:szCs w:val="14"/>
                <w:lang w:val="fr-FR"/>
              </w:rPr>
              <w:t>mmunication</w:t>
            </w:r>
          </w:p>
          <w:p w:rsidR="007728B6" w:rsidRPr="0096301E" w:rsidRDefault="00892218" w:rsidP="007728B6">
            <w:pPr>
              <w:autoSpaceDE w:val="0"/>
              <w:autoSpaceDN w:val="0"/>
              <w:adjustRightInd w:val="0"/>
              <w:spacing w:after="0" w:line="240" w:lineRule="auto"/>
              <w:rPr>
                <w:rFonts w:cs="Arial"/>
                <w:b/>
                <w:color w:val="003768"/>
                <w:sz w:val="14"/>
                <w:szCs w:val="14"/>
                <w:lang w:val="fr-FR" w:eastAsia="nl-BE"/>
              </w:rPr>
            </w:pPr>
            <w:r w:rsidRPr="0096301E">
              <w:rPr>
                <w:rFonts w:cs="Arial"/>
                <w:b/>
                <w:color w:val="003768"/>
                <w:sz w:val="14"/>
                <w:szCs w:val="14"/>
                <w:lang w:val="fr-FR"/>
              </w:rPr>
              <w:t>Co</w:t>
            </w:r>
            <w:r w:rsidR="0096301E">
              <w:rPr>
                <w:rFonts w:cs="Arial"/>
                <w:b/>
                <w:color w:val="003768"/>
                <w:sz w:val="14"/>
                <w:szCs w:val="14"/>
                <w:lang w:val="fr-FR"/>
              </w:rPr>
              <w:t>rporate /</w:t>
            </w:r>
          </w:p>
          <w:p w:rsidR="00945D83" w:rsidRPr="0096301E" w:rsidRDefault="00892218" w:rsidP="007728B6">
            <w:pPr>
              <w:autoSpaceDE w:val="0"/>
              <w:autoSpaceDN w:val="0"/>
              <w:adjustRightInd w:val="0"/>
              <w:spacing w:after="0" w:line="240" w:lineRule="auto"/>
              <w:rPr>
                <w:rFonts w:cs="Arial"/>
                <w:b/>
                <w:color w:val="003768"/>
                <w:sz w:val="14"/>
                <w:szCs w:val="14"/>
                <w:lang w:val="fr-FR" w:eastAsia="nl-BE"/>
              </w:rPr>
            </w:pPr>
            <w:r w:rsidRPr="0096301E">
              <w:rPr>
                <w:rFonts w:cs="Arial"/>
                <w:b/>
                <w:color w:val="003768"/>
                <w:sz w:val="14"/>
                <w:szCs w:val="14"/>
                <w:lang w:val="fr-FR"/>
              </w:rPr>
              <w:t>porte-parole</w:t>
            </w:r>
          </w:p>
          <w:p w:rsidR="00CE168D" w:rsidRPr="0096301E" w:rsidRDefault="00945D83" w:rsidP="00892218">
            <w:pPr>
              <w:pStyle w:val="Footer"/>
              <w:tabs>
                <w:tab w:val="bar" w:pos="-2709"/>
              </w:tabs>
              <w:rPr>
                <w:b/>
                <w:bCs/>
                <w:color w:val="002060"/>
                <w:sz w:val="14"/>
                <w:szCs w:val="14"/>
                <w:lang w:val="fr-FR"/>
              </w:rPr>
            </w:pPr>
            <w:r w:rsidRPr="0096301E">
              <w:rPr>
                <w:b/>
                <w:bCs/>
                <w:color w:val="002060"/>
                <w:sz w:val="14"/>
                <w:szCs w:val="14"/>
                <w:lang w:val="fr-FR"/>
              </w:rPr>
              <w:t>Tél. 02 429 85 45</w:t>
            </w:r>
          </w:p>
          <w:p w:rsidR="00CE168D" w:rsidRPr="0096301E" w:rsidRDefault="00CE168D" w:rsidP="0064576A">
            <w:pPr>
              <w:pStyle w:val="Footer"/>
              <w:tabs>
                <w:tab w:val="bar" w:pos="-2709"/>
              </w:tabs>
              <w:rPr>
                <w:b/>
                <w:bCs/>
                <w:color w:val="002060"/>
                <w:sz w:val="4"/>
                <w:szCs w:val="4"/>
                <w:lang w:val="fr-FR"/>
              </w:rPr>
            </w:pPr>
          </w:p>
        </w:tc>
        <w:tc>
          <w:tcPr>
            <w:tcW w:w="3400" w:type="dxa"/>
            <w:shd w:val="clear" w:color="auto" w:fill="FFFFFF"/>
            <w:tcMar>
              <w:top w:w="15" w:type="dxa"/>
              <w:left w:w="15" w:type="dxa"/>
              <w:bottom w:w="0" w:type="dxa"/>
              <w:right w:w="15" w:type="dxa"/>
            </w:tcMar>
            <w:hideMark/>
          </w:tcPr>
          <w:p w:rsidR="00CE168D" w:rsidRPr="0096301E" w:rsidRDefault="00CE168D" w:rsidP="0064576A">
            <w:pPr>
              <w:pStyle w:val="Footer"/>
              <w:tabs>
                <w:tab w:val="bar" w:pos="-2709"/>
              </w:tabs>
              <w:rPr>
                <w:b/>
                <w:bCs/>
                <w:color w:val="002060"/>
                <w:sz w:val="4"/>
                <w:szCs w:val="4"/>
                <w:lang w:val="fr-FR"/>
              </w:rPr>
            </w:pPr>
          </w:p>
          <w:p w:rsidR="00CE168D" w:rsidRPr="0096301E" w:rsidRDefault="00CE168D" w:rsidP="0064576A">
            <w:pPr>
              <w:pStyle w:val="Footer"/>
              <w:tabs>
                <w:tab w:val="bar" w:pos="-2709"/>
              </w:tabs>
              <w:rPr>
                <w:rFonts w:ascii="Rockwell" w:hAnsi="Rockwell"/>
                <w:b/>
                <w:bCs/>
                <w:color w:val="002060"/>
                <w:sz w:val="18"/>
                <w:szCs w:val="18"/>
                <w:lang w:val="fr-FR"/>
              </w:rPr>
            </w:pPr>
          </w:p>
          <w:p w:rsidR="00945D83" w:rsidRPr="0096301E" w:rsidRDefault="00945D83" w:rsidP="0064576A">
            <w:pPr>
              <w:pStyle w:val="Footer"/>
              <w:tabs>
                <w:tab w:val="bar" w:pos="-2709"/>
              </w:tabs>
              <w:rPr>
                <w:rFonts w:cs="Arial"/>
                <w:b/>
                <w:color w:val="003768"/>
                <w:sz w:val="14"/>
                <w:szCs w:val="14"/>
                <w:lang w:val="fr-FR" w:eastAsia="nl-BE"/>
              </w:rPr>
            </w:pPr>
            <w:r w:rsidRPr="0096301E">
              <w:rPr>
                <w:rFonts w:cs="Arial"/>
                <w:b/>
                <w:color w:val="003768"/>
                <w:sz w:val="14"/>
                <w:szCs w:val="14"/>
                <w:lang w:val="fr-FR"/>
              </w:rPr>
              <w:t>Service Presse</w:t>
            </w:r>
          </w:p>
          <w:p w:rsidR="00CE168D" w:rsidRPr="0096301E" w:rsidRDefault="00CE168D" w:rsidP="0064576A">
            <w:pPr>
              <w:pStyle w:val="Footer"/>
              <w:tabs>
                <w:tab w:val="bar" w:pos="-2709"/>
              </w:tabs>
              <w:rPr>
                <w:b/>
                <w:bCs/>
                <w:color w:val="002060"/>
                <w:sz w:val="14"/>
                <w:szCs w:val="14"/>
                <w:lang w:val="fr-FR"/>
              </w:rPr>
            </w:pPr>
            <w:r w:rsidRPr="0096301E">
              <w:rPr>
                <w:b/>
                <w:bCs/>
                <w:color w:val="002060"/>
                <w:sz w:val="14"/>
                <w:szCs w:val="14"/>
                <w:lang w:val="fr-FR"/>
              </w:rPr>
              <w:t>Tél. 02 429 65 01 Stef Leunens, Responsable Contacts Presse</w:t>
            </w:r>
          </w:p>
          <w:p w:rsidR="00B5684E" w:rsidRPr="0096301E" w:rsidRDefault="00B5684E" w:rsidP="0064576A">
            <w:pPr>
              <w:pStyle w:val="Footer"/>
              <w:tabs>
                <w:tab w:val="bar" w:pos="-2709"/>
              </w:tabs>
              <w:rPr>
                <w:b/>
                <w:bCs/>
                <w:color w:val="002060"/>
                <w:sz w:val="14"/>
                <w:szCs w:val="14"/>
                <w:lang w:val="fr-FR"/>
              </w:rPr>
            </w:pPr>
            <w:r w:rsidRPr="0096301E">
              <w:rPr>
                <w:b/>
                <w:bCs/>
                <w:color w:val="002060"/>
                <w:sz w:val="14"/>
                <w:szCs w:val="14"/>
                <w:lang w:val="fr-FR"/>
              </w:rPr>
              <w:t>Tél. : 02 429 29 15 Ilse De Muyer, Responsable Contacts Presse</w:t>
            </w:r>
          </w:p>
          <w:p w:rsidR="00CE168D" w:rsidRPr="0096301E" w:rsidRDefault="00CE168D" w:rsidP="0064576A">
            <w:pPr>
              <w:pStyle w:val="Footer"/>
              <w:tabs>
                <w:tab w:val="bar" w:pos="-2709"/>
              </w:tabs>
              <w:rPr>
                <w:color w:val="002060"/>
                <w:sz w:val="14"/>
                <w:szCs w:val="14"/>
                <w:lang w:val="fr-FR"/>
              </w:rPr>
            </w:pPr>
            <w:r w:rsidRPr="0096301E">
              <w:rPr>
                <w:b/>
                <w:bCs/>
                <w:color w:val="002060"/>
                <w:sz w:val="14"/>
                <w:szCs w:val="14"/>
                <w:lang w:val="fr-FR"/>
              </w:rPr>
              <w:t>Fax 02 429 81 60</w:t>
            </w:r>
          </w:p>
          <w:p w:rsidR="00CE168D" w:rsidRPr="0096301E" w:rsidRDefault="00CE168D" w:rsidP="0064576A">
            <w:pPr>
              <w:pStyle w:val="Footer"/>
              <w:tabs>
                <w:tab w:val="bar" w:pos="-2709"/>
              </w:tabs>
              <w:rPr>
                <w:lang w:val="fr-FR"/>
              </w:rPr>
            </w:pPr>
            <w:r w:rsidRPr="0096301E">
              <w:rPr>
                <w:b/>
                <w:bCs/>
                <w:color w:val="002060"/>
                <w:sz w:val="14"/>
                <w:szCs w:val="14"/>
                <w:lang w:val="fr-FR"/>
              </w:rPr>
              <w:t xml:space="preserve">E-mail : </w:t>
            </w:r>
            <w:hyperlink r:id="rId15" w:history="1">
              <w:r w:rsidR="002F5967" w:rsidRPr="0096301E">
                <w:rPr>
                  <w:rStyle w:val="Hyperlink"/>
                  <w:b/>
                  <w:bCs/>
                  <w:color w:val="00AEEF"/>
                  <w:sz w:val="14"/>
                  <w:szCs w:val="14"/>
                  <w:lang w:val="fr-FR"/>
                </w:rPr>
                <w:t>pressofficekbc@kbc.be</w:t>
              </w:r>
            </w:hyperlink>
          </w:p>
        </w:tc>
        <w:tc>
          <w:tcPr>
            <w:tcW w:w="2980" w:type="dxa"/>
            <w:shd w:val="clear" w:color="auto" w:fill="FFFFFF"/>
            <w:tcMar>
              <w:top w:w="15" w:type="dxa"/>
              <w:left w:w="15" w:type="dxa"/>
              <w:bottom w:w="0" w:type="dxa"/>
              <w:right w:w="15" w:type="dxa"/>
            </w:tcMar>
            <w:hideMark/>
          </w:tcPr>
          <w:p w:rsidR="00CE168D" w:rsidRPr="0096301E" w:rsidRDefault="00CE168D" w:rsidP="0064576A">
            <w:pPr>
              <w:pStyle w:val="Footer"/>
              <w:tabs>
                <w:tab w:val="bar" w:pos="-2709"/>
              </w:tabs>
              <w:rPr>
                <w:b/>
                <w:bCs/>
                <w:color w:val="002060"/>
                <w:sz w:val="4"/>
                <w:szCs w:val="4"/>
                <w:lang w:val="fr-FR"/>
              </w:rPr>
            </w:pPr>
          </w:p>
          <w:p w:rsidR="00CE168D" w:rsidRPr="0096301E" w:rsidRDefault="00CE168D" w:rsidP="0064576A">
            <w:pPr>
              <w:pStyle w:val="Footer"/>
              <w:tabs>
                <w:tab w:val="bar" w:pos="-2709"/>
              </w:tabs>
              <w:rPr>
                <w:b/>
                <w:bCs/>
                <w:color w:val="002060"/>
                <w:sz w:val="18"/>
                <w:szCs w:val="18"/>
                <w:lang w:val="fr-FR"/>
              </w:rPr>
            </w:pPr>
          </w:p>
          <w:p w:rsidR="00CE168D" w:rsidRPr="0096301E" w:rsidRDefault="00945D83" w:rsidP="00945D83">
            <w:pPr>
              <w:autoSpaceDE w:val="0"/>
              <w:autoSpaceDN w:val="0"/>
              <w:adjustRightInd w:val="0"/>
              <w:spacing w:after="0" w:line="240" w:lineRule="auto"/>
              <w:rPr>
                <w:rFonts w:cs="Arial"/>
                <w:color w:val="003768"/>
                <w:sz w:val="14"/>
                <w:szCs w:val="14"/>
                <w:lang w:val="fr-FR" w:eastAsia="nl-BE"/>
              </w:rPr>
            </w:pPr>
            <w:r w:rsidRPr="0096301E">
              <w:rPr>
                <w:rFonts w:cs="Arial"/>
                <w:b/>
                <w:color w:val="003768"/>
                <w:sz w:val="14"/>
                <w:szCs w:val="14"/>
                <w:lang w:val="fr-FR"/>
              </w:rPr>
              <w:t xml:space="preserve">Les communiqués de presse de KBC sont disponibles sur </w:t>
            </w:r>
            <w:hyperlink r:id="rId16" w:history="1">
              <w:r w:rsidR="00CE168D" w:rsidRPr="0096301E">
                <w:rPr>
                  <w:rStyle w:val="Hyperlink"/>
                  <w:b/>
                  <w:bCs/>
                  <w:color w:val="00B0F0"/>
                  <w:sz w:val="14"/>
                  <w:szCs w:val="14"/>
                  <w:lang w:val="fr-FR"/>
                </w:rPr>
                <w:t>www.kbc.com</w:t>
              </w:r>
            </w:hyperlink>
            <w:r w:rsidRPr="0096301E">
              <w:rPr>
                <w:rFonts w:cs="Arial"/>
                <w:b/>
                <w:color w:val="003768"/>
                <w:sz w:val="14"/>
                <w:szCs w:val="14"/>
                <w:lang w:val="fr-FR"/>
              </w:rPr>
              <w:t xml:space="preserve"> ou peuvent être obtenus sur demande adressée par e-mail à </w:t>
            </w:r>
            <w:hyperlink r:id="rId17" w:history="1">
              <w:r w:rsidR="00CE168D" w:rsidRPr="0096301E">
                <w:rPr>
                  <w:rStyle w:val="Hyperlink"/>
                  <w:b/>
                  <w:bCs/>
                  <w:color w:val="00B0F0"/>
                  <w:sz w:val="14"/>
                  <w:szCs w:val="14"/>
                  <w:lang w:val="fr-FR"/>
                </w:rPr>
                <w:t>pressofficekbc@kbc.be.</w:t>
              </w:r>
            </w:hyperlink>
          </w:p>
          <w:p w:rsidR="00945D83" w:rsidRPr="0096301E" w:rsidRDefault="00945D83" w:rsidP="0064576A">
            <w:pPr>
              <w:pStyle w:val="Footer"/>
              <w:tabs>
                <w:tab w:val="bar" w:pos="-2709"/>
              </w:tabs>
              <w:spacing w:after="120"/>
              <w:rPr>
                <w:b/>
                <w:bCs/>
                <w:color w:val="002060"/>
                <w:sz w:val="14"/>
                <w:szCs w:val="14"/>
                <w:lang w:val="fr-FR"/>
              </w:rPr>
            </w:pPr>
          </w:p>
          <w:p w:rsidR="00CE168D" w:rsidRPr="0096301E" w:rsidRDefault="00945D83" w:rsidP="0064576A">
            <w:pPr>
              <w:pStyle w:val="Footer"/>
              <w:tabs>
                <w:tab w:val="bar" w:pos="-2709"/>
              </w:tabs>
              <w:spacing w:after="120"/>
              <w:rPr>
                <w:color w:val="002060"/>
                <w:lang w:val="fr-FR"/>
              </w:rPr>
            </w:pPr>
            <w:r w:rsidRPr="0096301E">
              <w:rPr>
                <w:rFonts w:cs="Calibri"/>
                <w:b/>
                <w:color w:val="003768"/>
                <w:sz w:val="14"/>
                <w:szCs w:val="14"/>
                <w:lang w:val="fr-FR"/>
              </w:rPr>
              <w:t>Suivez-nous sur</w:t>
            </w:r>
            <w:hyperlink r:id="rId18" w:history="1">
              <w:r w:rsidR="00CE168D" w:rsidRPr="0096301E">
                <w:rPr>
                  <w:rStyle w:val="Hyperlink"/>
                  <w:b/>
                  <w:bCs/>
                  <w:color w:val="00B0F0"/>
                  <w:sz w:val="14"/>
                  <w:szCs w:val="14"/>
                  <w:lang w:val="fr-FR"/>
                </w:rPr>
                <w:t>www.twitter.com/kbc_group</w:t>
              </w:r>
            </w:hyperlink>
          </w:p>
        </w:tc>
      </w:tr>
    </w:tbl>
    <w:p w:rsidR="004278B1" w:rsidRPr="0096301E" w:rsidRDefault="003F42C7" w:rsidP="00020337">
      <w:pPr>
        <w:pStyle w:val="NoSpacing"/>
        <w:ind w:left="993" w:right="664"/>
        <w:rPr>
          <w:lang w:val="fr-FR"/>
        </w:rPr>
      </w:pPr>
      <w:r>
        <w:rPr>
          <w:lang w:val="fr-FR"/>
        </w:rPr>
        <w:pict>
          <v:shape id="Text Box 10" o:spid="_x0000_s1027" type="#_x0000_t202" style="position:absolute;left:0;text-align:left;margin-left:0;margin-top:510pt;width:75.45pt;height:10.9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filled="f" stroked="f">
            <v:textbox inset="0,0,0,0">
              <w:txbxContent>
                <w:p w:rsidR="00892218" w:rsidRDefault="00892218"/>
              </w:txbxContent>
            </v:textbox>
          </v:shape>
        </w:pict>
      </w:r>
    </w:p>
    <w:sectPr w:rsidR="004278B1" w:rsidRPr="0096301E" w:rsidSect="00020337">
      <w:footerReference w:type="default" r:id="rId19"/>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5E9" w:rsidRDefault="001825E9" w:rsidP="00B91505">
      <w:pPr>
        <w:spacing w:after="0" w:line="240" w:lineRule="auto"/>
      </w:pPr>
      <w:r>
        <w:separator/>
      </w:r>
    </w:p>
  </w:endnote>
  <w:endnote w:type="continuationSeparator" w:id="0">
    <w:p w:rsidR="001825E9" w:rsidRDefault="001825E9" w:rsidP="00B9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05" w:rsidRDefault="00B91505">
    <w:pPr>
      <w:pStyle w:val="Footer"/>
      <w:jc w:val="center"/>
    </w:pPr>
    <w:r>
      <w:t xml:space="preserve">Page </w:t>
    </w:r>
    <w:r w:rsidR="00CC467E">
      <w:rPr>
        <w:b/>
        <w:sz w:val="24"/>
        <w:szCs w:val="24"/>
      </w:rPr>
      <w:fldChar w:fldCharType="begin"/>
    </w:r>
    <w:r>
      <w:rPr>
        <w:b/>
      </w:rPr>
      <w:instrText xml:space="preserve"> PAGE </w:instrText>
    </w:r>
    <w:r w:rsidR="00CC467E">
      <w:rPr>
        <w:b/>
        <w:sz w:val="24"/>
        <w:szCs w:val="24"/>
      </w:rPr>
      <w:fldChar w:fldCharType="separate"/>
    </w:r>
    <w:r w:rsidR="003F42C7">
      <w:rPr>
        <w:b/>
        <w:noProof/>
      </w:rPr>
      <w:t>2</w:t>
    </w:r>
    <w:r w:rsidR="00CC467E">
      <w:rPr>
        <w:b/>
        <w:sz w:val="24"/>
        <w:szCs w:val="24"/>
      </w:rPr>
      <w:fldChar w:fldCharType="end"/>
    </w:r>
    <w:r>
      <w:t xml:space="preserve"> de </w:t>
    </w:r>
    <w:r w:rsidR="00CC467E">
      <w:rPr>
        <w:b/>
        <w:sz w:val="24"/>
        <w:szCs w:val="24"/>
      </w:rPr>
      <w:fldChar w:fldCharType="begin"/>
    </w:r>
    <w:r>
      <w:rPr>
        <w:b/>
      </w:rPr>
      <w:instrText xml:space="preserve"> NUMPAGES  </w:instrText>
    </w:r>
    <w:r w:rsidR="00CC467E">
      <w:rPr>
        <w:b/>
        <w:sz w:val="24"/>
        <w:szCs w:val="24"/>
      </w:rPr>
      <w:fldChar w:fldCharType="separate"/>
    </w:r>
    <w:r w:rsidR="003F42C7">
      <w:rPr>
        <w:b/>
        <w:noProof/>
      </w:rPr>
      <w:t>2</w:t>
    </w:r>
    <w:r w:rsidR="00CC467E">
      <w:rPr>
        <w:b/>
        <w:sz w:val="24"/>
        <w:szCs w:val="24"/>
      </w:rPr>
      <w:fldChar w:fldCharType="end"/>
    </w:r>
  </w:p>
  <w:p w:rsidR="00B91505" w:rsidRDefault="00B91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5E9" w:rsidRDefault="001825E9" w:rsidP="00B91505">
      <w:pPr>
        <w:spacing w:after="0" w:line="240" w:lineRule="auto"/>
      </w:pPr>
      <w:r>
        <w:separator/>
      </w:r>
    </w:p>
  </w:footnote>
  <w:footnote w:type="continuationSeparator" w:id="0">
    <w:p w:rsidR="001825E9" w:rsidRDefault="001825E9" w:rsidP="00B91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21A17"/>
    <w:multiLevelType w:val="hybridMultilevel"/>
    <w:tmpl w:val="10002B76"/>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20337"/>
    <w:rsid w:val="000311D2"/>
    <w:rsid w:val="00060F43"/>
    <w:rsid w:val="00067351"/>
    <w:rsid w:val="00075B32"/>
    <w:rsid w:val="0007720A"/>
    <w:rsid w:val="001044FC"/>
    <w:rsid w:val="00104763"/>
    <w:rsid w:val="00145E8E"/>
    <w:rsid w:val="001572F2"/>
    <w:rsid w:val="001825E9"/>
    <w:rsid w:val="001E41C7"/>
    <w:rsid w:val="00262D1E"/>
    <w:rsid w:val="00286C63"/>
    <w:rsid w:val="002D344C"/>
    <w:rsid w:val="002F2F8B"/>
    <w:rsid w:val="002F5967"/>
    <w:rsid w:val="00326CB0"/>
    <w:rsid w:val="003346EA"/>
    <w:rsid w:val="003540FC"/>
    <w:rsid w:val="0035775F"/>
    <w:rsid w:val="0038517C"/>
    <w:rsid w:val="003915CA"/>
    <w:rsid w:val="003A10F4"/>
    <w:rsid w:val="003C3F4A"/>
    <w:rsid w:val="003F42C7"/>
    <w:rsid w:val="003F7A8B"/>
    <w:rsid w:val="00410A43"/>
    <w:rsid w:val="004278B1"/>
    <w:rsid w:val="0047091F"/>
    <w:rsid w:val="004A1E9C"/>
    <w:rsid w:val="004F7511"/>
    <w:rsid w:val="0050362C"/>
    <w:rsid w:val="0052230C"/>
    <w:rsid w:val="005235E3"/>
    <w:rsid w:val="005448A7"/>
    <w:rsid w:val="00571370"/>
    <w:rsid w:val="00574F3C"/>
    <w:rsid w:val="005B005E"/>
    <w:rsid w:val="005C49C4"/>
    <w:rsid w:val="0064576A"/>
    <w:rsid w:val="00673D3E"/>
    <w:rsid w:val="006917E1"/>
    <w:rsid w:val="006A571B"/>
    <w:rsid w:val="006A6C5E"/>
    <w:rsid w:val="006A73EA"/>
    <w:rsid w:val="006E5B57"/>
    <w:rsid w:val="007571D2"/>
    <w:rsid w:val="00760112"/>
    <w:rsid w:val="007728B6"/>
    <w:rsid w:val="00775C2F"/>
    <w:rsid w:val="00777C89"/>
    <w:rsid w:val="007E4B18"/>
    <w:rsid w:val="00856602"/>
    <w:rsid w:val="00892218"/>
    <w:rsid w:val="008B4296"/>
    <w:rsid w:val="008C760D"/>
    <w:rsid w:val="00945D83"/>
    <w:rsid w:val="0096301E"/>
    <w:rsid w:val="009C4391"/>
    <w:rsid w:val="00A20B2F"/>
    <w:rsid w:val="00A73521"/>
    <w:rsid w:val="00AC0D14"/>
    <w:rsid w:val="00AC7A25"/>
    <w:rsid w:val="00AF0348"/>
    <w:rsid w:val="00B2276E"/>
    <w:rsid w:val="00B5684E"/>
    <w:rsid w:val="00B7736D"/>
    <w:rsid w:val="00B91505"/>
    <w:rsid w:val="00B97593"/>
    <w:rsid w:val="00BE46FD"/>
    <w:rsid w:val="00C90C1D"/>
    <w:rsid w:val="00CC467E"/>
    <w:rsid w:val="00CE168D"/>
    <w:rsid w:val="00D41F39"/>
    <w:rsid w:val="00D61D00"/>
    <w:rsid w:val="00D61FE6"/>
    <w:rsid w:val="00D651BD"/>
    <w:rsid w:val="00E43F7E"/>
    <w:rsid w:val="00E65043"/>
    <w:rsid w:val="00EA7DF4"/>
    <w:rsid w:val="00F5543C"/>
    <w:rsid w:val="00F56CC4"/>
    <w:rsid w:val="00F83524"/>
    <w:rsid w:val="00F8611A"/>
    <w:rsid w:val="00FC36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B91505"/>
    <w:pPr>
      <w:tabs>
        <w:tab w:val="center" w:pos="4536"/>
        <w:tab w:val="right" w:pos="9072"/>
      </w:tabs>
    </w:pPr>
  </w:style>
  <w:style w:type="character" w:customStyle="1" w:styleId="HeaderChar">
    <w:name w:val="Header Char"/>
    <w:basedOn w:val="DefaultParagraphFont"/>
    <w:link w:val="Header"/>
    <w:uiPriority w:val="99"/>
    <w:semiHidden/>
    <w:rsid w:val="00B91505"/>
    <w:rPr>
      <w:sz w:val="22"/>
      <w:szCs w:val="22"/>
      <w:lang w:val="en-US" w:eastAsia="en-US"/>
    </w:rPr>
  </w:style>
  <w:style w:type="paragraph" w:customStyle="1" w:styleId="Default">
    <w:name w:val="Default"/>
    <w:rsid w:val="0050362C"/>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B91505"/>
    <w:pPr>
      <w:tabs>
        <w:tab w:val="center" w:pos="4536"/>
        <w:tab w:val="right" w:pos="9072"/>
      </w:tabs>
    </w:pPr>
  </w:style>
  <w:style w:type="character" w:customStyle="1" w:styleId="HeaderChar">
    <w:name w:val="Header Char"/>
    <w:basedOn w:val="DefaultParagraphFont"/>
    <w:link w:val="Header"/>
    <w:uiPriority w:val="99"/>
    <w:semiHidden/>
    <w:rsid w:val="00B91505"/>
    <w:rPr>
      <w:sz w:val="22"/>
      <w:szCs w:val="22"/>
      <w:lang w:val="en-US" w:eastAsia="en-US"/>
    </w:rPr>
  </w:style>
  <w:style w:type="paragraph" w:customStyle="1" w:styleId="Default">
    <w:name w:val="Default"/>
    <w:rsid w:val="0050362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bcaconcora.be" TargetMode="External"/><Relationship Id="rId18" Type="http://schemas.openxmlformats.org/officeDocument/2006/relationships/hyperlink" Target="http://www.twitter.com/kbc_grou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n.bergmans@kbcancora.be" TargetMode="External"/><Relationship Id="rId17" Type="http://schemas.openxmlformats.org/officeDocument/2006/relationships/hyperlink" Target="mailto:pressofficekbc@kbc.be" TargetMode="External"/><Relationship Id="rId2" Type="http://schemas.openxmlformats.org/officeDocument/2006/relationships/styles" Target="styles.xml"/><Relationship Id="rId16" Type="http://schemas.openxmlformats.org/officeDocument/2006/relationships/hyperlink" Target="http://www.kb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sofficekbc@kbc.be" TargetMode="External"/><Relationship Id="rId5" Type="http://schemas.openxmlformats.org/officeDocument/2006/relationships/webSettings" Target="webSettings.xml"/><Relationship Id="rId15" Type="http://schemas.openxmlformats.org/officeDocument/2006/relationships/hyperlink" Target="mailto:pressofficekbc@kbc.be" TargetMode="External"/><Relationship Id="rId10" Type="http://schemas.openxmlformats.org/officeDocument/2006/relationships/hyperlink" Target="mailto:wim.allegaert@kbc.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ilde.Talloen@cer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3626</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Huybrecht Viviane</cp:lastModifiedBy>
  <cp:revision>12</cp:revision>
  <cp:lastPrinted>2014-09-22T16:25:00Z</cp:lastPrinted>
  <dcterms:created xsi:type="dcterms:W3CDTF">2014-09-22T08:21:00Z</dcterms:created>
  <dcterms:modified xsi:type="dcterms:W3CDTF">2014-09-22T16:27:00Z</dcterms:modified>
</cp:coreProperties>
</file>