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42" w:firstLine="0"/>
        <w:contextualSpacing w:val="0"/>
        <w:jc w:val="center"/>
        <w:rPr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Waze se une a SmartDeviceLink™ Consortium  para mejorar y desarrollar la experiencia de conducción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Con SDL, las directrices de navegación de Waze se podrán ver en la pantalla del navegador del coche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144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Marcas como Ford, Toyota, Mazda, Subaru, Grupo PSA (Peugeot y Citroën) y Suzuki ya forman parte de  SmartDeviceLink™ Consortium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144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Durante el MWC se realizarán demostraciones en el Hall 1, Stand 1A38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Calibri" w:cs="Calibri" w:eastAsia="Calibri" w:hAnsi="Calibri"/>
          <w:b w:val="1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Barcelona, 27 de febrero de 2017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hyperlink r:id="rId5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Waze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la aplicación colaborativa de tráfico gratuita y en tiempo real impulsada por la comunidad más grande del mundo, con 75 millones de conductores activos mensuales,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anuncia hoy su incorporación a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0000ff"/>
            <w:u w:val="single"/>
            <w:rtl w:val="0"/>
          </w:rPr>
          <w:t xml:space="preserve">SmartDeviceLink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™ (SDL) Consortium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una organización sin ánimo de lucro que gestiona una plataforma de código abierto destinada a facilitar la interacción entre teléfonos móviles y sistemas de entretenimiento del automóvil. En la actualidad SDL Consortium está formada por Ford, Toyota, Mazda, Subaru, Grupo PSA (Peugeot y Citroën) y Suzuki.  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visitantes al Mobile World Congress podrán ver una demostración sobre la experiencia de navegación de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Waze</w:t>
        </w:r>
      </w:hyperlink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 SmartDeviceLink™, que estará disponible en el stand de SDL en la feria, situado en el Hall 1, Stand 1A38.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 la integración de SDL,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Waze</w:t>
        </w:r>
      </w:hyperlink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sigue posicionando a su comunidad a la vanguardia de la tecnología centrándose en la optimización y evolución de la experiencia del conductor. Como marca innovadora dentro del sector del transporte,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Waze</w:t>
        </w:r>
      </w:hyperlink>
      <w:r w:rsidDel="00000000" w:rsidR="00000000" w:rsidRPr="00000000">
        <w:rPr>
          <w:rFonts w:ascii="Calibri" w:cs="Calibri" w:eastAsia="Calibri" w:hAnsi="Calibri"/>
          <w:color w:val="00b05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 ha unido a SDL con el fin de ofrecer un mejor servicio a los conductores de todo el mundo, y crear un estilo de navegación intuitiva. Con SDL, las directrices de navegación de Waze se pueden ver en la pantalla del navegador del coche y las nuevas funcionalidades de la aplicación se ponen a disposición del conductor en el mismo momento en el que se integran en la propia aplicación.  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Juntos, Waze y SmartDeviceLink™ Consortium ofrecemos la mejor experiencia de navegación para los conductores a través del panel de navegación del coche",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afirma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Jens Baron, Product Lead In-Car Applications de Waze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"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Gracias a nuestra asociación con SDL, los conductores obtendrán automáticamente la versión más actualizada de Waze, incluyendo nuevas características, funcionalidades y diseños de interfaz, de modo que recibirán la misma experiencia de navegación que en su teléfono móvil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".</w:t>
      </w:r>
    </w:p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"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Waze es un ejemplo perfecto de cómo SDL facilita a los desarrolladores la incorporación de nuevas e increíbles aplicaciones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", comenta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Doug VanDagens, presidente de SmartDeviceLink™ Consortium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"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Estamos encantados de contar con Waze como parte de SDLC y esperamos seguir colaborando en un futuro para avanzar en este sistema estándar de abierto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".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Acerca de SmartDeviceLink Consortium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>
          <w:rFonts w:ascii="Calibri" w:cs="Calibri" w:eastAsia="Calibri" w:hAnsi="Calibri"/>
          <w:color w:val="00b05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SmartDeviceLink Consortium Inc. (SDLC) se estableció oficialmente el 30 de noviembre de 2016. Es una comunidad de código abierto para el progreso de SmartDeviceLink (SDL), un conjunto estándar de protocolos y mensajes que conectan aplicaciones de un teléfono inteligente a un sistema de entretenimiento de un vehículo. La posibilidad de asociarse con SDLC está abierta a PYMEs, proveedores y desarrolladores de aplicaciones que se están integrando SDL o tienen planes de hacerlo en un futuro. SmartDeviceLink Consortium se reúne regularmente para debatir sobre la evolución de SDL y las mejoras al ecosistema SDL. Si quieres más información,  visita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16"/>
            <w:szCs w:val="16"/>
            <w:u w:val="single"/>
            <w:rtl w:val="0"/>
          </w:rPr>
          <w:t xml:space="preserve">https://smartdevicelink.com/</w:t>
        </w:r>
      </w:hyperlink>
      <w:r w:rsidDel="00000000" w:rsidR="00000000" w:rsidRPr="00000000">
        <w:rPr>
          <w:rFonts w:ascii="Calibri" w:cs="Calibri" w:eastAsia="Calibri" w:hAnsi="Calibri"/>
          <w:color w:val="00b050"/>
          <w:sz w:val="16"/>
          <w:szCs w:val="16"/>
          <w:rtl w:val="0"/>
        </w:rPr>
        <w:t xml:space="preserve">.  </w:t>
      </w:r>
    </w:p>
    <w:p w:rsidR="00000000" w:rsidDel="00000000" w:rsidP="00000000" w:rsidRDefault="00000000" w:rsidRPr="00000000">
      <w:pPr>
        <w:widowControl w:val="0"/>
        <w:spacing w:after="280" w:before="280" w:lineRule="auto"/>
        <w:ind w:left="-284" w:right="-285" w:firstLine="284"/>
        <w:contextualSpacing w:val="0"/>
        <w:jc w:val="both"/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Sobre Waze</w:t>
      </w:r>
    </w:p>
    <w:p w:rsidR="00000000" w:rsidDel="00000000" w:rsidP="00000000" w:rsidRDefault="00000000" w:rsidRPr="00000000">
      <w:pPr>
        <w:spacing w:after="280" w:before="0" w:lineRule="auto"/>
        <w:ind w:right="-285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Waze es la aplicación pionera en navegación social que se apoya de la tecnología móvil y en una comunidad global apasionada para redefinir las expectativas de los mapas actuales. Está dirigida a la mayor red de conductores del mundo, que trabajan juntos diariamente para eludir el tráfico y ahorrar tiempo y dinero. La aplicación recomienda consistentemente las rutas más rápidas, basándose en la conducción en tiempo real y la información proporcionada por millones de usuarios. Con alertas sobre desvíos, precios de las gasolineras más económicas y ofertas interesantes de grandes marcas, Waze es uno de los compañeros de conducción más completo en el mercado. </w:t>
      </w:r>
    </w:p>
    <w:p w:rsidR="00000000" w:rsidDel="00000000" w:rsidP="00000000" w:rsidRDefault="00000000" w:rsidRPr="00000000">
      <w:pPr>
        <w:spacing w:after="280" w:before="0" w:lineRule="auto"/>
        <w:ind w:right="-285"/>
        <w:contextualSpacing w:val="0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Para más información: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  <w:jc w:val="both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Another Company</w:t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  <w:jc w:val="both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Geraldine Sánchez</w:t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  <w:jc w:val="both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T.: 63 92 1100 Ext.: 3612</w:t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  <w:jc w:val="both"/>
        <w:rPr>
          <w:sz w:val="16"/>
          <w:szCs w:val="16"/>
          <w:highlight w:val="white"/>
        </w:rPr>
      </w:pPr>
      <w:r w:rsidDel="00000000" w:rsidR="00000000" w:rsidRPr="00000000">
        <w:rPr>
          <w:sz w:val="16"/>
          <w:szCs w:val="16"/>
          <w:highlight w:val="white"/>
          <w:rtl w:val="0"/>
        </w:rPr>
        <w:t xml:space="preserve">M.: 55 4030 7473</w:t>
      </w:r>
    </w:p>
    <w:p w:rsidR="00000000" w:rsidDel="00000000" w:rsidP="00000000" w:rsidRDefault="00000000" w:rsidRPr="00000000">
      <w:pPr>
        <w:widowControl w:val="1"/>
        <w:spacing w:after="0" w:line="276" w:lineRule="auto"/>
        <w:contextualSpacing w:val="0"/>
        <w:jc w:val="both"/>
        <w:rPr>
          <w:sz w:val="16"/>
          <w:szCs w:val="16"/>
        </w:rPr>
      </w:pPr>
      <w:hyperlink r:id="rId11">
        <w:r w:rsidDel="00000000" w:rsidR="00000000" w:rsidRPr="00000000">
          <w:rPr>
            <w:color w:val="1155cc"/>
            <w:sz w:val="16"/>
            <w:szCs w:val="16"/>
            <w:highlight w:val="white"/>
            <w:u w:val="single"/>
            <w:rtl w:val="0"/>
          </w:rPr>
          <w:t xml:space="preserve">geraldine@anothercompany.com.mx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right="-285"/>
        <w:contextualSpacing w:val="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/>
      <w:pgMar w:bottom="284" w:top="1418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252"/>
        <w:tab w:val="right" w:pos="8504"/>
      </w:tabs>
      <w:spacing w:after="0" w:before="709" w:line="240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-666749</wp:posOffset>
          </wp:positionH>
          <wp:positionV relativeFrom="paragraph">
            <wp:posOffset>47625</wp:posOffset>
          </wp:positionV>
          <wp:extent cx="1809750" cy="609600"/>
          <wp:effectExtent b="0" l="0" r="0" t="0"/>
          <wp:wrapSquare wrapText="bothSides" distB="0" distT="0" distL="114300" distR="114300"/>
          <wp:docPr descr="Z:\CLIENTES\WAZE\Material corporativo\Logos\waze-Logo-blue.pdf.png" id="1" name="image01.png"/>
          <a:graphic>
            <a:graphicData uri="http://schemas.openxmlformats.org/drawingml/2006/picture">
              <pic:pic>
                <pic:nvPicPr>
                  <pic:cNvPr descr="Z:\CLIENTES\WAZE\Material corporativo\Logos\waze-Logo-blue.pdf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750" cy="609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mailto:geraldine@anothercompany.com.mx" TargetMode="External"/><Relationship Id="rId10" Type="http://schemas.openxmlformats.org/officeDocument/2006/relationships/hyperlink" Target="https://smartdevicelink.com/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waze.com/" TargetMode="External"/><Relationship Id="rId5" Type="http://schemas.openxmlformats.org/officeDocument/2006/relationships/hyperlink" Target="http://www.waze.com/" TargetMode="External"/><Relationship Id="rId6" Type="http://schemas.openxmlformats.org/officeDocument/2006/relationships/hyperlink" Target="https://smartdevicelink.com/" TargetMode="External"/><Relationship Id="rId7" Type="http://schemas.openxmlformats.org/officeDocument/2006/relationships/hyperlink" Target="http://www.waze.com/" TargetMode="External"/><Relationship Id="rId8" Type="http://schemas.openxmlformats.org/officeDocument/2006/relationships/hyperlink" Target="http://www.waze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