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0271" w:rsidRDefault="00970271" w:rsidP="0078582A">
      <w:pPr>
        <w:rPr>
          <w:rFonts w:cstheme="minorHAnsi"/>
          <w:b/>
          <w:bCs/>
          <w:sz w:val="28"/>
          <w:szCs w:val="28"/>
        </w:rPr>
      </w:pPr>
    </w:p>
    <w:p w:rsidR="00826CE5" w:rsidRDefault="00826CE5" w:rsidP="00826CE5">
      <w:pPr>
        <w:jc w:val="center"/>
        <w:rPr>
          <w:rFonts w:cstheme="minorHAnsi"/>
          <w:b/>
          <w:bCs/>
          <w:sz w:val="28"/>
          <w:szCs w:val="28"/>
        </w:rPr>
      </w:pPr>
    </w:p>
    <w:p w:rsidR="00826CE5" w:rsidRDefault="00826CE5" w:rsidP="00826CE5">
      <w:pPr>
        <w:jc w:val="center"/>
        <w:rPr>
          <w:b/>
          <w:sz w:val="28"/>
          <w:szCs w:val="28"/>
        </w:rPr>
      </w:pPr>
      <w:r>
        <w:rPr>
          <w:b/>
          <w:sz w:val="28"/>
          <w:szCs w:val="28"/>
        </w:rPr>
        <w:t>FINDUS: LA STORIA DEI SURGELATI IN ITALIA</w:t>
      </w:r>
    </w:p>
    <w:p w:rsidR="00826CE5" w:rsidRDefault="00826CE5" w:rsidP="00826CE5">
      <w:pPr>
        <w:jc w:val="center"/>
        <w:rPr>
          <w:i/>
          <w:sz w:val="22"/>
          <w:szCs w:val="22"/>
        </w:rPr>
      </w:pPr>
      <w:r>
        <w:rPr>
          <w:i/>
        </w:rPr>
        <w:t xml:space="preserve">Dal Minestrone Tradizione ai Bastoncini del Capitano, fino alle ultime novità: ecco le principali tappe della storia di un’azienda che da oltre 50 anni è sinonimo di qualità. </w:t>
      </w:r>
    </w:p>
    <w:p w:rsidR="00826CE5" w:rsidRPr="004C582C" w:rsidRDefault="00826CE5" w:rsidP="00826CE5">
      <w:pPr>
        <w:jc w:val="both"/>
        <w:rPr>
          <w:rFonts w:cstheme="minorHAnsi"/>
        </w:rPr>
      </w:pPr>
    </w:p>
    <w:p w:rsidR="00564240" w:rsidRPr="004C582C" w:rsidRDefault="00826CE5" w:rsidP="00564240">
      <w:pPr>
        <w:jc w:val="both"/>
        <w:rPr>
          <w:rFonts w:cstheme="minorHAnsi"/>
        </w:rPr>
      </w:pPr>
      <w:r w:rsidRPr="004C582C">
        <w:rPr>
          <w:rFonts w:cstheme="minorHAnsi"/>
          <w:b/>
        </w:rPr>
        <w:t xml:space="preserve">Findus </w:t>
      </w:r>
      <w:r w:rsidRPr="004C582C">
        <w:rPr>
          <w:rFonts w:cstheme="minorHAnsi"/>
        </w:rPr>
        <w:t xml:space="preserve">è l’azienda leader in Italia nella produzione e commercializzazione di prodotti nel settore dei surgelati.  </w:t>
      </w:r>
      <w:r w:rsidR="00564240" w:rsidRPr="004C582C">
        <w:rPr>
          <w:rFonts w:cstheme="minorHAnsi"/>
        </w:rPr>
        <w:t xml:space="preserve">Dal 2015 l’azienda è parte del gruppo </w:t>
      </w:r>
      <w:proofErr w:type="spellStart"/>
      <w:r w:rsidR="00564240" w:rsidRPr="004C582C">
        <w:rPr>
          <w:rFonts w:cstheme="minorHAnsi"/>
          <w:b/>
        </w:rPr>
        <w:t>Nomad</w:t>
      </w:r>
      <w:proofErr w:type="spellEnd"/>
      <w:r w:rsidR="00564240" w:rsidRPr="004C582C">
        <w:rPr>
          <w:rFonts w:cstheme="minorHAnsi"/>
          <w:b/>
        </w:rPr>
        <w:t xml:space="preserve"> Foods</w:t>
      </w:r>
      <w:r w:rsidR="00564240" w:rsidRPr="004C582C">
        <w:rPr>
          <w:rFonts w:cstheme="minorHAnsi"/>
        </w:rPr>
        <w:t xml:space="preserve">, leader in Europa nel settore dei surgelati, con sede a Londra e con attività commerciali in 17 paesi e oltre 4.600 dipendenti, e un fatturato di 2 miliardi di euro. Il portafoglio del gruppo </w:t>
      </w:r>
      <w:proofErr w:type="spellStart"/>
      <w:r w:rsidR="00564240" w:rsidRPr="004C582C">
        <w:rPr>
          <w:rFonts w:cstheme="minorHAnsi"/>
        </w:rPr>
        <w:t>Nomad</w:t>
      </w:r>
      <w:proofErr w:type="spellEnd"/>
      <w:r w:rsidR="00564240" w:rsidRPr="004C582C">
        <w:rPr>
          <w:rFonts w:cstheme="minorHAnsi"/>
        </w:rPr>
        <w:t xml:space="preserve"> Foods comprende, oltre al brand Findus, anche altri iconici brand tra i quali</w:t>
      </w:r>
      <w:r w:rsidR="00564240" w:rsidRPr="004C582C">
        <w:rPr>
          <w:rFonts w:cstheme="minorHAnsi"/>
          <w:b/>
        </w:rPr>
        <w:t xml:space="preserve"> Birds Eye</w:t>
      </w:r>
      <w:r w:rsidR="00564240" w:rsidRPr="004C582C">
        <w:rPr>
          <w:rFonts w:cstheme="minorHAnsi"/>
        </w:rPr>
        <w:t xml:space="preserve">, </w:t>
      </w:r>
      <w:proofErr w:type="spellStart"/>
      <w:r w:rsidR="00564240" w:rsidRPr="004C582C">
        <w:rPr>
          <w:rFonts w:cstheme="minorHAnsi"/>
          <w:b/>
        </w:rPr>
        <w:t>iglo</w:t>
      </w:r>
      <w:proofErr w:type="spellEnd"/>
      <w:r w:rsidR="00564240" w:rsidRPr="004C582C">
        <w:rPr>
          <w:rFonts w:cstheme="minorHAnsi"/>
        </w:rPr>
        <w:t xml:space="preserve">, </w:t>
      </w:r>
      <w:proofErr w:type="spellStart"/>
      <w:r w:rsidR="00564240" w:rsidRPr="004C582C">
        <w:rPr>
          <w:rFonts w:cstheme="minorHAnsi"/>
          <w:b/>
        </w:rPr>
        <w:t>Lutosa</w:t>
      </w:r>
      <w:proofErr w:type="spellEnd"/>
      <w:r w:rsidR="00564240" w:rsidRPr="004C582C">
        <w:rPr>
          <w:rFonts w:cstheme="minorHAnsi"/>
        </w:rPr>
        <w:t xml:space="preserve"> e la </w:t>
      </w:r>
      <w:proofErr w:type="spellStart"/>
      <w:r w:rsidR="00564240" w:rsidRPr="004C582C">
        <w:rPr>
          <w:rFonts w:cstheme="minorHAnsi"/>
          <w:b/>
        </w:rPr>
        <w:t>Cocinera</w:t>
      </w:r>
      <w:proofErr w:type="spellEnd"/>
      <w:r w:rsidR="00564240" w:rsidRPr="004C582C">
        <w:rPr>
          <w:rFonts w:cstheme="minorHAnsi"/>
        </w:rPr>
        <w:t xml:space="preserve">. L’Italia è il primo Paese del Gruppo. </w:t>
      </w:r>
    </w:p>
    <w:p w:rsidR="00564240" w:rsidRPr="004C582C" w:rsidRDefault="00564240" w:rsidP="00826CE5">
      <w:pPr>
        <w:jc w:val="both"/>
        <w:rPr>
          <w:rFonts w:cstheme="minorHAnsi"/>
        </w:rPr>
      </w:pPr>
    </w:p>
    <w:p w:rsidR="00826CE5" w:rsidRPr="004C582C" w:rsidRDefault="00826CE5" w:rsidP="00826CE5">
      <w:pPr>
        <w:jc w:val="both"/>
        <w:rPr>
          <w:rFonts w:cstheme="minorHAnsi"/>
        </w:rPr>
      </w:pPr>
      <w:bookmarkStart w:id="0" w:name="_Hlk525742126"/>
      <w:r w:rsidRPr="004C582C">
        <w:rPr>
          <w:rFonts w:cstheme="minorHAnsi"/>
        </w:rPr>
        <w:t xml:space="preserve">Findus è operativa in Italia con </w:t>
      </w:r>
      <w:r w:rsidRPr="004C582C">
        <w:rPr>
          <w:rFonts w:cstheme="minorHAnsi"/>
          <w:b/>
        </w:rPr>
        <w:t>uno stabilimento di produzione a Cisterna di Latina (LT) dal 1964</w:t>
      </w:r>
      <w:r w:rsidRPr="004C582C">
        <w:rPr>
          <w:rFonts w:cstheme="minorHAnsi"/>
        </w:rPr>
        <w:t xml:space="preserve">, </w:t>
      </w:r>
      <w:r w:rsidRPr="004C582C">
        <w:rPr>
          <w:rFonts w:cstheme="minorHAnsi"/>
          <w:color w:val="000000"/>
        </w:rPr>
        <w:t>quando il mercato italiano dei cibi surgelati era ancora in fase embrionale</w:t>
      </w:r>
      <w:bookmarkEnd w:id="0"/>
      <w:r w:rsidRPr="004C582C">
        <w:rPr>
          <w:rFonts w:cstheme="minorHAnsi"/>
        </w:rPr>
        <w:t xml:space="preserve">. Ancora oggi, a oltre 50 anni di distanza, Findus è in Italia sinonimo di surgelati. Con l’evolversi e l’affermarsi del mercato dei surgelati in Italia, Findus ha arricchito la sua offerta con un’ampia gamma di prodotti: dai piatti pronti ai vegetali, dalla carne al pesce. </w:t>
      </w:r>
    </w:p>
    <w:p w:rsidR="00826CE5" w:rsidRPr="004C582C" w:rsidRDefault="00826CE5" w:rsidP="00826CE5">
      <w:pPr>
        <w:spacing w:line="280" w:lineRule="atLeast"/>
        <w:jc w:val="both"/>
        <w:rPr>
          <w:rStyle w:val="article-body"/>
          <w:rFonts w:cstheme="minorHAnsi"/>
          <w:color w:val="000000"/>
        </w:rPr>
      </w:pPr>
      <w:r w:rsidRPr="004C582C">
        <w:rPr>
          <w:rFonts w:cstheme="minorHAnsi"/>
        </w:rPr>
        <w:t xml:space="preserve">Oggi lo stabilimento di Cisterna produce oltre l’80% dei volumi, con la lavorazione di oltre 30.000 tonnellate di semilavorati e la produzione di circa 80.000 tonnellate di prodotto finito. </w:t>
      </w:r>
    </w:p>
    <w:p w:rsidR="00826CE5" w:rsidRPr="004C582C" w:rsidRDefault="00826CE5" w:rsidP="00826CE5">
      <w:pPr>
        <w:jc w:val="both"/>
        <w:rPr>
          <w:rFonts w:cstheme="minorHAnsi"/>
        </w:rPr>
      </w:pPr>
      <w:r w:rsidRPr="004C582C">
        <w:rPr>
          <w:rFonts w:cstheme="minorHAnsi"/>
        </w:rPr>
        <w:t xml:space="preserve">Il 2017, per l’azienda, è stato un anno positivo, con un </w:t>
      </w:r>
      <w:r w:rsidRPr="004C582C">
        <w:rPr>
          <w:rFonts w:cstheme="minorHAnsi"/>
          <w:b/>
        </w:rPr>
        <w:t>incremento del sell out a valore del +7,4%</w:t>
      </w:r>
      <w:r w:rsidRPr="004C582C">
        <w:rPr>
          <w:rFonts w:cstheme="minorHAnsi"/>
        </w:rPr>
        <w:t xml:space="preserve"> ed un rafforzamento della leadership di mercato, con una </w:t>
      </w:r>
      <w:r w:rsidRPr="004C582C">
        <w:rPr>
          <w:rFonts w:cstheme="minorHAnsi"/>
          <w:b/>
        </w:rPr>
        <w:t>quota del 23%.</w:t>
      </w:r>
      <w:r w:rsidRPr="004C582C">
        <w:rPr>
          <w:rFonts w:cstheme="minorHAnsi"/>
        </w:rPr>
        <w:t xml:space="preserve"> Le vendite a sell out nel 2017 sono state di </w:t>
      </w:r>
      <w:r w:rsidRPr="004C582C">
        <w:rPr>
          <w:rFonts w:cstheme="minorHAnsi"/>
          <w:b/>
        </w:rPr>
        <w:t>621 milioni di Euro*.</w:t>
      </w:r>
      <w:r w:rsidRPr="004C582C">
        <w:rPr>
          <w:rFonts w:cstheme="minorHAnsi"/>
        </w:rPr>
        <w:t xml:space="preserve"> </w:t>
      </w:r>
    </w:p>
    <w:p w:rsidR="00826CE5" w:rsidRPr="004C582C" w:rsidRDefault="00826CE5" w:rsidP="00826CE5">
      <w:pPr>
        <w:autoSpaceDE w:val="0"/>
        <w:autoSpaceDN w:val="0"/>
        <w:adjustRightInd w:val="0"/>
        <w:spacing w:after="240" w:line="241" w:lineRule="atLeast"/>
        <w:jc w:val="both"/>
        <w:rPr>
          <w:rFonts w:cstheme="minorHAnsi"/>
          <w:color w:val="000000"/>
        </w:rPr>
      </w:pPr>
      <w:r w:rsidRPr="004C582C">
        <w:rPr>
          <w:rFonts w:cstheme="minorHAnsi"/>
          <w:color w:val="000000"/>
        </w:rPr>
        <w:t>I prodotti Findus, negli anni, hanno rivoluzionato il rapporto tra il tempo di preparazione e i piaceri della tavola, ac</w:t>
      </w:r>
      <w:r w:rsidRPr="004C582C">
        <w:rPr>
          <w:rFonts w:cstheme="minorHAnsi"/>
          <w:color w:val="000000"/>
        </w:rPr>
        <w:softHyphen/>
        <w:t xml:space="preserve">compagnando intere generazioni verso abitudini alimentari sempre più in linea con lo stile di vita moderno e le linee guida alimentari. Molti </w:t>
      </w:r>
      <w:r w:rsidRPr="004C582C">
        <w:rPr>
          <w:rFonts w:cstheme="minorHAnsi"/>
          <w:b/>
          <w:color w:val="000000"/>
        </w:rPr>
        <w:t xml:space="preserve">sono diventati delle vere e proprie icone, come i Bastoncini di Capitan Findus, </w:t>
      </w:r>
      <w:r w:rsidRPr="004C582C">
        <w:rPr>
          <w:rFonts w:cstheme="minorHAnsi"/>
          <w:color w:val="000000"/>
        </w:rPr>
        <w:t>lanciati sul mercato nel</w:t>
      </w:r>
      <w:r w:rsidRPr="004C582C">
        <w:rPr>
          <w:rFonts w:cstheme="minorHAnsi"/>
          <w:b/>
          <w:color w:val="000000"/>
        </w:rPr>
        <w:t xml:space="preserve"> 1967, i Sofficini nel 1975 e i 4 Salti in Padella nel 1996</w:t>
      </w:r>
      <w:r w:rsidRPr="004C582C">
        <w:rPr>
          <w:rFonts w:cstheme="minorHAnsi"/>
          <w:color w:val="000000"/>
        </w:rPr>
        <w:t xml:space="preserve">, consumati oggi da milioni di famiglie. </w:t>
      </w:r>
    </w:p>
    <w:p w:rsidR="00826CE5" w:rsidRPr="004C582C" w:rsidRDefault="00826CE5" w:rsidP="00826CE5">
      <w:pPr>
        <w:jc w:val="both"/>
        <w:rPr>
          <w:rFonts w:cstheme="minorHAnsi"/>
        </w:rPr>
      </w:pPr>
      <w:r w:rsidRPr="004C582C">
        <w:rPr>
          <w:rFonts w:cstheme="minorHAnsi"/>
        </w:rPr>
        <w:t xml:space="preserve">Di seguito alcune delle tappe fondamentali della storia di Findus. </w:t>
      </w:r>
    </w:p>
    <w:p w:rsidR="00C81431" w:rsidRPr="004C582C" w:rsidRDefault="00C81431" w:rsidP="00826CE5">
      <w:pPr>
        <w:jc w:val="both"/>
        <w:rPr>
          <w:rFonts w:cstheme="minorHAnsi"/>
        </w:rPr>
      </w:pPr>
    </w:p>
    <w:p w:rsidR="00826CE5" w:rsidRPr="004C582C" w:rsidRDefault="00826CE5" w:rsidP="00826CE5">
      <w:pPr>
        <w:jc w:val="both"/>
        <w:rPr>
          <w:rFonts w:cstheme="minorHAnsi"/>
          <w:b/>
        </w:rPr>
      </w:pPr>
      <w:r w:rsidRPr="004C582C">
        <w:rPr>
          <w:rFonts w:cstheme="minorHAnsi"/>
          <w:b/>
        </w:rPr>
        <w:t>1964: IL PRIMO STABILIMENTO FINDUS IN ITALIA</w:t>
      </w:r>
    </w:p>
    <w:p w:rsidR="00826CE5" w:rsidRPr="004C582C" w:rsidRDefault="00826CE5" w:rsidP="00826CE5">
      <w:pPr>
        <w:jc w:val="both"/>
        <w:rPr>
          <w:rFonts w:cstheme="minorHAnsi"/>
        </w:rPr>
      </w:pPr>
      <w:r w:rsidRPr="004C582C">
        <w:rPr>
          <w:rFonts w:cstheme="minorHAnsi"/>
        </w:rPr>
        <w:t xml:space="preserve">Findus arriva in Italia ed avvia la propria attività presso lo </w:t>
      </w:r>
      <w:r w:rsidRPr="004C582C">
        <w:rPr>
          <w:rFonts w:cstheme="minorHAnsi"/>
          <w:b/>
        </w:rPr>
        <w:t>stabilimento di Cisterna di Latina.</w:t>
      </w:r>
      <w:r w:rsidRPr="004C582C">
        <w:rPr>
          <w:rFonts w:cstheme="minorHAnsi"/>
        </w:rPr>
        <w:t xml:space="preserve"> Nonostante l’attività dei surgelati in Italia sia ancora agli albori, la tecnologia avanzata, la grande produttività (15.000 tonnellate di surgelati all’anno su 20 diverse linee di lavorazione), la scrupolosa osservanza delle norme ambientali e igienico-sanitarie e l’elevata professionalità di tutti i lavoratori coinvolti nel ciclo produttivo, posizionano la struttura tra le prime eccellenze in Europa.</w:t>
      </w:r>
    </w:p>
    <w:p w:rsidR="00C81431" w:rsidRPr="004C582C" w:rsidRDefault="00C81431" w:rsidP="00826CE5">
      <w:pPr>
        <w:jc w:val="both"/>
        <w:rPr>
          <w:rFonts w:cstheme="minorHAnsi"/>
        </w:rPr>
      </w:pPr>
    </w:p>
    <w:p w:rsidR="00826CE5" w:rsidRPr="004C582C" w:rsidRDefault="00826CE5" w:rsidP="00826CE5">
      <w:pPr>
        <w:jc w:val="both"/>
        <w:rPr>
          <w:rFonts w:cstheme="minorHAnsi"/>
          <w:b/>
        </w:rPr>
      </w:pPr>
      <w:r w:rsidRPr="004C582C">
        <w:rPr>
          <w:rFonts w:cstheme="minorHAnsi"/>
          <w:b/>
        </w:rPr>
        <w:t>1967: ARRIVANO I BASTONCINI</w:t>
      </w:r>
    </w:p>
    <w:p w:rsidR="00826CE5" w:rsidRDefault="00826CE5" w:rsidP="00826CE5">
      <w:pPr>
        <w:spacing w:line="280" w:lineRule="atLeast"/>
        <w:jc w:val="both"/>
        <w:rPr>
          <w:rFonts w:cstheme="minorHAnsi"/>
        </w:rPr>
      </w:pPr>
      <w:r w:rsidRPr="004C582C">
        <w:rPr>
          <w:rFonts w:cstheme="minorHAnsi"/>
          <w:color w:val="000000"/>
        </w:rPr>
        <w:t xml:space="preserve">È tre anni più tardi, </w:t>
      </w:r>
      <w:r w:rsidRPr="004C582C">
        <w:rPr>
          <w:rFonts w:cstheme="minorHAnsi"/>
          <w:b/>
          <w:color w:val="000000"/>
        </w:rPr>
        <w:t>nel 1967, che inizia la produzione dei Bastoncini di pesce</w:t>
      </w:r>
      <w:r w:rsidRPr="004C582C">
        <w:rPr>
          <w:rFonts w:cstheme="minorHAnsi"/>
          <w:color w:val="000000"/>
        </w:rPr>
        <w:t xml:space="preserve"> che hanno, da subito, uno straordinario successo. </w:t>
      </w:r>
      <w:r w:rsidRPr="004C582C">
        <w:rPr>
          <w:rFonts w:cstheme="minorHAnsi"/>
        </w:rPr>
        <w:t xml:space="preserve">Un prodotto “mito”, apprezzato da grandi e piccini, che diventa colonna portante della gamma firmata Capitan Findus, completata, nel corso degli anni, da tanti prodotti di pesce panato, come ad esempio le </w:t>
      </w:r>
      <w:proofErr w:type="spellStart"/>
      <w:r w:rsidRPr="004C582C">
        <w:rPr>
          <w:rFonts w:cstheme="minorHAnsi"/>
        </w:rPr>
        <w:t>Croccole</w:t>
      </w:r>
      <w:proofErr w:type="spellEnd"/>
      <w:r w:rsidRPr="004C582C">
        <w:rPr>
          <w:rFonts w:cstheme="minorHAnsi"/>
        </w:rPr>
        <w:t xml:space="preserve">, i Filetti di Platessa Impanati, i Bastoncini di Salmone, i Bastoncini con Omega 3 ed i più recenti i </w:t>
      </w:r>
      <w:proofErr w:type="spellStart"/>
      <w:r w:rsidRPr="0073573F">
        <w:rPr>
          <w:rFonts w:cstheme="minorHAnsi"/>
        </w:rPr>
        <w:t>Fish</w:t>
      </w:r>
      <w:proofErr w:type="spellEnd"/>
      <w:r w:rsidRPr="0073573F">
        <w:rPr>
          <w:rFonts w:cstheme="minorHAnsi"/>
        </w:rPr>
        <w:t xml:space="preserve"> Burger. </w:t>
      </w:r>
    </w:p>
    <w:p w:rsidR="0073573F" w:rsidRPr="004C582C" w:rsidRDefault="0073573F" w:rsidP="00826CE5">
      <w:pPr>
        <w:spacing w:line="280" w:lineRule="atLeast"/>
        <w:jc w:val="both"/>
        <w:rPr>
          <w:rFonts w:cstheme="minorHAnsi"/>
          <w:color w:val="FF0000"/>
        </w:rPr>
      </w:pPr>
    </w:p>
    <w:p w:rsidR="00C81431" w:rsidRPr="004C582C" w:rsidRDefault="00C81431" w:rsidP="00826CE5">
      <w:pPr>
        <w:spacing w:line="280" w:lineRule="atLeast"/>
        <w:jc w:val="both"/>
        <w:rPr>
          <w:rFonts w:cstheme="minorHAnsi"/>
          <w:color w:val="FF0000"/>
        </w:rPr>
      </w:pPr>
    </w:p>
    <w:p w:rsidR="00826CE5" w:rsidRPr="004C582C" w:rsidRDefault="00826CE5" w:rsidP="00826CE5">
      <w:pPr>
        <w:jc w:val="both"/>
        <w:rPr>
          <w:rFonts w:cstheme="minorHAnsi"/>
          <w:b/>
        </w:rPr>
      </w:pPr>
      <w:r w:rsidRPr="004C582C">
        <w:rPr>
          <w:rFonts w:cstheme="minorHAnsi"/>
          <w:b/>
        </w:rPr>
        <w:lastRenderedPageBreak/>
        <w:t>1975: BENVENUTI SOFFICINI!</w:t>
      </w:r>
    </w:p>
    <w:p w:rsidR="00826CE5" w:rsidRPr="004C582C" w:rsidRDefault="00826CE5" w:rsidP="00826CE5">
      <w:pPr>
        <w:jc w:val="both"/>
        <w:rPr>
          <w:rFonts w:cstheme="minorHAnsi"/>
          <w:color w:val="000000"/>
        </w:rPr>
      </w:pPr>
      <w:r w:rsidRPr="004C582C">
        <w:rPr>
          <w:rFonts w:cstheme="minorHAnsi"/>
        </w:rPr>
        <w:t xml:space="preserve">Un’autentica rivoluzione nel mondo dei surgelati, che conquista subito sia il palato dei bambini sia la fiducia delle mamme. Dalla prima ricetta al formaggio il successo è continuo, rinnovato nel tempo dal lancio di altre golose varianti. </w:t>
      </w:r>
      <w:r w:rsidRPr="004C582C">
        <w:rPr>
          <w:rFonts w:cstheme="minorHAnsi"/>
          <w:color w:val="000000"/>
        </w:rPr>
        <w:t>Nel 2009 arriva anche la Pizza Sofficini. Dal 2017 sono stati rilanciati con una nuova ricetta con ancora più ripieno.</w:t>
      </w:r>
    </w:p>
    <w:p w:rsidR="00826CE5" w:rsidRPr="004C582C" w:rsidRDefault="00826CE5" w:rsidP="00826CE5">
      <w:pPr>
        <w:jc w:val="both"/>
        <w:rPr>
          <w:rFonts w:cstheme="minorHAnsi"/>
        </w:rPr>
      </w:pPr>
    </w:p>
    <w:p w:rsidR="00826CE5" w:rsidRPr="004C582C" w:rsidRDefault="00826CE5" w:rsidP="00826CE5">
      <w:pPr>
        <w:jc w:val="both"/>
        <w:rPr>
          <w:rFonts w:cstheme="minorHAnsi"/>
          <w:b/>
        </w:rPr>
      </w:pPr>
      <w:bookmarkStart w:id="1" w:name="_Hlk525827425"/>
      <w:r w:rsidRPr="004C582C">
        <w:rPr>
          <w:rFonts w:cstheme="minorHAnsi"/>
          <w:b/>
        </w:rPr>
        <w:t xml:space="preserve">1996: È L’ANNO DI 4 SALTI IN PADELLA </w:t>
      </w:r>
    </w:p>
    <w:p w:rsidR="00826CE5" w:rsidRPr="004C582C" w:rsidRDefault="00826CE5" w:rsidP="00826CE5">
      <w:pPr>
        <w:jc w:val="both"/>
        <w:rPr>
          <w:rFonts w:cstheme="minorHAnsi"/>
        </w:rPr>
      </w:pPr>
      <w:r w:rsidRPr="004C582C">
        <w:rPr>
          <w:rFonts w:cstheme="minorHAnsi"/>
        </w:rPr>
        <w:t>Una linea di contorni che promettono di “</w:t>
      </w:r>
      <w:r w:rsidRPr="004C582C">
        <w:rPr>
          <w:rFonts w:cstheme="minorHAnsi"/>
          <w:i/>
        </w:rPr>
        <w:t>cambiarti la vita da così a così</w:t>
      </w:r>
      <w:r w:rsidRPr="004C582C">
        <w:rPr>
          <w:rFonts w:cstheme="minorHAnsi"/>
        </w:rPr>
        <w:t xml:space="preserve">”, ai quali ben presto seguiranno secondi piatti, paste ripiene, sughi e tante altre specialità che in pochi minuti regalano il gusto autentico delle ricette più tradizionali. Nel 2009 4 Salti va oltre la padella e propone i piatti da forno. </w:t>
      </w:r>
    </w:p>
    <w:p w:rsidR="00C81431" w:rsidRPr="004C582C" w:rsidRDefault="00C81431" w:rsidP="00826CE5">
      <w:pPr>
        <w:jc w:val="both"/>
        <w:rPr>
          <w:rFonts w:cstheme="minorHAnsi"/>
        </w:rPr>
      </w:pPr>
    </w:p>
    <w:bookmarkEnd w:id="1"/>
    <w:p w:rsidR="00826CE5" w:rsidRPr="004C582C" w:rsidRDefault="00826CE5" w:rsidP="00826CE5">
      <w:pPr>
        <w:jc w:val="both"/>
        <w:rPr>
          <w:rFonts w:cstheme="minorHAnsi"/>
          <w:b/>
        </w:rPr>
      </w:pPr>
      <w:r w:rsidRPr="004C582C">
        <w:rPr>
          <w:rFonts w:cstheme="minorHAnsi"/>
          <w:b/>
        </w:rPr>
        <w:t xml:space="preserve">2015: FINDUS ENTRA A FAR PARTE DEL GRUPPO NOMAD FOODS </w:t>
      </w:r>
    </w:p>
    <w:p w:rsidR="00826CE5" w:rsidRPr="00661C24" w:rsidRDefault="00826CE5" w:rsidP="00826CE5">
      <w:pPr>
        <w:jc w:val="both"/>
        <w:rPr>
          <w:rFonts w:cstheme="minorHAnsi"/>
          <w:b/>
        </w:rPr>
      </w:pPr>
      <w:r w:rsidRPr="004C582C">
        <w:rPr>
          <w:rFonts w:cstheme="minorHAnsi"/>
        </w:rPr>
        <w:t xml:space="preserve">Insieme a </w:t>
      </w:r>
      <w:proofErr w:type="spellStart"/>
      <w:r w:rsidR="00B77A08">
        <w:rPr>
          <w:rFonts w:cstheme="minorHAnsi"/>
          <w:b/>
        </w:rPr>
        <w:t>I</w:t>
      </w:r>
      <w:r w:rsidRPr="004C582C">
        <w:rPr>
          <w:rFonts w:cstheme="minorHAnsi"/>
          <w:b/>
        </w:rPr>
        <w:t>glo</w:t>
      </w:r>
      <w:proofErr w:type="spellEnd"/>
      <w:r w:rsidRPr="004C582C">
        <w:rPr>
          <w:rFonts w:cstheme="minorHAnsi"/>
          <w:b/>
        </w:rPr>
        <w:t xml:space="preserve"> Group</w:t>
      </w:r>
      <w:r w:rsidRPr="004C582C">
        <w:rPr>
          <w:rFonts w:cstheme="minorHAnsi"/>
        </w:rPr>
        <w:t xml:space="preserve">, </w:t>
      </w:r>
      <w:r w:rsidRPr="004C582C">
        <w:rPr>
          <w:rFonts w:cstheme="minorHAnsi"/>
          <w:b/>
        </w:rPr>
        <w:t>Findus</w:t>
      </w:r>
      <w:r w:rsidRPr="004C582C">
        <w:rPr>
          <w:rFonts w:cstheme="minorHAnsi"/>
        </w:rPr>
        <w:t xml:space="preserve"> viene acquisita dal gruppo americano </w:t>
      </w:r>
      <w:proofErr w:type="spellStart"/>
      <w:r w:rsidRPr="004C582C">
        <w:rPr>
          <w:rFonts w:cstheme="minorHAnsi"/>
          <w:b/>
        </w:rPr>
        <w:t>Nomad</w:t>
      </w:r>
      <w:proofErr w:type="spellEnd"/>
      <w:r w:rsidRPr="004C582C">
        <w:rPr>
          <w:rFonts w:cstheme="minorHAnsi"/>
          <w:b/>
        </w:rPr>
        <w:t xml:space="preserve"> Foods</w:t>
      </w:r>
      <w:r w:rsidRPr="004C582C">
        <w:rPr>
          <w:rFonts w:cstheme="minorHAnsi"/>
        </w:rPr>
        <w:t xml:space="preserve">. Quattro mesi dopo, </w:t>
      </w:r>
      <w:proofErr w:type="spellStart"/>
      <w:r w:rsidRPr="004C582C">
        <w:rPr>
          <w:rFonts w:cstheme="minorHAnsi"/>
        </w:rPr>
        <w:t>Nomad</w:t>
      </w:r>
      <w:proofErr w:type="spellEnd"/>
      <w:r w:rsidRPr="004C582C">
        <w:rPr>
          <w:rFonts w:cstheme="minorHAnsi"/>
        </w:rPr>
        <w:t xml:space="preserve"> Foods ha annesso anche le attività Findus in Svezia, Norvegia, Finlandia, Danimarca, Francia, Spagna e Belgio. Nel 2016 il gruppo assume l’attuale denominazione: </w:t>
      </w:r>
      <w:proofErr w:type="spellStart"/>
      <w:r w:rsidRPr="004C582C">
        <w:rPr>
          <w:rFonts w:cstheme="minorHAnsi"/>
          <w:b/>
        </w:rPr>
        <w:t>Nomad</w:t>
      </w:r>
      <w:proofErr w:type="spellEnd"/>
      <w:r w:rsidRPr="004C582C">
        <w:rPr>
          <w:rFonts w:cstheme="minorHAnsi"/>
          <w:b/>
        </w:rPr>
        <w:t xml:space="preserve"> Foods</w:t>
      </w:r>
      <w:r w:rsidRPr="004C582C">
        <w:rPr>
          <w:rFonts w:cstheme="minorHAnsi"/>
        </w:rPr>
        <w:t>.</w:t>
      </w:r>
    </w:p>
    <w:p w:rsidR="00C81431" w:rsidRPr="004C582C" w:rsidRDefault="00C81431" w:rsidP="00826CE5">
      <w:pPr>
        <w:jc w:val="both"/>
        <w:rPr>
          <w:rFonts w:cstheme="minorHAnsi"/>
        </w:rPr>
      </w:pPr>
    </w:p>
    <w:p w:rsidR="00826CE5" w:rsidRPr="004C582C" w:rsidRDefault="00826CE5" w:rsidP="00826CE5">
      <w:pPr>
        <w:jc w:val="both"/>
        <w:rPr>
          <w:rFonts w:cstheme="minorHAnsi"/>
          <w:b/>
        </w:rPr>
      </w:pPr>
      <w:r w:rsidRPr="004C582C">
        <w:rPr>
          <w:rFonts w:cstheme="minorHAnsi"/>
          <w:b/>
        </w:rPr>
        <w:t>2017: FINDUS E MSC INSIEME PER IL FUTURO DEGLI OCEANI</w:t>
      </w:r>
    </w:p>
    <w:p w:rsidR="00826CE5" w:rsidRPr="004C582C" w:rsidRDefault="00826CE5" w:rsidP="00826CE5">
      <w:pPr>
        <w:jc w:val="both"/>
        <w:rPr>
          <w:rFonts w:cstheme="minorHAnsi"/>
        </w:rPr>
      </w:pPr>
      <w:bookmarkStart w:id="2" w:name="_Hlk525826977"/>
      <w:r w:rsidRPr="004C582C">
        <w:rPr>
          <w:rFonts w:cstheme="minorHAnsi"/>
        </w:rPr>
        <w:t xml:space="preserve">La salvaguardia degli oceani e la salute del mare sono sempre stati un valore fondamentale per Findus, cosi nel 2017 l’azienda decide di impegnarsi ulteriormente introducendo sull’80% dei suoi prodotti di pesce il </w:t>
      </w:r>
      <w:r w:rsidRPr="004C582C">
        <w:rPr>
          <w:rFonts w:cstheme="minorHAnsi"/>
          <w:b/>
        </w:rPr>
        <w:t xml:space="preserve">marchio blu di pesca sostenibile e certificata MSC, </w:t>
      </w:r>
      <w:r w:rsidRPr="004C582C">
        <w:rPr>
          <w:rFonts w:cstheme="minorHAnsi"/>
        </w:rPr>
        <w:t>con l’obiettivo di arrivare al 100% nel più breve tempo possibile. Per ottenere il bollino blu di pesca sostenibile e certificata MSC è necessario rispettare 3 criteri fondamentali:</w:t>
      </w:r>
    </w:p>
    <w:p w:rsidR="00826CE5" w:rsidRPr="004C582C" w:rsidRDefault="00826CE5" w:rsidP="00826CE5">
      <w:pPr>
        <w:pStyle w:val="Paragrafoelenco"/>
        <w:numPr>
          <w:ilvl w:val="0"/>
          <w:numId w:val="12"/>
        </w:numPr>
        <w:jc w:val="both"/>
        <w:rPr>
          <w:rFonts w:cstheme="minorHAnsi"/>
        </w:rPr>
      </w:pPr>
      <w:r w:rsidRPr="004C582C">
        <w:rPr>
          <w:rFonts w:cstheme="minorHAnsi"/>
        </w:rPr>
        <w:t>La pesca deve lasciare in mare abbastanza pesci per permettere loro di riprodursi, affinché l’attività di pesca possa proseguire nel tempo.</w:t>
      </w:r>
    </w:p>
    <w:p w:rsidR="00826CE5" w:rsidRPr="004C582C" w:rsidRDefault="00826CE5" w:rsidP="00826CE5">
      <w:pPr>
        <w:pStyle w:val="Paragrafoelenco"/>
        <w:numPr>
          <w:ilvl w:val="0"/>
          <w:numId w:val="12"/>
        </w:numPr>
        <w:jc w:val="both"/>
        <w:rPr>
          <w:rFonts w:cstheme="minorHAnsi"/>
        </w:rPr>
      </w:pPr>
      <w:r w:rsidRPr="004C582C">
        <w:rPr>
          <w:rFonts w:cstheme="minorHAnsi"/>
        </w:rPr>
        <w:t xml:space="preserve">La pesca deve essere effettuata in modo da minimizzare il suo impatto, consentendo alla flora e alla fauna marina di prosperare. </w:t>
      </w:r>
    </w:p>
    <w:p w:rsidR="00826CE5" w:rsidRPr="004C582C" w:rsidRDefault="00826CE5" w:rsidP="00826CE5">
      <w:pPr>
        <w:pStyle w:val="Paragrafoelenco"/>
        <w:numPr>
          <w:ilvl w:val="0"/>
          <w:numId w:val="12"/>
        </w:numPr>
        <w:jc w:val="both"/>
        <w:rPr>
          <w:rFonts w:cstheme="minorHAnsi"/>
        </w:rPr>
      </w:pPr>
      <w:r w:rsidRPr="004C582C">
        <w:rPr>
          <w:rFonts w:cstheme="minorHAnsi"/>
        </w:rPr>
        <w:t xml:space="preserve">La pesca deve essere gestita dalle aziende in modo responsabile e nel rispetto delle leggi vigenti. </w:t>
      </w:r>
    </w:p>
    <w:p w:rsidR="00826CE5" w:rsidRPr="004C582C" w:rsidRDefault="00826CE5" w:rsidP="00826CE5">
      <w:pPr>
        <w:pStyle w:val="Paragrafoelenco"/>
        <w:jc w:val="both"/>
        <w:rPr>
          <w:rFonts w:cstheme="minorHAnsi"/>
        </w:rPr>
      </w:pPr>
    </w:p>
    <w:p w:rsidR="00826CE5" w:rsidRPr="004C582C" w:rsidRDefault="00826CE5" w:rsidP="00826CE5">
      <w:pPr>
        <w:jc w:val="both"/>
        <w:rPr>
          <w:rFonts w:cstheme="minorHAnsi"/>
        </w:rPr>
      </w:pPr>
      <w:r w:rsidRPr="004C582C">
        <w:rPr>
          <w:rFonts w:cstheme="minorHAnsi"/>
        </w:rPr>
        <w:t>Il marchio blu MSC oltre, ad essere una garanzia di qualità, dà l’opportunità ad ogni consumatore di orientarsi meglio nelle scelte di acquisto e fare quindi una scelta responsabile nell’acquisto di prodotti di pesce.</w:t>
      </w:r>
    </w:p>
    <w:p w:rsidR="00920EFD" w:rsidRPr="004C582C" w:rsidRDefault="00920EFD" w:rsidP="00826CE5">
      <w:pPr>
        <w:jc w:val="both"/>
        <w:rPr>
          <w:rFonts w:cstheme="minorHAnsi"/>
        </w:rPr>
      </w:pPr>
    </w:p>
    <w:p w:rsidR="00714E10" w:rsidRPr="004C582C" w:rsidRDefault="00714E10" w:rsidP="00826CE5">
      <w:pPr>
        <w:jc w:val="both"/>
        <w:rPr>
          <w:rFonts w:cstheme="minorHAnsi"/>
          <w:b/>
        </w:rPr>
      </w:pPr>
      <w:r w:rsidRPr="004C582C">
        <w:rPr>
          <w:rFonts w:cstheme="minorHAnsi"/>
          <w:b/>
        </w:rPr>
        <w:t xml:space="preserve">2018: FINDUS ADERISCE A SAI PLATFORM L’INIZIATIVA DI AGRICOLTURA SOSTENIBILE </w:t>
      </w:r>
      <w:r w:rsidR="00C9419A" w:rsidRPr="004C582C">
        <w:rPr>
          <w:rFonts w:cstheme="minorHAnsi"/>
          <w:b/>
        </w:rPr>
        <w:t>PI</w:t>
      </w:r>
      <w:r w:rsidR="00C9419A">
        <w:rPr>
          <w:rFonts w:cstheme="minorHAnsi"/>
          <w:b/>
        </w:rPr>
        <w:t>Ù</w:t>
      </w:r>
    </w:p>
    <w:p w:rsidR="00714E10" w:rsidRPr="0073573F" w:rsidRDefault="00C9419A" w:rsidP="00826CE5">
      <w:pPr>
        <w:jc w:val="both"/>
        <w:rPr>
          <w:rFonts w:cstheme="minorHAnsi"/>
          <w:b/>
        </w:rPr>
      </w:pPr>
      <w:r>
        <w:rPr>
          <w:rFonts w:cstheme="minorHAnsi"/>
          <w:b/>
        </w:rPr>
        <w:t>AUTOREVOLE AL</w:t>
      </w:r>
      <w:r w:rsidR="00714E10" w:rsidRPr="004C582C">
        <w:rPr>
          <w:rFonts w:cstheme="minorHAnsi"/>
          <w:b/>
        </w:rPr>
        <w:t xml:space="preserve"> MONDO</w:t>
      </w:r>
      <w:bookmarkStart w:id="3" w:name="_GoBack"/>
      <w:bookmarkEnd w:id="3"/>
    </w:p>
    <w:p w:rsidR="00564240" w:rsidRPr="004C582C" w:rsidRDefault="00714E10" w:rsidP="00564240">
      <w:pPr>
        <w:jc w:val="both"/>
        <w:rPr>
          <w:rFonts w:eastAsia="Calibri" w:cstheme="minorHAnsi"/>
          <w:i/>
          <w:color w:val="000000"/>
        </w:rPr>
      </w:pPr>
      <w:r w:rsidRPr="004C582C">
        <w:rPr>
          <w:rFonts w:cstheme="minorHAnsi"/>
        </w:rPr>
        <w:t>Nel 2018</w:t>
      </w:r>
      <w:r w:rsidR="00C9419A">
        <w:rPr>
          <w:rFonts w:cstheme="minorHAnsi"/>
        </w:rPr>
        <w:t>,</w:t>
      </w:r>
      <w:r w:rsidRPr="004C582C">
        <w:rPr>
          <w:rFonts w:cstheme="minorHAnsi"/>
        </w:rPr>
        <w:t xml:space="preserve"> dopo l’impegno preso per la tutela dei mari con il bollino blu MSC, Findus fa un ulteriore passo avanti ques</w:t>
      </w:r>
      <w:r w:rsidR="00EB22E7" w:rsidRPr="004C582C">
        <w:rPr>
          <w:rFonts w:cstheme="minorHAnsi"/>
        </w:rPr>
        <w:t>ta volta per i</w:t>
      </w:r>
      <w:r w:rsidRPr="004C582C">
        <w:rPr>
          <w:rFonts w:cstheme="minorHAnsi"/>
        </w:rPr>
        <w:t xml:space="preserve"> vegetali aderendo a </w:t>
      </w:r>
      <w:r w:rsidRPr="004C582C">
        <w:rPr>
          <w:rFonts w:cstheme="minorHAnsi"/>
          <w:b/>
        </w:rPr>
        <w:t>SAI Platform</w:t>
      </w:r>
      <w:r w:rsidRPr="004C582C">
        <w:rPr>
          <w:rFonts w:cstheme="minorHAnsi"/>
        </w:rPr>
        <w:t xml:space="preserve">, l’iniziativa di agricoltura sostenibile più completa ed autorevole a livello internazionale. Con questa adesione Findus si è impegnata a far verificare il </w:t>
      </w:r>
      <w:r w:rsidRPr="004C582C">
        <w:rPr>
          <w:rFonts w:cstheme="minorHAnsi"/>
          <w:b/>
        </w:rPr>
        <w:t>90% dei volumi totali di vegetali</w:t>
      </w:r>
      <w:r w:rsidRPr="004C582C">
        <w:rPr>
          <w:rFonts w:cstheme="minorHAnsi"/>
        </w:rPr>
        <w:t xml:space="preserve"> secondo lo standard </w:t>
      </w:r>
      <w:r w:rsidRPr="004C582C">
        <w:rPr>
          <w:rFonts w:cstheme="minorHAnsi"/>
          <w:b/>
        </w:rPr>
        <w:t xml:space="preserve">FSA (Farm Sustainability </w:t>
      </w:r>
      <w:proofErr w:type="spellStart"/>
      <w:r w:rsidRPr="004C582C">
        <w:rPr>
          <w:rFonts w:cstheme="minorHAnsi"/>
          <w:b/>
        </w:rPr>
        <w:t>Assessment</w:t>
      </w:r>
      <w:proofErr w:type="spellEnd"/>
      <w:r w:rsidRPr="004C582C">
        <w:rPr>
          <w:rFonts w:cstheme="minorHAnsi"/>
          <w:b/>
        </w:rPr>
        <w:t>),</w:t>
      </w:r>
      <w:r w:rsidRPr="004C582C">
        <w:rPr>
          <w:rFonts w:cstheme="minorHAnsi"/>
        </w:rPr>
        <w:t xml:space="preserve"> lo schema di verifica sviluppato da SAI che permette di verificare le proprie pratiche agricole in modo approfondito e coprendo tutti gli aspetti dell’agricoltura sostenibile.</w:t>
      </w:r>
      <w:r w:rsidR="00EB22E7" w:rsidRPr="004C582C">
        <w:rPr>
          <w:rFonts w:cstheme="minorHAnsi"/>
        </w:rPr>
        <w:t xml:space="preserve"> Il termine </w:t>
      </w:r>
      <w:r w:rsidR="00EB22E7" w:rsidRPr="004C582C">
        <w:rPr>
          <w:rFonts w:cstheme="minorHAnsi"/>
          <w:b/>
        </w:rPr>
        <w:t>agricoltura sostenibile</w:t>
      </w:r>
      <w:r w:rsidR="00082D0B">
        <w:rPr>
          <w:rFonts w:cstheme="minorHAnsi"/>
        </w:rPr>
        <w:t xml:space="preserve"> secondo SAI</w:t>
      </w:r>
      <w:r w:rsidR="0024083B">
        <w:rPr>
          <w:rFonts w:cstheme="minorHAnsi"/>
        </w:rPr>
        <w:t xml:space="preserve"> Platform</w:t>
      </w:r>
      <w:r w:rsidR="00EB22E7" w:rsidRPr="004C582C">
        <w:rPr>
          <w:rFonts w:cstheme="minorHAnsi"/>
        </w:rPr>
        <w:t xml:space="preserve"> vuol dire infatti produrre in modo efficiente cibo sicuro e di alta qualità, attraverso pratiche agricole che proteggano e migliorino l’ambiente ma anche le condizioni sociali ed economiche degli agricoltori, dei loro dipendenti e delle comunità locali salvaguardando la salute e il benessere di tutte le specie coltivate o allevate.</w:t>
      </w:r>
      <w:r w:rsidR="00900BAA" w:rsidRPr="004C582C">
        <w:rPr>
          <w:rFonts w:cstheme="minorHAnsi"/>
        </w:rPr>
        <w:t xml:space="preserve"> </w:t>
      </w:r>
    </w:p>
    <w:p w:rsidR="00564240" w:rsidRPr="003F16B2" w:rsidRDefault="00564240" w:rsidP="00564240">
      <w:pPr>
        <w:jc w:val="both"/>
      </w:pPr>
    </w:p>
    <w:p w:rsidR="00564240" w:rsidRDefault="00564240" w:rsidP="00564240">
      <w:pPr>
        <w:pStyle w:val="Paragrafoelenco"/>
        <w:rPr>
          <w:rFonts w:cstheme="minorHAnsi"/>
        </w:rPr>
      </w:pPr>
    </w:p>
    <w:p w:rsidR="00564240" w:rsidRDefault="00564240" w:rsidP="00826CE5">
      <w:pPr>
        <w:jc w:val="both"/>
        <w:rPr>
          <w:rFonts w:ascii="Calibri" w:hAnsi="Calibri" w:cs="Calibri"/>
          <w:sz w:val="22"/>
          <w:szCs w:val="22"/>
        </w:rPr>
      </w:pPr>
    </w:p>
    <w:p w:rsidR="00920EFD" w:rsidRDefault="00920EFD" w:rsidP="00826CE5">
      <w:pPr>
        <w:jc w:val="both"/>
        <w:rPr>
          <w:rFonts w:ascii="Calibri" w:hAnsi="Calibri" w:cs="Calibri"/>
          <w:sz w:val="22"/>
          <w:szCs w:val="22"/>
        </w:rPr>
      </w:pPr>
    </w:p>
    <w:bookmarkEnd w:id="2"/>
    <w:p w:rsidR="00826CE5" w:rsidRDefault="00826CE5" w:rsidP="00826CE5">
      <w:pPr>
        <w:jc w:val="both"/>
        <w:rPr>
          <w:sz w:val="18"/>
        </w:rPr>
      </w:pPr>
      <w:r>
        <w:rPr>
          <w:sz w:val="18"/>
        </w:rPr>
        <w:t xml:space="preserve">*Fonte: IRI - Totale Italia + Discount, anno 2017. </w:t>
      </w:r>
    </w:p>
    <w:p w:rsidR="00826CE5" w:rsidRDefault="00826CE5" w:rsidP="00826CE5">
      <w:pPr>
        <w:jc w:val="both"/>
        <w:rPr>
          <w:sz w:val="22"/>
        </w:rPr>
      </w:pPr>
    </w:p>
    <w:p w:rsidR="00826CE5" w:rsidRDefault="00826CE5" w:rsidP="00826CE5">
      <w:pPr>
        <w:ind w:firstLine="708"/>
        <w:jc w:val="center"/>
      </w:pPr>
      <w:r>
        <w:t>Per maggiori informazioni:</w:t>
      </w:r>
    </w:p>
    <w:p w:rsidR="00826CE5" w:rsidRDefault="00181F36" w:rsidP="00826CE5">
      <w:pPr>
        <w:ind w:firstLine="708"/>
        <w:jc w:val="center"/>
      </w:pPr>
      <w:hyperlink r:id="rId7" w:history="1">
        <w:r w:rsidR="00826CE5">
          <w:rPr>
            <w:rStyle w:val="Collegamentoipertestuale"/>
          </w:rPr>
          <w:t>www.findus.it</w:t>
        </w:r>
      </w:hyperlink>
    </w:p>
    <w:p w:rsidR="00970271" w:rsidRPr="000A12EB" w:rsidRDefault="00970271" w:rsidP="00970271">
      <w:pPr>
        <w:ind w:firstLine="708"/>
        <w:jc w:val="center"/>
      </w:pPr>
    </w:p>
    <w:sectPr w:rsidR="00970271" w:rsidRPr="000A12EB" w:rsidSect="00B72FD6">
      <w:headerReference w:type="default" r:id="rId8"/>
      <w:pgSz w:w="11900" w:h="16840"/>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1F36" w:rsidRDefault="00181F36" w:rsidP="000A12EB">
      <w:r>
        <w:separator/>
      </w:r>
    </w:p>
  </w:endnote>
  <w:endnote w:type="continuationSeparator" w:id="0">
    <w:p w:rsidR="00181F36" w:rsidRDefault="00181F36" w:rsidP="000A1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1F36" w:rsidRDefault="00181F36" w:rsidP="000A12EB">
      <w:r>
        <w:separator/>
      </w:r>
    </w:p>
  </w:footnote>
  <w:footnote w:type="continuationSeparator" w:id="0">
    <w:p w:rsidR="00181F36" w:rsidRDefault="00181F36" w:rsidP="000A1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2EB" w:rsidRDefault="000A12EB" w:rsidP="00C03C81">
    <w:pPr>
      <w:pStyle w:val="Intestazione"/>
      <w:tabs>
        <w:tab w:val="clear" w:pos="4819"/>
        <w:tab w:val="center" w:pos="5103"/>
      </w:tabs>
      <w:jc w:val="center"/>
    </w:pPr>
    <w:r>
      <w:rPr>
        <w:noProof/>
        <w:lang w:eastAsia="it-IT"/>
      </w:rPr>
      <w:drawing>
        <wp:inline distT="0" distB="0" distL="0" distR="0" wp14:anchorId="23A3E2DB" wp14:editId="6142B43D">
          <wp:extent cx="1800000" cy="817625"/>
          <wp:effectExtent l="0" t="0" r="381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INDUS.jpg"/>
                  <pic:cNvPicPr/>
                </pic:nvPicPr>
                <pic:blipFill>
                  <a:blip r:embed="rId1">
                    <a:extLst>
                      <a:ext uri="{28A0092B-C50C-407E-A947-70E740481C1C}">
                        <a14:useLocalDpi xmlns:a14="http://schemas.microsoft.com/office/drawing/2010/main" val="0"/>
                      </a:ext>
                    </a:extLst>
                  </a:blip>
                  <a:stretch>
                    <a:fillRect/>
                  </a:stretch>
                </pic:blipFill>
                <pic:spPr>
                  <a:xfrm>
                    <a:off x="0" y="0"/>
                    <a:ext cx="1800000" cy="8176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9481C"/>
    <w:multiLevelType w:val="hybridMultilevel"/>
    <w:tmpl w:val="3D844D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FB50255"/>
    <w:multiLevelType w:val="hybridMultilevel"/>
    <w:tmpl w:val="49C8D4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4706A68"/>
    <w:multiLevelType w:val="hybridMultilevel"/>
    <w:tmpl w:val="BDFE3F5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38C47C3F"/>
    <w:multiLevelType w:val="hybridMultilevel"/>
    <w:tmpl w:val="8F66B66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491F7043"/>
    <w:multiLevelType w:val="hybridMultilevel"/>
    <w:tmpl w:val="FF0C1A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6886802"/>
    <w:multiLevelType w:val="hybridMultilevel"/>
    <w:tmpl w:val="CE4E0C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6A94CA5"/>
    <w:multiLevelType w:val="hybridMultilevel"/>
    <w:tmpl w:val="1452108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5AD26906"/>
    <w:multiLevelType w:val="hybridMultilevel"/>
    <w:tmpl w:val="C6F688D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68350618"/>
    <w:multiLevelType w:val="hybridMultilevel"/>
    <w:tmpl w:val="0D3037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A034935"/>
    <w:multiLevelType w:val="hybridMultilevel"/>
    <w:tmpl w:val="540474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F0F6328"/>
    <w:multiLevelType w:val="hybridMultilevel"/>
    <w:tmpl w:val="89D64E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09C625E"/>
    <w:multiLevelType w:val="hybridMultilevel"/>
    <w:tmpl w:val="7988F7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B247927"/>
    <w:multiLevelType w:val="hybridMultilevel"/>
    <w:tmpl w:val="19CE3B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9"/>
  </w:num>
  <w:num w:numId="4">
    <w:abstractNumId w:val="12"/>
  </w:num>
  <w:num w:numId="5">
    <w:abstractNumId w:val="3"/>
  </w:num>
  <w:num w:numId="6">
    <w:abstractNumId w:val="5"/>
  </w:num>
  <w:num w:numId="7">
    <w:abstractNumId w:val="11"/>
  </w:num>
  <w:num w:numId="8">
    <w:abstractNumId w:val="1"/>
  </w:num>
  <w:num w:numId="9">
    <w:abstractNumId w:val="8"/>
  </w:num>
  <w:num w:numId="10">
    <w:abstractNumId w:val="7"/>
  </w:num>
  <w:num w:numId="11">
    <w:abstractNumId w:val="6"/>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283"/>
  <w:drawingGridHorizontalSpacing w:val="181"/>
  <w:drawingGridVerticalSpacing w:val="181"/>
  <w:doNotUseMarginsForDrawingGridOrigin/>
  <w:drawingGridVerticalOrigin w:val="198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2EB"/>
    <w:rsid w:val="00052B8B"/>
    <w:rsid w:val="00053DED"/>
    <w:rsid w:val="0006555D"/>
    <w:rsid w:val="00081245"/>
    <w:rsid w:val="00082D0B"/>
    <w:rsid w:val="000A12EB"/>
    <w:rsid w:val="000F3E43"/>
    <w:rsid w:val="00141B53"/>
    <w:rsid w:val="00142CDD"/>
    <w:rsid w:val="001577B8"/>
    <w:rsid w:val="0016547C"/>
    <w:rsid w:val="00181F36"/>
    <w:rsid w:val="001E36BA"/>
    <w:rsid w:val="00205F40"/>
    <w:rsid w:val="002335E2"/>
    <w:rsid w:val="0023384B"/>
    <w:rsid w:val="00234FF2"/>
    <w:rsid w:val="0024083B"/>
    <w:rsid w:val="00251737"/>
    <w:rsid w:val="00264C2C"/>
    <w:rsid w:val="00272C3E"/>
    <w:rsid w:val="00276EEE"/>
    <w:rsid w:val="002810CF"/>
    <w:rsid w:val="00281794"/>
    <w:rsid w:val="0029406B"/>
    <w:rsid w:val="002B3BF9"/>
    <w:rsid w:val="002B5213"/>
    <w:rsid w:val="002E3A0C"/>
    <w:rsid w:val="002F7AAC"/>
    <w:rsid w:val="00301069"/>
    <w:rsid w:val="003130F4"/>
    <w:rsid w:val="0031732D"/>
    <w:rsid w:val="00341BB1"/>
    <w:rsid w:val="00354826"/>
    <w:rsid w:val="00354C74"/>
    <w:rsid w:val="00355BA3"/>
    <w:rsid w:val="0037209C"/>
    <w:rsid w:val="00373DD8"/>
    <w:rsid w:val="003B129E"/>
    <w:rsid w:val="003B2383"/>
    <w:rsid w:val="003B5135"/>
    <w:rsid w:val="003C02B7"/>
    <w:rsid w:val="003C7063"/>
    <w:rsid w:val="003E6613"/>
    <w:rsid w:val="003F16B2"/>
    <w:rsid w:val="003F33B3"/>
    <w:rsid w:val="00405204"/>
    <w:rsid w:val="004204AF"/>
    <w:rsid w:val="004436F2"/>
    <w:rsid w:val="004728F2"/>
    <w:rsid w:val="004737A2"/>
    <w:rsid w:val="004A0894"/>
    <w:rsid w:val="004C582C"/>
    <w:rsid w:val="00504B74"/>
    <w:rsid w:val="00514154"/>
    <w:rsid w:val="00564240"/>
    <w:rsid w:val="00570799"/>
    <w:rsid w:val="00572D1B"/>
    <w:rsid w:val="005D1A80"/>
    <w:rsid w:val="005D6A65"/>
    <w:rsid w:val="005E6FDB"/>
    <w:rsid w:val="00600E3D"/>
    <w:rsid w:val="00620D18"/>
    <w:rsid w:val="00624B93"/>
    <w:rsid w:val="006251A3"/>
    <w:rsid w:val="00642E90"/>
    <w:rsid w:val="006464E5"/>
    <w:rsid w:val="00660CB3"/>
    <w:rsid w:val="00660CD2"/>
    <w:rsid w:val="00661C24"/>
    <w:rsid w:val="006646EE"/>
    <w:rsid w:val="00681AB0"/>
    <w:rsid w:val="0068308D"/>
    <w:rsid w:val="006A2247"/>
    <w:rsid w:val="006A3C1E"/>
    <w:rsid w:val="006B4387"/>
    <w:rsid w:val="006D2A31"/>
    <w:rsid w:val="006E0E7C"/>
    <w:rsid w:val="006E2D23"/>
    <w:rsid w:val="00712D82"/>
    <w:rsid w:val="00714E10"/>
    <w:rsid w:val="00725B4E"/>
    <w:rsid w:val="0073573F"/>
    <w:rsid w:val="007435E0"/>
    <w:rsid w:val="00752243"/>
    <w:rsid w:val="00766A8B"/>
    <w:rsid w:val="0078582A"/>
    <w:rsid w:val="007A62D6"/>
    <w:rsid w:val="007A76AD"/>
    <w:rsid w:val="007B5253"/>
    <w:rsid w:val="007C377B"/>
    <w:rsid w:val="007C58CE"/>
    <w:rsid w:val="007F53DB"/>
    <w:rsid w:val="008009AB"/>
    <w:rsid w:val="00807239"/>
    <w:rsid w:val="008217E7"/>
    <w:rsid w:val="00826CE5"/>
    <w:rsid w:val="00837771"/>
    <w:rsid w:val="008600A9"/>
    <w:rsid w:val="00861396"/>
    <w:rsid w:val="0087444B"/>
    <w:rsid w:val="0087603D"/>
    <w:rsid w:val="00882BDF"/>
    <w:rsid w:val="008A439D"/>
    <w:rsid w:val="008A6A63"/>
    <w:rsid w:val="008C3F21"/>
    <w:rsid w:val="008D5AF0"/>
    <w:rsid w:val="008E0AE4"/>
    <w:rsid w:val="00900BAA"/>
    <w:rsid w:val="009053ED"/>
    <w:rsid w:val="00920EFD"/>
    <w:rsid w:val="00925572"/>
    <w:rsid w:val="00933539"/>
    <w:rsid w:val="00941266"/>
    <w:rsid w:val="009508F9"/>
    <w:rsid w:val="009539F2"/>
    <w:rsid w:val="00970271"/>
    <w:rsid w:val="00981F91"/>
    <w:rsid w:val="009915AF"/>
    <w:rsid w:val="009B2E37"/>
    <w:rsid w:val="009C2FB9"/>
    <w:rsid w:val="00A342B2"/>
    <w:rsid w:val="00A36414"/>
    <w:rsid w:val="00A47B63"/>
    <w:rsid w:val="00A664E4"/>
    <w:rsid w:val="00A94705"/>
    <w:rsid w:val="00AC2258"/>
    <w:rsid w:val="00AC5D49"/>
    <w:rsid w:val="00AC7B00"/>
    <w:rsid w:val="00AE2079"/>
    <w:rsid w:val="00B11C22"/>
    <w:rsid w:val="00B27666"/>
    <w:rsid w:val="00B34181"/>
    <w:rsid w:val="00B61D0F"/>
    <w:rsid w:val="00B72FD6"/>
    <w:rsid w:val="00B77A08"/>
    <w:rsid w:val="00B823C6"/>
    <w:rsid w:val="00B86BDA"/>
    <w:rsid w:val="00B955FF"/>
    <w:rsid w:val="00BA03A4"/>
    <w:rsid w:val="00BA33D3"/>
    <w:rsid w:val="00BD00C0"/>
    <w:rsid w:val="00BD5BD8"/>
    <w:rsid w:val="00C026D9"/>
    <w:rsid w:val="00C03C81"/>
    <w:rsid w:val="00C05D8A"/>
    <w:rsid w:val="00C2101D"/>
    <w:rsid w:val="00C3030D"/>
    <w:rsid w:val="00C753C3"/>
    <w:rsid w:val="00C81431"/>
    <w:rsid w:val="00C9419A"/>
    <w:rsid w:val="00CA22F6"/>
    <w:rsid w:val="00CE002D"/>
    <w:rsid w:val="00D10311"/>
    <w:rsid w:val="00D12612"/>
    <w:rsid w:val="00D13596"/>
    <w:rsid w:val="00D3795D"/>
    <w:rsid w:val="00D44836"/>
    <w:rsid w:val="00D67046"/>
    <w:rsid w:val="00D8729E"/>
    <w:rsid w:val="00DC35B3"/>
    <w:rsid w:val="00DE3C15"/>
    <w:rsid w:val="00E31C65"/>
    <w:rsid w:val="00E45045"/>
    <w:rsid w:val="00E508D6"/>
    <w:rsid w:val="00E76026"/>
    <w:rsid w:val="00EB22E7"/>
    <w:rsid w:val="00EF13E5"/>
    <w:rsid w:val="00F06A77"/>
    <w:rsid w:val="00F21B40"/>
    <w:rsid w:val="00F33146"/>
    <w:rsid w:val="00F52205"/>
    <w:rsid w:val="00F52C4B"/>
    <w:rsid w:val="00F72E7E"/>
    <w:rsid w:val="00F823A4"/>
    <w:rsid w:val="00F91CD3"/>
    <w:rsid w:val="00FA1342"/>
    <w:rsid w:val="00FA2274"/>
    <w:rsid w:val="00FA2284"/>
    <w:rsid w:val="00FA7CF6"/>
    <w:rsid w:val="00FB5047"/>
    <w:rsid w:val="00FC4F6E"/>
    <w:rsid w:val="00FC55A4"/>
    <w:rsid w:val="00FD35EC"/>
    <w:rsid w:val="00FD7432"/>
    <w:rsid w:val="00FF10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D022F"/>
  <w15:docId w15:val="{183C5441-2A2E-4C87-B92B-59F32B46A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A12EB"/>
    <w:pPr>
      <w:tabs>
        <w:tab w:val="center" w:pos="4819"/>
        <w:tab w:val="right" w:pos="9638"/>
      </w:tabs>
    </w:pPr>
  </w:style>
  <w:style w:type="character" w:customStyle="1" w:styleId="IntestazioneCarattere">
    <w:name w:val="Intestazione Carattere"/>
    <w:basedOn w:val="Carpredefinitoparagrafo"/>
    <w:link w:val="Intestazione"/>
    <w:uiPriority w:val="99"/>
    <w:rsid w:val="000A12EB"/>
  </w:style>
  <w:style w:type="paragraph" w:styleId="Pidipagina">
    <w:name w:val="footer"/>
    <w:basedOn w:val="Normale"/>
    <w:link w:val="PidipaginaCarattere"/>
    <w:uiPriority w:val="99"/>
    <w:unhideWhenUsed/>
    <w:rsid w:val="000A12EB"/>
    <w:pPr>
      <w:tabs>
        <w:tab w:val="center" w:pos="4819"/>
        <w:tab w:val="right" w:pos="9638"/>
      </w:tabs>
    </w:pPr>
  </w:style>
  <w:style w:type="character" w:customStyle="1" w:styleId="PidipaginaCarattere">
    <w:name w:val="Piè di pagina Carattere"/>
    <w:basedOn w:val="Carpredefinitoparagrafo"/>
    <w:link w:val="Pidipagina"/>
    <w:uiPriority w:val="99"/>
    <w:rsid w:val="000A12EB"/>
  </w:style>
  <w:style w:type="character" w:styleId="Collegamentoipertestuale">
    <w:name w:val="Hyperlink"/>
    <w:rsid w:val="00B72FD6"/>
    <w:rPr>
      <w:color w:val="0000FF"/>
      <w:u w:val="single"/>
    </w:rPr>
  </w:style>
  <w:style w:type="paragraph" w:customStyle="1" w:styleId="Default">
    <w:name w:val="Default"/>
    <w:rsid w:val="00B72FD6"/>
    <w:pPr>
      <w:autoSpaceDE w:val="0"/>
      <w:autoSpaceDN w:val="0"/>
      <w:adjustRightInd w:val="0"/>
    </w:pPr>
    <w:rPr>
      <w:rFonts w:ascii="Georgia" w:eastAsia="Times New Roman" w:hAnsi="Georgia" w:cs="Georgia"/>
      <w:color w:val="000000"/>
      <w:lang w:eastAsia="it-IT"/>
    </w:rPr>
  </w:style>
  <w:style w:type="paragraph" w:styleId="Paragrafoelenco">
    <w:name w:val="List Paragraph"/>
    <w:basedOn w:val="Normale"/>
    <w:uiPriority w:val="34"/>
    <w:qFormat/>
    <w:rsid w:val="006E2D23"/>
    <w:pPr>
      <w:ind w:left="720"/>
      <w:contextualSpacing/>
    </w:pPr>
  </w:style>
  <w:style w:type="paragraph" w:styleId="Testofumetto">
    <w:name w:val="Balloon Text"/>
    <w:basedOn w:val="Normale"/>
    <w:link w:val="TestofumettoCarattere"/>
    <w:uiPriority w:val="99"/>
    <w:semiHidden/>
    <w:unhideWhenUsed/>
    <w:rsid w:val="009508F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508F9"/>
    <w:rPr>
      <w:rFonts w:ascii="Tahoma" w:hAnsi="Tahoma" w:cs="Tahoma"/>
      <w:sz w:val="16"/>
      <w:szCs w:val="16"/>
    </w:rPr>
  </w:style>
  <w:style w:type="paragraph" w:styleId="NormaleWeb">
    <w:name w:val="Normal (Web)"/>
    <w:basedOn w:val="Normale"/>
    <w:uiPriority w:val="99"/>
    <w:unhideWhenUsed/>
    <w:rsid w:val="003130F4"/>
    <w:pPr>
      <w:spacing w:before="100" w:beforeAutospacing="1" w:after="100" w:afterAutospacing="1"/>
    </w:pPr>
    <w:rPr>
      <w:rFonts w:ascii="Times New Roman" w:eastAsia="Times New Roman" w:hAnsi="Times New Roman" w:cs="Times New Roman"/>
      <w:lang w:eastAsia="it-IT"/>
    </w:rPr>
  </w:style>
  <w:style w:type="character" w:customStyle="1" w:styleId="Menzionenonrisolta1">
    <w:name w:val="Menzione non risolta1"/>
    <w:basedOn w:val="Carpredefinitoparagrafo"/>
    <w:uiPriority w:val="99"/>
    <w:semiHidden/>
    <w:unhideWhenUsed/>
    <w:rsid w:val="00642E90"/>
    <w:rPr>
      <w:color w:val="808080"/>
      <w:shd w:val="clear" w:color="auto" w:fill="E6E6E6"/>
    </w:rPr>
  </w:style>
  <w:style w:type="character" w:styleId="Rimandocommento">
    <w:name w:val="annotation reference"/>
    <w:basedOn w:val="Carpredefinitoparagrafo"/>
    <w:uiPriority w:val="99"/>
    <w:semiHidden/>
    <w:unhideWhenUsed/>
    <w:rsid w:val="00AC5D49"/>
    <w:rPr>
      <w:sz w:val="16"/>
      <w:szCs w:val="16"/>
    </w:rPr>
  </w:style>
  <w:style w:type="paragraph" w:styleId="Testocommento">
    <w:name w:val="annotation text"/>
    <w:basedOn w:val="Normale"/>
    <w:link w:val="TestocommentoCarattere"/>
    <w:uiPriority w:val="99"/>
    <w:semiHidden/>
    <w:unhideWhenUsed/>
    <w:rsid w:val="00AC5D49"/>
    <w:rPr>
      <w:sz w:val="20"/>
      <w:szCs w:val="20"/>
    </w:rPr>
  </w:style>
  <w:style w:type="character" w:customStyle="1" w:styleId="TestocommentoCarattere">
    <w:name w:val="Testo commento Carattere"/>
    <w:basedOn w:val="Carpredefinitoparagrafo"/>
    <w:link w:val="Testocommento"/>
    <w:uiPriority w:val="99"/>
    <w:semiHidden/>
    <w:rsid w:val="00AC5D49"/>
    <w:rPr>
      <w:sz w:val="20"/>
      <w:szCs w:val="20"/>
    </w:rPr>
  </w:style>
  <w:style w:type="paragraph" w:styleId="Soggettocommento">
    <w:name w:val="annotation subject"/>
    <w:basedOn w:val="Testocommento"/>
    <w:next w:val="Testocommento"/>
    <w:link w:val="SoggettocommentoCarattere"/>
    <w:uiPriority w:val="99"/>
    <w:semiHidden/>
    <w:unhideWhenUsed/>
    <w:rsid w:val="00AC5D49"/>
    <w:rPr>
      <w:b/>
      <w:bCs/>
    </w:rPr>
  </w:style>
  <w:style w:type="character" w:customStyle="1" w:styleId="SoggettocommentoCarattere">
    <w:name w:val="Soggetto commento Carattere"/>
    <w:basedOn w:val="TestocommentoCarattere"/>
    <w:link w:val="Soggettocommento"/>
    <w:uiPriority w:val="99"/>
    <w:semiHidden/>
    <w:rsid w:val="00AC5D49"/>
    <w:rPr>
      <w:b/>
      <w:bCs/>
      <w:sz w:val="20"/>
      <w:szCs w:val="20"/>
    </w:rPr>
  </w:style>
  <w:style w:type="character" w:styleId="Enfasigrassetto">
    <w:name w:val="Strong"/>
    <w:basedOn w:val="Carpredefinitoparagrafo"/>
    <w:uiPriority w:val="22"/>
    <w:qFormat/>
    <w:rsid w:val="00C026D9"/>
    <w:rPr>
      <w:b/>
      <w:bCs/>
    </w:rPr>
  </w:style>
  <w:style w:type="character" w:styleId="Enfasicorsivo">
    <w:name w:val="Emphasis"/>
    <w:basedOn w:val="Carpredefinitoparagrafo"/>
    <w:uiPriority w:val="20"/>
    <w:qFormat/>
    <w:rsid w:val="00C026D9"/>
    <w:rPr>
      <w:i/>
      <w:iCs/>
    </w:rPr>
  </w:style>
  <w:style w:type="character" w:styleId="Collegamentovisitato">
    <w:name w:val="FollowedHyperlink"/>
    <w:basedOn w:val="Carpredefinitoparagrafo"/>
    <w:uiPriority w:val="99"/>
    <w:semiHidden/>
    <w:unhideWhenUsed/>
    <w:rsid w:val="00355BA3"/>
    <w:rPr>
      <w:color w:val="954F72" w:themeColor="followedHyperlink"/>
      <w:u w:val="single"/>
    </w:rPr>
  </w:style>
  <w:style w:type="paragraph" w:customStyle="1" w:styleId="Pa1">
    <w:name w:val="Pa1"/>
    <w:basedOn w:val="Default"/>
    <w:next w:val="Default"/>
    <w:uiPriority w:val="99"/>
    <w:rsid w:val="00504B74"/>
    <w:pPr>
      <w:spacing w:line="301" w:lineRule="atLeast"/>
    </w:pPr>
    <w:rPr>
      <w:rFonts w:ascii="Century Gothic" w:eastAsiaTheme="minorHAnsi" w:hAnsi="Century Gothic" w:cstheme="minorBidi"/>
      <w:color w:val="auto"/>
      <w:lang w:eastAsia="en-US"/>
    </w:rPr>
  </w:style>
  <w:style w:type="character" w:customStyle="1" w:styleId="A1">
    <w:name w:val="A1"/>
    <w:uiPriority w:val="99"/>
    <w:rsid w:val="00504B74"/>
    <w:rPr>
      <w:rFonts w:cs="Century Gothic"/>
      <w:color w:val="000000"/>
      <w:sz w:val="28"/>
      <w:szCs w:val="28"/>
    </w:rPr>
  </w:style>
  <w:style w:type="character" w:customStyle="1" w:styleId="A2">
    <w:name w:val="A2"/>
    <w:uiPriority w:val="99"/>
    <w:rsid w:val="00504B74"/>
    <w:rPr>
      <w:rFonts w:cs="Century Gothic"/>
      <w:color w:val="000000"/>
    </w:rPr>
  </w:style>
  <w:style w:type="paragraph" w:customStyle="1" w:styleId="Pa11">
    <w:name w:val="Pa11"/>
    <w:basedOn w:val="Default"/>
    <w:next w:val="Default"/>
    <w:uiPriority w:val="99"/>
    <w:rsid w:val="00504B74"/>
    <w:pPr>
      <w:spacing w:line="321" w:lineRule="atLeast"/>
    </w:pPr>
    <w:rPr>
      <w:rFonts w:ascii="Century Gothic" w:eastAsiaTheme="minorHAnsi" w:hAnsi="Century Gothic" w:cstheme="minorBidi"/>
      <w:color w:val="auto"/>
      <w:lang w:eastAsia="en-US"/>
    </w:rPr>
  </w:style>
  <w:style w:type="character" w:customStyle="1" w:styleId="article-body">
    <w:name w:val="article-body"/>
    <w:basedOn w:val="Carpredefinitoparagrafo"/>
    <w:rsid w:val="00C75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865006">
      <w:bodyDiv w:val="1"/>
      <w:marLeft w:val="0"/>
      <w:marRight w:val="0"/>
      <w:marTop w:val="0"/>
      <w:marBottom w:val="0"/>
      <w:divBdr>
        <w:top w:val="none" w:sz="0" w:space="0" w:color="auto"/>
        <w:left w:val="none" w:sz="0" w:space="0" w:color="auto"/>
        <w:bottom w:val="none" w:sz="0" w:space="0" w:color="auto"/>
        <w:right w:val="none" w:sz="0" w:space="0" w:color="auto"/>
      </w:divBdr>
      <w:divsChild>
        <w:div w:id="20322927">
          <w:marLeft w:val="0"/>
          <w:marRight w:val="0"/>
          <w:marTop w:val="0"/>
          <w:marBottom w:val="0"/>
          <w:divBdr>
            <w:top w:val="none" w:sz="0" w:space="0" w:color="auto"/>
            <w:left w:val="none" w:sz="0" w:space="0" w:color="auto"/>
            <w:bottom w:val="none" w:sz="0" w:space="0" w:color="auto"/>
            <w:right w:val="none" w:sz="0" w:space="0" w:color="auto"/>
          </w:divBdr>
        </w:div>
      </w:divsChild>
    </w:div>
    <w:div w:id="1024985217">
      <w:bodyDiv w:val="1"/>
      <w:marLeft w:val="0"/>
      <w:marRight w:val="0"/>
      <w:marTop w:val="0"/>
      <w:marBottom w:val="0"/>
      <w:divBdr>
        <w:top w:val="none" w:sz="0" w:space="0" w:color="auto"/>
        <w:left w:val="none" w:sz="0" w:space="0" w:color="auto"/>
        <w:bottom w:val="none" w:sz="0" w:space="0" w:color="auto"/>
        <w:right w:val="none" w:sz="0" w:space="0" w:color="auto"/>
      </w:divBdr>
    </w:div>
    <w:div w:id="1039472561">
      <w:bodyDiv w:val="1"/>
      <w:marLeft w:val="0"/>
      <w:marRight w:val="0"/>
      <w:marTop w:val="0"/>
      <w:marBottom w:val="0"/>
      <w:divBdr>
        <w:top w:val="none" w:sz="0" w:space="0" w:color="auto"/>
        <w:left w:val="none" w:sz="0" w:space="0" w:color="auto"/>
        <w:bottom w:val="none" w:sz="0" w:space="0" w:color="auto"/>
        <w:right w:val="none" w:sz="0" w:space="0" w:color="auto"/>
      </w:divBdr>
    </w:div>
    <w:div w:id="1644579335">
      <w:bodyDiv w:val="1"/>
      <w:marLeft w:val="0"/>
      <w:marRight w:val="0"/>
      <w:marTop w:val="0"/>
      <w:marBottom w:val="0"/>
      <w:divBdr>
        <w:top w:val="none" w:sz="0" w:space="0" w:color="auto"/>
        <w:left w:val="none" w:sz="0" w:space="0" w:color="auto"/>
        <w:bottom w:val="none" w:sz="0" w:space="0" w:color="auto"/>
        <w:right w:val="none" w:sz="0" w:space="0" w:color="auto"/>
      </w:divBdr>
    </w:div>
    <w:div w:id="1919248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indus.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983</Words>
  <Characters>5606</Characters>
  <Application>Microsoft Office Word</Application>
  <DocSecurity>0</DocSecurity>
  <Lines>46</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INC Srl</dc:creator>
  <cp:lastModifiedBy>v.lorenzoni</cp:lastModifiedBy>
  <cp:revision>8</cp:revision>
  <cp:lastPrinted>2018-10-15T13:49:00Z</cp:lastPrinted>
  <dcterms:created xsi:type="dcterms:W3CDTF">2018-10-15T13:47:00Z</dcterms:created>
  <dcterms:modified xsi:type="dcterms:W3CDTF">2018-10-17T07:50:00Z</dcterms:modified>
</cp:coreProperties>
</file>