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578BDE9" w:rsidP="35A17EFF" w:rsidRDefault="6578BDE9" w14:paraId="63DFF24F" w14:textId="5129C930">
      <w:pPr>
        <w:spacing w:before="240" w:beforeAutospacing="off" w:after="240" w:afterAutospacing="off"/>
        <w:jc w:val="center"/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</w:pPr>
      <w:r w:rsidRPr="3788046A" w:rsidR="476A5D72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>7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 xml:space="preserve">5 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>años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 xml:space="preserve"> 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>volando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 xml:space="preserve"> a 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>través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 xml:space="preserve"> de la 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>historia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 xml:space="preserve">: Turkish Airlines 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>celebra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 xml:space="preserve"> 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>su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 xml:space="preserve"> 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>histórica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 xml:space="preserve"> 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>conexión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 xml:space="preserve"> con </w:t>
      </w:r>
      <w:r w:rsidRPr="3788046A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>Egipto</w:t>
      </w:r>
    </w:p>
    <w:p w:rsidR="6578BDE9" w:rsidP="35A17EFF" w:rsidRDefault="6578BDE9" w14:paraId="3D1E33FB" w14:textId="0F0EE06D">
      <w:pPr>
        <w:spacing w:before="240" w:beforeAutospacing="off" w:after="240" w:afterAutospacing="off"/>
        <w:jc w:val="center"/>
        <w:rPr>
          <w:rFonts w:ascii="Book Antiqua" w:hAnsi="Book Antiqua" w:eastAsia="Book Antiqua" w:cs="Book Antiqua"/>
          <w:i w:val="1"/>
          <w:iCs w:val="1"/>
          <w:noProof w:val="0"/>
          <w:sz w:val="28"/>
          <w:szCs w:val="28"/>
          <w:lang w:val="en-US"/>
        </w:rPr>
      </w:pPr>
      <w:r w:rsidRPr="35A17EFF" w:rsidR="6578BDE9">
        <w:rPr>
          <w:rFonts w:ascii="Book Antiqua" w:hAnsi="Book Antiqua" w:eastAsia="Book Antiqua" w:cs="Book Antiqua"/>
          <w:i w:val="1"/>
          <w:iCs w:val="1"/>
          <w:noProof w:val="0"/>
          <w:sz w:val="28"/>
          <w:szCs w:val="28"/>
          <w:lang w:val="en-US"/>
        </w:rPr>
        <w:t>En el aniversario de esta emblemática ruta, la aerolínea invita a los viajeros a redescubrir un destino atemporal, donde el patrimonio, la cultura y nuevas experiencias se encuentran.</w:t>
      </w:r>
    </w:p>
    <w:p w:rsidR="6578BDE9" w:rsidP="35A17EFF" w:rsidRDefault="6578BDE9" w14:paraId="5FF23982" w14:textId="47604EE7">
      <w:pPr>
        <w:spacing w:before="240" w:beforeAutospacing="off" w:after="240" w:afterAutospacing="off"/>
        <w:ind w:firstLine="720"/>
        <w:jc w:val="both"/>
      </w:pPr>
      <w:r w:rsidRPr="35A17EFF" w:rsidR="6578BDE9">
        <w:rPr>
          <w:rFonts w:ascii="Book Antiqua" w:hAnsi="Book Antiqua" w:eastAsia="Book Antiqua" w:cs="Book Antiqua"/>
          <w:noProof w:val="0"/>
          <w:sz w:val="24"/>
          <w:szCs w:val="24"/>
          <w:lang w:val="es-ES"/>
        </w:rPr>
        <w:t xml:space="preserve">Algunos destinos evolucionan, mientras que otros han cautivado al mundo durante miles de años. En </w:t>
      </w:r>
      <w:r w:rsidRPr="35A17EFF" w:rsidR="6578BDE9">
        <w:rPr>
          <w:rFonts w:ascii="Book Antiqua" w:hAnsi="Book Antiqua" w:eastAsia="Book Antiqua" w:cs="Book Antiqua"/>
          <w:b w:val="1"/>
          <w:bCs w:val="1"/>
          <w:noProof w:val="0"/>
          <w:sz w:val="24"/>
          <w:szCs w:val="24"/>
          <w:lang w:val="es-ES"/>
        </w:rPr>
        <w:t>2026, Turkish Airlines celebra el 75 aniversario de sus vuelos a El Cairo</w:t>
      </w:r>
      <w:r w:rsidRPr="35A17EFF" w:rsidR="6578BDE9">
        <w:rPr>
          <w:rFonts w:ascii="Book Antiqua" w:hAnsi="Book Antiqua" w:eastAsia="Book Antiqua" w:cs="Book Antiqua"/>
          <w:noProof w:val="0"/>
          <w:sz w:val="24"/>
          <w:szCs w:val="24"/>
          <w:lang w:val="es-ES"/>
        </w:rPr>
        <w:t>, una conexión histórica que ha acompañado la evolución de Egipto hasta convertirse en uno de los principales destinos culturales y turísticos del mundo. Desde las Pirámides de Guiza y los templos de Lúxor hasta las nuevas experiencias que están transformando la manera de recorrer el país, Egipto reúne hoy su legado milenario con una oferta turística en constante evolución.</w:t>
      </w:r>
    </w:p>
    <w:p w:rsidR="6578BDE9" w:rsidP="35A17EFF" w:rsidRDefault="6578BDE9" w14:paraId="2E84AE2A" w14:textId="242FCBE5">
      <w:pPr>
        <w:spacing w:before="240" w:beforeAutospacing="off" w:after="240" w:afterAutospacing="off"/>
        <w:ind w:firstLine="720"/>
        <w:jc w:val="both"/>
      </w:pPr>
      <w:r w:rsidRPr="35A17EFF" w:rsidR="6578BDE9">
        <w:rPr>
          <w:rFonts w:ascii="Book Antiqua" w:hAnsi="Book Antiqua" w:eastAsia="Book Antiqua" w:cs="Book Antiqua"/>
          <w:noProof w:val="0"/>
          <w:sz w:val="24"/>
          <w:szCs w:val="24"/>
          <w:lang w:val="en-US"/>
        </w:rPr>
        <w:t xml:space="preserve">Turkish Airlines realizó </w:t>
      </w:r>
      <w:r w:rsidRPr="35A17EFF" w:rsidR="6578BDE9">
        <w:rPr>
          <w:rFonts w:ascii="Book Antiqua" w:hAnsi="Book Antiqua" w:eastAsia="Book Antiqua" w:cs="Book Antiqua"/>
          <w:b w:val="1"/>
          <w:bCs w:val="1"/>
          <w:noProof w:val="0"/>
          <w:sz w:val="24"/>
          <w:szCs w:val="24"/>
          <w:lang w:val="en-US"/>
        </w:rPr>
        <w:t>sus primeros vuelos a El Cairo en 1951</w:t>
      </w:r>
      <w:r w:rsidRPr="35A17EFF" w:rsidR="6578BDE9">
        <w:rPr>
          <w:rFonts w:ascii="Book Antiqua" w:hAnsi="Book Antiqua" w:eastAsia="Book Antiqua" w:cs="Book Antiqua"/>
          <w:noProof w:val="0"/>
          <w:sz w:val="24"/>
          <w:szCs w:val="24"/>
          <w:lang w:val="en-US"/>
        </w:rPr>
        <w:t>, marcando el inicio de una relación que se ha fortalecido a lo largo de las décadas, a la par de la expansión de la red internacional de la aerolínea y de la evolución de la industria turística egipcia. Mientras el país incorpora nuevas experiencias a sus atracciones más emblemáticas, esta conexión histórica representa una invitación renovada a descubrir un destino que continúa sorprendiendo a viajeros de todo el mundo.</w:t>
      </w:r>
    </w:p>
    <w:p w:rsidR="6578BDE9" w:rsidP="35A17EFF" w:rsidRDefault="6578BDE9" w14:paraId="4E4BDFF1" w14:textId="43BF61D2">
      <w:pPr>
        <w:spacing w:before="240" w:beforeAutospacing="off" w:after="240" w:afterAutospacing="off"/>
        <w:jc w:val="both"/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</w:pPr>
      <w:r w:rsidRPr="35A17EFF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>El Cairo: una puerta entre el pasado y el presente</w:t>
      </w:r>
    </w:p>
    <w:p w:rsidR="6578BDE9" w:rsidP="35A17EFF" w:rsidRDefault="6578BDE9" w14:paraId="6036BB03" w14:textId="233C1D18">
      <w:pPr>
        <w:spacing w:before="240" w:beforeAutospacing="off" w:after="240" w:afterAutospacing="off"/>
        <w:ind w:firstLine="720"/>
        <w:jc w:val="both"/>
      </w:pPr>
      <w:r w:rsidRPr="35A17EFF" w:rsidR="6578BDE9">
        <w:rPr>
          <w:rFonts w:ascii="Book Antiqua" w:hAnsi="Book Antiqua" w:eastAsia="Book Antiqua" w:cs="Book Antiqua"/>
          <w:noProof w:val="0"/>
          <w:sz w:val="24"/>
          <w:szCs w:val="24"/>
          <w:lang w:val="en-US"/>
        </w:rPr>
        <w:t xml:space="preserve">La capital de Egipto se encuentra en el centro de esta nueva etapa. La apertura del </w:t>
      </w:r>
      <w:r w:rsidRPr="35A17EFF" w:rsidR="6578BDE9">
        <w:rPr>
          <w:rFonts w:ascii="Book Antiqua" w:hAnsi="Book Antiqua" w:eastAsia="Book Antiqua" w:cs="Book Antiqua"/>
          <w:b w:val="1"/>
          <w:bCs w:val="1"/>
          <w:noProof w:val="0"/>
          <w:sz w:val="24"/>
          <w:szCs w:val="24"/>
          <w:lang w:val="en-US"/>
        </w:rPr>
        <w:t>Gran Museo Egipcio</w:t>
      </w:r>
      <w:r w:rsidRPr="35A17EFF" w:rsidR="6578BDE9">
        <w:rPr>
          <w:rFonts w:ascii="Book Antiqua" w:hAnsi="Book Antiqua" w:eastAsia="Book Antiqua" w:cs="Book Antiqua"/>
          <w:noProof w:val="0"/>
          <w:sz w:val="24"/>
          <w:szCs w:val="24"/>
          <w:lang w:val="en-US"/>
        </w:rPr>
        <w:t xml:space="preserve"> marca una nueva era en la manera de acercarse al patrimonio del país, al reunir historia, arquitectura y tecnología a tan solo unos kilómetros de las Pirámides de Guiza. Este nuevo referente se complementa con una renovada oferta hotelera y una creciente variedad de experiencias culturales y gastronómicas, que abren nuevas posibilidades tanto para quienes visitan la ciudad por primera vez como para quienes desean redescubrirla.</w:t>
      </w:r>
    </w:p>
    <w:p w:rsidR="6578BDE9" w:rsidP="35A17EFF" w:rsidRDefault="6578BDE9" w14:paraId="74BC6C34" w14:textId="30478D53">
      <w:pPr>
        <w:spacing w:before="240" w:beforeAutospacing="off" w:after="240" w:afterAutospacing="off"/>
        <w:jc w:val="both"/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</w:pPr>
      <w:r w:rsidRPr="35A17EFF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>Lúxor y Alejandría: dos formas de viajar a través de la historia</w:t>
      </w:r>
    </w:p>
    <w:p w:rsidR="6578BDE9" w:rsidP="35A17EFF" w:rsidRDefault="6578BDE9" w14:paraId="01E9B08F" w14:textId="058969EA">
      <w:pPr>
        <w:spacing w:before="240" w:beforeAutospacing="off" w:after="240" w:afterAutospacing="off"/>
        <w:ind w:firstLine="720"/>
        <w:jc w:val="both"/>
      </w:pPr>
      <w:r w:rsidRPr="35A17EFF" w:rsidR="6578BDE9">
        <w:rPr>
          <w:rFonts w:ascii="Book Antiqua" w:hAnsi="Book Antiqua" w:eastAsia="Book Antiqua" w:cs="Book Antiqua"/>
          <w:noProof w:val="0"/>
          <w:sz w:val="24"/>
          <w:szCs w:val="24"/>
          <w:lang w:val="es-ES"/>
        </w:rPr>
        <w:t xml:space="preserve">Más allá de la capital, un recorrido por Egipto permite descubrir facetas completamente distintas del país. Al sur, Lúxor alberga algunos de los mayores tesoros del antiguo Egipto, </w:t>
      </w:r>
      <w:r w:rsidRPr="35A17EFF" w:rsidR="6578BDE9">
        <w:rPr>
          <w:rFonts w:ascii="Book Antiqua" w:hAnsi="Book Antiqua" w:eastAsia="Book Antiqua" w:cs="Book Antiqua"/>
          <w:b w:val="1"/>
          <w:bCs w:val="1"/>
          <w:noProof w:val="0"/>
          <w:sz w:val="24"/>
          <w:szCs w:val="24"/>
          <w:lang w:val="es-ES"/>
        </w:rPr>
        <w:t>desde los templos de Lúxor y Karnak hasta el Valle de los Reyes</w:t>
      </w:r>
      <w:r w:rsidRPr="35A17EFF" w:rsidR="6578BDE9">
        <w:rPr>
          <w:rFonts w:ascii="Book Antiqua" w:hAnsi="Book Antiqua" w:eastAsia="Book Antiqua" w:cs="Book Antiqua"/>
          <w:noProof w:val="0"/>
          <w:sz w:val="24"/>
          <w:szCs w:val="24"/>
          <w:lang w:val="es-ES"/>
        </w:rPr>
        <w:t>, mientras que los recorridos por el Nilo ofrecen una perspectiva diferente de sus paisajes y su patrimonio. Al norte, Alejandría presenta un contraste fascinante, definido por su identidad mediterránea, su extensa costa y un legado cultural forjado a lo largo de siglos de historia.</w:t>
      </w:r>
    </w:p>
    <w:p w:rsidR="6578BDE9" w:rsidP="35A17EFF" w:rsidRDefault="6578BDE9" w14:paraId="6C1D5094" w14:textId="557151C4">
      <w:pPr>
        <w:spacing w:before="240" w:beforeAutospacing="off" w:after="240" w:afterAutospacing="off"/>
        <w:jc w:val="both"/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</w:pPr>
      <w:r w:rsidRPr="35A17EFF" w:rsidR="6578BDE9">
        <w:rPr>
          <w:rFonts w:ascii="Book Antiqua" w:hAnsi="Book Antiqua" w:eastAsia="Book Antiqua" w:cs="Book Antiqua"/>
          <w:b w:val="1"/>
          <w:bCs w:val="1"/>
          <w:noProof w:val="0"/>
          <w:sz w:val="28"/>
          <w:szCs w:val="28"/>
          <w:lang w:val="en-US"/>
        </w:rPr>
        <w:t>El mar Rojo: otra faceta de Egipto</w:t>
      </w:r>
    </w:p>
    <w:p w:rsidR="6578BDE9" w:rsidP="35A17EFF" w:rsidRDefault="6578BDE9" w14:paraId="21AFD072" w14:textId="6584BC05">
      <w:pPr>
        <w:spacing w:before="240" w:beforeAutospacing="off" w:after="240" w:afterAutospacing="off"/>
        <w:ind w:firstLine="720"/>
        <w:jc w:val="both"/>
      </w:pPr>
      <w:r w:rsidRPr="35A17EFF" w:rsidR="6578BDE9">
        <w:rPr>
          <w:rFonts w:ascii="Book Antiqua" w:hAnsi="Book Antiqua" w:eastAsia="Book Antiqua" w:cs="Book Antiqua"/>
          <w:noProof w:val="0"/>
          <w:sz w:val="24"/>
          <w:szCs w:val="24"/>
          <w:lang w:val="en-US"/>
        </w:rPr>
        <w:t xml:space="preserve">El ritmo del viaje cambia a orillas del mar Rojo, </w:t>
      </w:r>
      <w:r w:rsidRPr="35A17EFF" w:rsidR="6578BDE9">
        <w:rPr>
          <w:rFonts w:ascii="Book Antiqua" w:hAnsi="Book Antiqua" w:eastAsia="Book Antiqua" w:cs="Book Antiqua"/>
          <w:b w:val="1"/>
          <w:bCs w:val="1"/>
          <w:noProof w:val="0"/>
          <w:sz w:val="24"/>
          <w:szCs w:val="24"/>
          <w:lang w:val="en-US"/>
        </w:rPr>
        <w:t>donde los paisajes desérticos se encuentran con aguas cristalinas</w:t>
      </w:r>
      <w:r w:rsidRPr="35A17EFF" w:rsidR="6578BDE9">
        <w:rPr>
          <w:rFonts w:ascii="Book Antiqua" w:hAnsi="Book Antiqua" w:eastAsia="Book Antiqua" w:cs="Book Antiqua"/>
          <w:noProof w:val="0"/>
          <w:sz w:val="24"/>
          <w:szCs w:val="24"/>
          <w:lang w:val="en-US"/>
        </w:rPr>
        <w:t xml:space="preserve"> y algunos de los ecosistemas marinos más extraordinarios de la región. Sharm el-Sheij combina playas y arrecifes de coral con actividades de buceo, snorkel y excursiones por el desierto; mientras que Hurgada, con su extensa costa, ofrece una amplia variedad de resorts, actividades acuáticas y recorridos a islas cercanas. En conjunto, estos destinos revelan otra faceta de Egipto, donde la naturaleza y el descanso complementan las reconocidas experiencias culturales y arqueológicas del país.</w:t>
      </w:r>
    </w:p>
    <w:p w:rsidR="6578BDE9" w:rsidP="35A17EFF" w:rsidRDefault="6578BDE9" w14:paraId="6294326A" w14:textId="4C77EB08">
      <w:pPr>
        <w:spacing w:before="240" w:beforeAutospacing="off" w:after="240" w:afterAutospacing="off"/>
        <w:ind w:firstLine="720"/>
        <w:jc w:val="both"/>
      </w:pPr>
      <w:r w:rsidRPr="35A17EFF" w:rsidR="6578BDE9">
        <w:rPr>
          <w:rFonts w:ascii="Book Antiqua" w:hAnsi="Book Antiqua" w:eastAsia="Book Antiqua" w:cs="Book Antiqua"/>
          <w:noProof w:val="0"/>
          <w:sz w:val="24"/>
          <w:szCs w:val="24"/>
          <w:lang w:val="es-ES"/>
        </w:rPr>
        <w:t>Para los viajeros mexicanos, Egipto destaca como un destino que reúne algunos de los sitios culturales y arqueológicos más emblemáticos del mundo con ciudades mediterráneas y los paisajes del mar Rojo, ofreciendo una experiencia extraordinariamente diversa en un solo viaje. Con vuelos desde Ciudad de México (MEX) y Cancún (CUN) hacia su hub en Estambul (IST), Turkish Airlines ofrece conexiones a El Cairo (CAI) y otros destinos de Egipto, permitiendo combinar patrimonio milenario, paisajes naturales y experiencias junto al mar, mientras se descubren las múltiples facetas de un país que continúa inspirando y sorprendiendo.</w:t>
      </w:r>
    </w:p>
    <w:p w:rsidR="35A17EFF" w:rsidP="35A17EFF" w:rsidRDefault="35A17EFF" w14:paraId="181A1217" w14:textId="029996AC">
      <w:pPr>
        <w:ind w:firstLine="720"/>
        <w:jc w:val="both"/>
        <w:rPr>
          <w:rFonts w:ascii="Book Antiqua" w:hAnsi="Book Antiqua" w:cs="Calibri"/>
          <w:sz w:val="24"/>
          <w:szCs w:val="24"/>
        </w:rPr>
      </w:pPr>
    </w:p>
    <w:sectPr w:rsidRPr="007321DA" w:rsidR="00C64DD5">
      <w:head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33606" w:rsidP="00570513" w:rsidRDefault="00A33606" w14:paraId="07634E09" w14:textId="77777777">
      <w:pPr>
        <w:spacing w:after="0" w:line="240" w:lineRule="auto"/>
      </w:pPr>
      <w:r>
        <w:separator/>
      </w:r>
    </w:p>
  </w:endnote>
  <w:endnote w:type="continuationSeparator" w:id="0">
    <w:p w:rsidR="00A33606" w:rsidP="00570513" w:rsidRDefault="00A33606" w14:paraId="5788494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33606" w:rsidP="00570513" w:rsidRDefault="00A33606" w14:paraId="5389A7FE" w14:textId="77777777">
      <w:pPr>
        <w:spacing w:after="0" w:line="240" w:lineRule="auto"/>
      </w:pPr>
      <w:r>
        <w:separator/>
      </w:r>
    </w:p>
  </w:footnote>
  <w:footnote w:type="continuationSeparator" w:id="0">
    <w:p w:rsidR="00A33606" w:rsidP="00570513" w:rsidRDefault="00A33606" w14:paraId="5E600C0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14208" w:rsidRDefault="00000CEB" w14:paraId="52954C0A" w14:textId="0C6307F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E345E46" wp14:editId="5AE544CE">
          <wp:simplePos x="0" y="0"/>
          <wp:positionH relativeFrom="margin">
            <wp:posOffset>4648200</wp:posOffset>
          </wp:positionH>
          <wp:positionV relativeFrom="paragraph">
            <wp:posOffset>-76200</wp:posOffset>
          </wp:positionV>
          <wp:extent cx="1535536" cy="426761"/>
          <wp:effectExtent l="0" t="0" r="7620" b="0"/>
          <wp:wrapSquare wrapText="bothSides"/>
          <wp:docPr id="1596473760" name="Picture 1596473760" descr="A red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473760" name="Picture 1596473760" descr="A red and blac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582" b="15381"/>
                  <a:stretch/>
                </pic:blipFill>
                <pic:spPr bwMode="auto">
                  <a:xfrm>
                    <a:off x="0" y="0"/>
                    <a:ext cx="1535536" cy="42676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E8"/>
    <w:rsid w:val="00000CEB"/>
    <w:rsid w:val="0002685C"/>
    <w:rsid w:val="00034206"/>
    <w:rsid w:val="00084725"/>
    <w:rsid w:val="0009076F"/>
    <w:rsid w:val="000A516B"/>
    <w:rsid w:val="000A7FD4"/>
    <w:rsid w:val="000B5F44"/>
    <w:rsid w:val="00105A32"/>
    <w:rsid w:val="00115C6B"/>
    <w:rsid w:val="00122777"/>
    <w:rsid w:val="00145CCE"/>
    <w:rsid w:val="0015635A"/>
    <w:rsid w:val="00173584"/>
    <w:rsid w:val="00187B46"/>
    <w:rsid w:val="001B09BC"/>
    <w:rsid w:val="001C6269"/>
    <w:rsid w:val="00225A80"/>
    <w:rsid w:val="00241240"/>
    <w:rsid w:val="002531D4"/>
    <w:rsid w:val="00280E8D"/>
    <w:rsid w:val="00285507"/>
    <w:rsid w:val="00332323"/>
    <w:rsid w:val="00332D4B"/>
    <w:rsid w:val="00346165"/>
    <w:rsid w:val="00351B82"/>
    <w:rsid w:val="00361F42"/>
    <w:rsid w:val="00382AB9"/>
    <w:rsid w:val="003A3F48"/>
    <w:rsid w:val="003B0F30"/>
    <w:rsid w:val="003B1795"/>
    <w:rsid w:val="003B5D2C"/>
    <w:rsid w:val="003C3CB3"/>
    <w:rsid w:val="003E45ED"/>
    <w:rsid w:val="00411333"/>
    <w:rsid w:val="004115EB"/>
    <w:rsid w:val="00411DD8"/>
    <w:rsid w:val="00412531"/>
    <w:rsid w:val="00414208"/>
    <w:rsid w:val="004C235E"/>
    <w:rsid w:val="004E111B"/>
    <w:rsid w:val="005226BF"/>
    <w:rsid w:val="005406FC"/>
    <w:rsid w:val="00546132"/>
    <w:rsid w:val="00562702"/>
    <w:rsid w:val="0056653C"/>
    <w:rsid w:val="00570513"/>
    <w:rsid w:val="0058438F"/>
    <w:rsid w:val="005D7B50"/>
    <w:rsid w:val="00600702"/>
    <w:rsid w:val="006179BC"/>
    <w:rsid w:val="00633B0B"/>
    <w:rsid w:val="00644182"/>
    <w:rsid w:val="006571D6"/>
    <w:rsid w:val="00661641"/>
    <w:rsid w:val="00672973"/>
    <w:rsid w:val="00676109"/>
    <w:rsid w:val="006930B8"/>
    <w:rsid w:val="006A0654"/>
    <w:rsid w:val="006A6CA7"/>
    <w:rsid w:val="006C5CA2"/>
    <w:rsid w:val="006F68ED"/>
    <w:rsid w:val="006F6E85"/>
    <w:rsid w:val="007136F2"/>
    <w:rsid w:val="007321DA"/>
    <w:rsid w:val="00740022"/>
    <w:rsid w:val="00753DB5"/>
    <w:rsid w:val="00756BC7"/>
    <w:rsid w:val="007823FF"/>
    <w:rsid w:val="007941FC"/>
    <w:rsid w:val="00795620"/>
    <w:rsid w:val="00795C1B"/>
    <w:rsid w:val="007B1114"/>
    <w:rsid w:val="007B5B62"/>
    <w:rsid w:val="007D064B"/>
    <w:rsid w:val="007E0B65"/>
    <w:rsid w:val="007E6B98"/>
    <w:rsid w:val="007F2516"/>
    <w:rsid w:val="008126B3"/>
    <w:rsid w:val="00871AA2"/>
    <w:rsid w:val="00882C39"/>
    <w:rsid w:val="00891B10"/>
    <w:rsid w:val="008B7AC9"/>
    <w:rsid w:val="008D50CE"/>
    <w:rsid w:val="008E48CB"/>
    <w:rsid w:val="008F6BA6"/>
    <w:rsid w:val="00901584"/>
    <w:rsid w:val="00905A5C"/>
    <w:rsid w:val="0092529C"/>
    <w:rsid w:val="00941E7F"/>
    <w:rsid w:val="0096053B"/>
    <w:rsid w:val="009846DF"/>
    <w:rsid w:val="00A14162"/>
    <w:rsid w:val="00A202C6"/>
    <w:rsid w:val="00A231E8"/>
    <w:rsid w:val="00A33606"/>
    <w:rsid w:val="00A43D43"/>
    <w:rsid w:val="00A56963"/>
    <w:rsid w:val="00A80EFA"/>
    <w:rsid w:val="00A85A79"/>
    <w:rsid w:val="00A91DCE"/>
    <w:rsid w:val="00AA50B3"/>
    <w:rsid w:val="00AA6C36"/>
    <w:rsid w:val="00AB0060"/>
    <w:rsid w:val="00AB2FF5"/>
    <w:rsid w:val="00AC6C16"/>
    <w:rsid w:val="00AD5735"/>
    <w:rsid w:val="00B070ED"/>
    <w:rsid w:val="00B23689"/>
    <w:rsid w:val="00B40214"/>
    <w:rsid w:val="00B52799"/>
    <w:rsid w:val="00B54772"/>
    <w:rsid w:val="00B666AA"/>
    <w:rsid w:val="00B72156"/>
    <w:rsid w:val="00B748BE"/>
    <w:rsid w:val="00B90123"/>
    <w:rsid w:val="00B912CE"/>
    <w:rsid w:val="00B91980"/>
    <w:rsid w:val="00C007F6"/>
    <w:rsid w:val="00C45A31"/>
    <w:rsid w:val="00C52865"/>
    <w:rsid w:val="00C6341D"/>
    <w:rsid w:val="00C64DD5"/>
    <w:rsid w:val="00C747DB"/>
    <w:rsid w:val="00C76306"/>
    <w:rsid w:val="00C8618B"/>
    <w:rsid w:val="00CB6AE7"/>
    <w:rsid w:val="00CE0C2B"/>
    <w:rsid w:val="00D00AC2"/>
    <w:rsid w:val="00D161D1"/>
    <w:rsid w:val="00D32FCB"/>
    <w:rsid w:val="00D67F84"/>
    <w:rsid w:val="00DC02E0"/>
    <w:rsid w:val="00DC6B0C"/>
    <w:rsid w:val="00DD29DE"/>
    <w:rsid w:val="00DD7D92"/>
    <w:rsid w:val="00E11FF6"/>
    <w:rsid w:val="00E24923"/>
    <w:rsid w:val="00E254B0"/>
    <w:rsid w:val="00E320CE"/>
    <w:rsid w:val="00E42641"/>
    <w:rsid w:val="00E61EB8"/>
    <w:rsid w:val="00E666CC"/>
    <w:rsid w:val="00E917D8"/>
    <w:rsid w:val="00E93350"/>
    <w:rsid w:val="00E9480E"/>
    <w:rsid w:val="00F330E2"/>
    <w:rsid w:val="00F37D37"/>
    <w:rsid w:val="00F4054C"/>
    <w:rsid w:val="00F52E9E"/>
    <w:rsid w:val="00F710DF"/>
    <w:rsid w:val="00F718EC"/>
    <w:rsid w:val="00F80525"/>
    <w:rsid w:val="00FB7E7B"/>
    <w:rsid w:val="00FC0AE0"/>
    <w:rsid w:val="35A17EFF"/>
    <w:rsid w:val="3788046A"/>
    <w:rsid w:val="476A5D72"/>
    <w:rsid w:val="6578BDE9"/>
    <w:rsid w:val="7BE1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2C0B"/>
  <w15:chartTrackingRefBased/>
  <w15:docId w15:val="{9D7BF661-E102-4C61-9B65-D19836687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31E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1E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1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1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231E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231E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231E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231E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231E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231E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231E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231E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231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1E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231E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23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1E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23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1E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23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1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051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70513"/>
  </w:style>
  <w:style w:type="paragraph" w:styleId="Footer">
    <w:name w:val="footer"/>
    <w:basedOn w:val="Normal"/>
    <w:link w:val="FooterChar"/>
    <w:uiPriority w:val="99"/>
    <w:unhideWhenUsed/>
    <w:rsid w:val="0057051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70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f1cd9c-e7b3-4342-bb1f-6572efd3bc97">
      <Terms xmlns="http://schemas.microsoft.com/office/infopath/2007/PartnerControls"/>
    </lcf76f155ced4ddcb4097134ff3c332f>
    <TaxCatchAll xmlns="928b6d83-b05c-43e3-bd10-fc841b0bdb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FD12E64736A40BE28B151472001BD" ma:contentTypeVersion="16" ma:contentTypeDescription="Create a new document." ma:contentTypeScope="" ma:versionID="d77b05214b3bcdf89a29cd0db810bb9a">
  <xsd:schema xmlns:xsd="http://www.w3.org/2001/XMLSchema" xmlns:xs="http://www.w3.org/2001/XMLSchema" xmlns:p="http://schemas.microsoft.com/office/2006/metadata/properties" xmlns:ns2="85f1cd9c-e7b3-4342-bb1f-6572efd3bc97" xmlns:ns3="928b6d83-b05c-43e3-bd10-fc841b0bdb73" targetNamespace="http://schemas.microsoft.com/office/2006/metadata/properties" ma:root="true" ma:fieldsID="546d1fc0230ff76cc756543ed06088f9" ns2:_="" ns3:_="">
    <xsd:import namespace="85f1cd9c-e7b3-4342-bb1f-6572efd3bc97"/>
    <xsd:import namespace="928b6d83-b05c-43e3-bd10-fc841b0bd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1cd9c-e7b3-4342-bb1f-6572efd3b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b6d83-b05c-43e3-bd10-fc841b0bdb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e2f4833-37b4-40c8-bb74-bf1d4dc19ed6}" ma:internalName="TaxCatchAll" ma:showField="CatchAllData" ma:web="928b6d83-b05c-43e3-bd10-fc841b0bd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62B6E0-9E6E-4D21-98C0-F3A511080E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F9AB46-CD4F-4984-8139-9ED60208DC0D}">
  <ds:schemaRefs>
    <ds:schemaRef ds:uri="http://schemas.microsoft.com/office/2006/metadata/properties"/>
    <ds:schemaRef ds:uri="http://schemas.microsoft.com/office/infopath/2007/PartnerControls"/>
    <ds:schemaRef ds:uri="7c3f855e-2237-4b67-8ced-90a4050a7c10"/>
    <ds:schemaRef ds:uri="13fc4d72-e54f-4b5a-85a4-84abcc7ffc1f"/>
  </ds:schemaRefs>
</ds:datastoreItem>
</file>

<file path=customXml/itemProps3.xml><?xml version="1.0" encoding="utf-8"?>
<ds:datastoreItem xmlns:ds="http://schemas.openxmlformats.org/officeDocument/2006/customXml" ds:itemID="{ED23FEC5-C002-44B5-86CA-71B9D16A2C4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Ghio, Camila</dc:creator>
  <keywords/>
  <dc:description/>
  <lastModifiedBy>Tamara Fuentes</lastModifiedBy>
  <revision>5</revision>
  <dcterms:created xsi:type="dcterms:W3CDTF">2026-09-15T19:17:00.0000000Z</dcterms:created>
  <dcterms:modified xsi:type="dcterms:W3CDTF">2026-10-26T17:02:09.0834047Z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575c9c1-41ed-49bc-a2a6-9df2a936fa53_Enabled">
    <vt:lpwstr>true</vt:lpwstr>
  </property>
  <property fmtid="{D5CDD505-2E9C-101B-9397-08002B2CF9AE}" pid="3" name="MSIP_Label_a575c9c1-41ed-49bc-a2a6-9df2a936fa53_SetDate">
    <vt:lpwstr>2026-09-14T13:37:55Z</vt:lpwstr>
  </property>
  <property fmtid="{D5CDD505-2E9C-101B-9397-08002B2CF9AE}" pid="4" name="MSIP_Label_a575c9c1-41ed-49bc-a2a6-9df2a936fa53_Method">
    <vt:lpwstr>Standard</vt:lpwstr>
  </property>
  <property fmtid="{D5CDD505-2E9C-101B-9397-08002B2CF9AE}" pid="5" name="MSIP_Label_a575c9c1-41ed-49bc-a2a6-9df2a936fa53_Name">
    <vt:lpwstr>Company Confidential</vt:lpwstr>
  </property>
  <property fmtid="{D5CDD505-2E9C-101B-9397-08002B2CF9AE}" pid="6" name="MSIP_Label_a575c9c1-41ed-49bc-a2a6-9df2a936fa53_SiteId">
    <vt:lpwstr>b824bfb3-918e-43c2-bb1c-dcc1ba40a82b</vt:lpwstr>
  </property>
  <property fmtid="{D5CDD505-2E9C-101B-9397-08002B2CF9AE}" pid="7" name="MSIP_Label_a575c9c1-41ed-49bc-a2a6-9df2a936fa53_ActionId">
    <vt:lpwstr>f19622a1-b4fe-4ee2-9fc7-2ebbad9da715</vt:lpwstr>
  </property>
  <property fmtid="{D5CDD505-2E9C-101B-9397-08002B2CF9AE}" pid="8" name="MSIP_Label_a575c9c1-41ed-49bc-a2a6-9df2a936fa53_ContentBits">
    <vt:lpwstr>0</vt:lpwstr>
  </property>
  <property fmtid="{D5CDD505-2E9C-101B-9397-08002B2CF9AE}" pid="9" name="MSIP_Label_a575c9c1-41ed-49bc-a2a6-9df2a936fa53_Tag">
    <vt:lpwstr>10, 3, 0, 1</vt:lpwstr>
  </property>
  <property fmtid="{D5CDD505-2E9C-101B-9397-08002B2CF9AE}" pid="10" name="ContentTypeId">
    <vt:lpwstr>0x01010009FFD12E64736A40BE28B151472001BD</vt:lpwstr>
  </property>
  <property fmtid="{D5CDD505-2E9C-101B-9397-08002B2CF9AE}" pid="11" name="docLang">
    <vt:lpwstr>es</vt:lpwstr>
  </property>
  <property fmtid="{D5CDD505-2E9C-101B-9397-08002B2CF9AE}" pid="12" name="MediaServiceImageTags">
    <vt:lpwstr/>
  </property>
</Properties>
</file>