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4"/>
          <w:szCs w:val="24"/>
        </w:rPr>
      </w:pPr>
      <w:r w:rsidDel="00000000" w:rsidR="00000000" w:rsidRPr="00000000">
        <w:rPr>
          <w:b w:val="1"/>
          <w:bCs w:val="1"/>
          <w:sz w:val="24"/>
          <w:szCs w:val="24"/>
          <w:rtl w:val="0"/>
        </w:rPr>
        <w:t xml:space="preserve">De la electromovilidad al MaaS: las tecnologías que buscan transformar la movilidad de la CDMX y el Edomex</w:t>
      </w:r>
    </w:p>
    <w:p w:rsidR="00000000" w:rsidDel="00000000" w:rsidP="00000000" w:rsidRDefault="00000000" w:rsidRPr="00000000" w14:paraId="00000002">
      <w:pPr>
        <w:jc w:val="left"/>
        <w:rPr>
          <w:b w:val="1"/>
          <w:bCs w:val="1"/>
          <w:sz w:val="24"/>
          <w:szCs w:val="24"/>
        </w:rPr>
      </w:pPr>
      <w:r w:rsidDel="00000000" w:rsidR="00000000" w:rsidRPr="00000000">
        <w:rPr>
          <w:rtl w:val="0"/>
        </w:rPr>
      </w:r>
    </w:p>
    <w:p w:rsidR="00000000" w:rsidDel="00000000" w:rsidP="00000000" w:rsidRDefault="00000000" w:rsidRPr="00000000" w14:paraId="00000003">
      <w:pPr>
        <w:numPr>
          <w:ilvl w:val="0"/>
          <w:numId w:val="2"/>
        </w:numPr>
        <w:ind w:left="720" w:hanging="360"/>
        <w:jc w:val="both"/>
        <w:rPr>
          <w:i w:val="1"/>
          <w:iCs w:val="1"/>
          <w:sz w:val="16"/>
          <w:szCs w:val="16"/>
        </w:rPr>
      </w:pPr>
      <w:r w:rsidDel="00000000" w:rsidR="00000000" w:rsidRPr="00000000">
        <w:rPr>
          <w:i w:val="1"/>
          <w:iCs w:val="1"/>
          <w:sz w:val="18"/>
          <w:szCs w:val="18"/>
          <w:rtl w:val="0"/>
        </w:rPr>
        <w:t xml:space="preserve">La Ciudad de México es la ciudad reportada con mayor tráfico en el TomTom Traffic Index</w:t>
      </w:r>
    </w:p>
    <w:p w:rsidR="00000000" w:rsidDel="00000000" w:rsidP="00000000" w:rsidRDefault="00000000" w:rsidRPr="00000000" w14:paraId="00000004">
      <w:pPr>
        <w:numPr>
          <w:ilvl w:val="0"/>
          <w:numId w:val="2"/>
        </w:numPr>
        <w:ind w:left="720" w:hanging="360"/>
        <w:jc w:val="both"/>
        <w:rPr>
          <w:i w:val="1"/>
          <w:iCs w:val="1"/>
          <w:sz w:val="16"/>
          <w:szCs w:val="16"/>
        </w:rPr>
      </w:pPr>
      <w:r w:rsidDel="00000000" w:rsidR="00000000" w:rsidRPr="00000000">
        <w:rPr>
          <w:i w:val="1"/>
          <w:iCs w:val="1"/>
          <w:sz w:val="18"/>
          <w:szCs w:val="18"/>
          <w:rtl w:val="0"/>
        </w:rPr>
        <w:t xml:space="preserve">Datos, conectividad, electromovilidad, nuevos medios de pago y MaaS son algunas de las apuestas tecnológicas que buscan redefinir la forma en que las personas se desplazan y viven en las ciudades. </w:t>
      </w:r>
    </w:p>
    <w:p w:rsidR="00000000" w:rsidDel="00000000" w:rsidP="00000000" w:rsidRDefault="00000000" w:rsidRPr="00000000" w14:paraId="00000005">
      <w:pPr>
        <w:numPr>
          <w:ilvl w:val="0"/>
          <w:numId w:val="2"/>
        </w:numPr>
        <w:ind w:left="720" w:hanging="360"/>
        <w:jc w:val="both"/>
        <w:rPr>
          <w:i w:val="1"/>
          <w:iCs w:val="1"/>
          <w:sz w:val="18"/>
          <w:szCs w:val="18"/>
          <w:u w:val="none"/>
        </w:rPr>
      </w:pPr>
      <w:r w:rsidDel="00000000" w:rsidR="00000000" w:rsidRPr="00000000">
        <w:rPr>
          <w:i w:val="1"/>
          <w:iCs w:val="1"/>
          <w:sz w:val="18"/>
          <w:szCs w:val="18"/>
          <w:rtl w:val="0"/>
        </w:rPr>
        <w:t xml:space="preserve">Bajo esta premisa, TeleVía presentó InnovAcción 2026, un proyecto que reunió a 25 startups para crear propuestas de innovación tecnológica con el objetivo de llevar soluciones tecnológicas de la ideación a la experimentación en entornos reales.</w:t>
      </w:r>
      <w:r w:rsidDel="00000000" w:rsidR="00000000" w:rsidRPr="00000000">
        <w:rPr>
          <w:rtl w:val="0"/>
        </w:rPr>
      </w:r>
    </w:p>
    <w:p w:rsidR="00000000" w:rsidDel="00000000" w:rsidP="00000000" w:rsidRDefault="00000000" w:rsidRPr="00000000" w14:paraId="00000006">
      <w:pPr>
        <w:spacing w:after="240" w:before="240" w:lineRule="auto"/>
        <w:jc w:val="both"/>
        <w:rPr>
          <w:sz w:val="20"/>
          <w:szCs w:val="20"/>
        </w:rPr>
      </w:pPr>
      <w:r w:rsidDel="00000000" w:rsidR="00000000" w:rsidRPr="00000000">
        <w:rPr>
          <w:b w:val="1"/>
          <w:bCs w:val="1"/>
          <w:sz w:val="20"/>
          <w:szCs w:val="20"/>
          <w:rtl w:val="0"/>
        </w:rPr>
        <w:t xml:space="preserve">Ciudad de México, a 15 de octubre de 2026.-</w:t>
      </w:r>
      <w:r w:rsidDel="00000000" w:rsidR="00000000" w:rsidRPr="00000000">
        <w:rPr>
          <w:sz w:val="20"/>
          <w:szCs w:val="20"/>
          <w:rtl w:val="0"/>
        </w:rPr>
        <w:t xml:space="preserve"> </w:t>
      </w:r>
      <w:r w:rsidDel="00000000" w:rsidR="00000000" w:rsidRPr="00000000">
        <w:rPr>
          <w:b w:val="1"/>
          <w:bCs w:val="1"/>
          <w:sz w:val="20"/>
          <w:szCs w:val="20"/>
          <w:rtl w:val="0"/>
        </w:rPr>
        <w:t xml:space="preserve">La Ciudad de México fue reportada</w:t>
      </w:r>
      <w:r w:rsidDel="00000000" w:rsidR="00000000" w:rsidRPr="00000000">
        <w:rPr>
          <w:sz w:val="20"/>
          <w:szCs w:val="20"/>
          <w:rtl w:val="0"/>
        </w:rPr>
        <w:t xml:space="preserve"> por el TomTom Traffic Index como </w:t>
      </w:r>
      <w:r w:rsidDel="00000000" w:rsidR="00000000" w:rsidRPr="00000000">
        <w:rPr>
          <w:b w:val="1"/>
          <w:bCs w:val="1"/>
          <w:sz w:val="20"/>
          <w:szCs w:val="20"/>
          <w:rtl w:val="0"/>
        </w:rPr>
        <w:t xml:space="preserve">la ciudad con mayor tráfico en el mundo</w:t>
      </w:r>
      <w:r w:rsidDel="00000000" w:rsidR="00000000" w:rsidRPr="00000000">
        <w:rPr>
          <w:sz w:val="20"/>
          <w:szCs w:val="20"/>
          <w:rtl w:val="0"/>
        </w:rPr>
        <w:t xml:space="preserve">.</w:t>
      </w:r>
      <w:r w:rsidDel="00000000" w:rsidR="00000000" w:rsidRPr="00000000">
        <w:rPr>
          <w:rFonts w:ascii="Invention" w:cs="Invention" w:eastAsia="Invention" w:hAnsi="Invention"/>
          <w:b w:val="1"/>
          <w:bCs w:val="1"/>
          <w:sz w:val="21"/>
          <w:szCs w:val="21"/>
          <w:vertAlign w:val="superscript"/>
          <w:rtl w:val="0"/>
        </w:rPr>
        <w:t xml:space="preserve">1</w:t>
      </w:r>
      <w:r w:rsidDel="00000000" w:rsidR="00000000" w:rsidRPr="00000000">
        <w:rPr>
          <w:sz w:val="20"/>
          <w:szCs w:val="20"/>
          <w:rtl w:val="0"/>
        </w:rPr>
        <w:t xml:space="preserve"> Esta posición es reflejo de que el desafío de la movilidad de la zona metropolitana requiere mucho más que nuevas infraestructuras, también demanda tecnologías capaces de aprovechar los datos, conectar servicios y hacer más eficiente la experiencia de traslado. En este contexto, TeleVía impulsa </w:t>
      </w:r>
      <w:r w:rsidDel="00000000" w:rsidR="00000000" w:rsidRPr="00000000">
        <w:rPr>
          <w:b w:val="1"/>
          <w:bCs w:val="1"/>
          <w:sz w:val="20"/>
          <w:szCs w:val="20"/>
          <w:rtl w:val="0"/>
        </w:rPr>
        <w:t xml:space="preserve">InnovAcción 2026</w:t>
      </w:r>
      <w:r w:rsidDel="00000000" w:rsidR="00000000" w:rsidRPr="00000000">
        <w:rPr>
          <w:sz w:val="20"/>
          <w:szCs w:val="20"/>
          <w:rtl w:val="0"/>
        </w:rPr>
        <w:t xml:space="preserve">, un programa creado para conectar al ecosistema emprendedor con los desafíos de la movilidad y ofrecer soluciones que mejoren la forma en la que se viven las ciudades. </w:t>
      </w:r>
    </w:p>
    <w:p w:rsidR="00000000" w:rsidDel="00000000" w:rsidP="00000000" w:rsidRDefault="00000000" w:rsidRPr="00000000" w14:paraId="00000007">
      <w:pPr>
        <w:spacing w:after="240" w:before="240" w:lineRule="auto"/>
        <w:jc w:val="both"/>
        <w:rPr>
          <w:sz w:val="20"/>
          <w:szCs w:val="20"/>
        </w:rPr>
      </w:pPr>
      <w:r w:rsidDel="00000000" w:rsidR="00000000" w:rsidRPr="00000000">
        <w:rPr>
          <w:sz w:val="20"/>
          <w:szCs w:val="20"/>
          <w:rtl w:val="0"/>
        </w:rPr>
        <w:t xml:space="preserve">InnovAcción es un proyecto creado por TeleVía con la finalidad de invitar a startups a crear proyectos en los que se aplique la tecnología a soluciones de movilidad integrada. Desde 2018 ha reconocido a los emprendedores más comprometidos con la transformación de la movilidad. Este año, el proyecto evolucionó hacia un modelo de innovación abierta y </w:t>
      </w:r>
      <w:r w:rsidDel="00000000" w:rsidR="00000000" w:rsidRPr="00000000">
        <w:rPr>
          <w:b w:val="1"/>
          <w:bCs w:val="1"/>
          <w:sz w:val="20"/>
          <w:szCs w:val="20"/>
          <w:rtl w:val="0"/>
        </w:rPr>
        <w:t xml:space="preserve">Hack-to-Pilot</w:t>
      </w:r>
      <w:r w:rsidDel="00000000" w:rsidR="00000000" w:rsidRPr="00000000">
        <w:rPr>
          <w:sz w:val="20"/>
          <w:szCs w:val="20"/>
          <w:rtl w:val="0"/>
        </w:rPr>
        <w:t xml:space="preserve">, que busca avanzar de la generación de ideas hacia su desarrollo, prueba y validación en condiciones reales.</w:t>
      </w:r>
    </w:p>
    <w:p w:rsidR="00000000" w:rsidDel="00000000" w:rsidP="00000000" w:rsidRDefault="00000000" w:rsidRPr="00000000" w14:paraId="00000008">
      <w:pPr>
        <w:spacing w:after="240" w:before="240" w:lineRule="auto"/>
        <w:jc w:val="both"/>
        <w:rPr>
          <w:b w:val="1"/>
          <w:bCs w:val="1"/>
          <w:sz w:val="20"/>
          <w:szCs w:val="20"/>
        </w:rPr>
      </w:pPr>
      <w:r w:rsidDel="00000000" w:rsidR="00000000" w:rsidRPr="00000000">
        <w:rPr>
          <w:i w:val="1"/>
          <w:iCs w:val="1"/>
          <w:sz w:val="20"/>
          <w:szCs w:val="20"/>
          <w:rtl w:val="0"/>
        </w:rPr>
        <w:t xml:space="preserve">“Estamos frente a una nueva etapa de la movilidad, en la que los datos y las tecnologías digitales están transformando la manera en que entendemos, operamos y utilizamos la infraestructura. En TeleVía queremos ser parte de esa evolución, acercándonos al ecosistema tecnológico para identificar soluciones que puedan probarse y generar valor en condiciones reales”</w:t>
      </w:r>
      <w:r w:rsidDel="00000000" w:rsidR="00000000" w:rsidRPr="00000000">
        <w:rPr>
          <w:b w:val="1"/>
          <w:bCs w:val="1"/>
          <w:i w:val="1"/>
          <w:iCs w:val="1"/>
          <w:sz w:val="20"/>
          <w:szCs w:val="20"/>
          <w:rtl w:val="0"/>
        </w:rPr>
        <w:t xml:space="preserve">,</w:t>
      </w:r>
      <w:r w:rsidDel="00000000" w:rsidR="00000000" w:rsidRPr="00000000">
        <w:rPr>
          <w:sz w:val="20"/>
          <w:szCs w:val="20"/>
          <w:rtl w:val="0"/>
        </w:rPr>
        <w:t xml:space="preserve"> señaló </w:t>
      </w:r>
      <w:r w:rsidDel="00000000" w:rsidR="00000000" w:rsidRPr="00000000">
        <w:rPr>
          <w:b w:val="1"/>
          <w:bCs w:val="1"/>
          <w:sz w:val="20"/>
          <w:szCs w:val="20"/>
          <w:rtl w:val="0"/>
        </w:rPr>
        <w:t xml:space="preserve">Ricardo Dávila Mondragón, Director General de TeleVía.</w:t>
      </w:r>
    </w:p>
    <w:p w:rsidR="00000000" w:rsidDel="00000000" w:rsidP="00000000" w:rsidRDefault="00000000" w:rsidRPr="00000000" w14:paraId="00000009">
      <w:pPr>
        <w:spacing w:after="240" w:before="240" w:lineRule="auto"/>
        <w:jc w:val="both"/>
        <w:rPr>
          <w:sz w:val="20"/>
          <w:szCs w:val="20"/>
        </w:rPr>
      </w:pPr>
      <w:r w:rsidDel="00000000" w:rsidR="00000000" w:rsidRPr="00000000">
        <w:rPr>
          <w:sz w:val="20"/>
          <w:szCs w:val="20"/>
          <w:rtl w:val="0"/>
        </w:rPr>
        <w:t xml:space="preserve">InnovAcción 2026 comprende cuatro categorías enfocadas en tecnología aplicada a problemas específicos. La primera de ellas es la </w:t>
      </w:r>
      <w:r w:rsidDel="00000000" w:rsidR="00000000" w:rsidRPr="00000000">
        <w:rPr>
          <w:b w:val="1"/>
          <w:bCs w:val="1"/>
          <w:sz w:val="20"/>
          <w:szCs w:val="20"/>
          <w:rtl w:val="0"/>
        </w:rPr>
        <w:t xml:space="preserve">movilidad sostenible,</w:t>
      </w:r>
      <w:r w:rsidDel="00000000" w:rsidR="00000000" w:rsidRPr="00000000">
        <w:rPr>
          <w:sz w:val="20"/>
          <w:szCs w:val="20"/>
          <w:rtl w:val="0"/>
        </w:rPr>
        <w:t xml:space="preserve"> que busca hacer un uso más eficiente de los recursos y la infraestructura, mientras que la segunda categoría de </w:t>
      </w:r>
      <w:r w:rsidDel="00000000" w:rsidR="00000000" w:rsidRPr="00000000">
        <w:rPr>
          <w:b w:val="1"/>
          <w:bCs w:val="1"/>
          <w:sz w:val="20"/>
          <w:szCs w:val="20"/>
          <w:rtl w:val="0"/>
        </w:rPr>
        <w:t xml:space="preserve">movilidad inteligente</w:t>
      </w:r>
      <w:r w:rsidDel="00000000" w:rsidR="00000000" w:rsidRPr="00000000">
        <w:rPr>
          <w:sz w:val="20"/>
          <w:szCs w:val="20"/>
          <w:rtl w:val="0"/>
        </w:rPr>
        <w:t xml:space="preserve">, impulsa el uso de datos, la conectividad y la automatización permiten generar información para tomar mejores decisiones y hacer más eficiente el uso de la infraestructura. </w:t>
      </w:r>
    </w:p>
    <w:p w:rsidR="00000000" w:rsidDel="00000000" w:rsidP="00000000" w:rsidRDefault="00000000" w:rsidRPr="00000000" w14:paraId="0000000A">
      <w:pPr>
        <w:spacing w:after="240" w:before="240" w:lineRule="auto"/>
        <w:jc w:val="both"/>
        <w:rPr>
          <w:sz w:val="20"/>
          <w:szCs w:val="20"/>
        </w:rPr>
      </w:pPr>
      <w:r w:rsidDel="00000000" w:rsidR="00000000" w:rsidRPr="00000000">
        <w:rPr>
          <w:sz w:val="20"/>
          <w:szCs w:val="20"/>
          <w:rtl w:val="0"/>
        </w:rPr>
        <w:t xml:space="preserve">A esto se le suma la tercera categoría de </w:t>
      </w:r>
      <w:r w:rsidDel="00000000" w:rsidR="00000000" w:rsidRPr="00000000">
        <w:rPr>
          <w:b w:val="1"/>
          <w:bCs w:val="1"/>
          <w:sz w:val="20"/>
          <w:szCs w:val="20"/>
          <w:rtl w:val="0"/>
        </w:rPr>
        <w:t xml:space="preserve">electromovilidad</w:t>
      </w:r>
      <w:r w:rsidDel="00000000" w:rsidR="00000000" w:rsidRPr="00000000">
        <w:rPr>
          <w:sz w:val="20"/>
          <w:szCs w:val="20"/>
          <w:rtl w:val="0"/>
        </w:rPr>
        <w:t xml:space="preserve">, que plantea nuevos retos y oportunidades alrededor de los vehículos eléctricos, la infraestructura de carga y la integración de estos modelos a los servicios de movilidad. Mientras que la cuarta y última categoría comprende los </w:t>
      </w:r>
      <w:r w:rsidDel="00000000" w:rsidR="00000000" w:rsidRPr="00000000">
        <w:rPr>
          <w:b w:val="1"/>
          <w:bCs w:val="1"/>
          <w:sz w:val="20"/>
          <w:szCs w:val="20"/>
          <w:rtl w:val="0"/>
        </w:rPr>
        <w:t xml:space="preserve">nuevos medios de pago y Mobility as a Service (MaaS)</w:t>
      </w:r>
      <w:r w:rsidDel="00000000" w:rsidR="00000000" w:rsidRPr="00000000">
        <w:rPr>
          <w:sz w:val="20"/>
          <w:szCs w:val="20"/>
          <w:rtl w:val="0"/>
        </w:rPr>
        <w:t xml:space="preserve">, con soluciones digitales que buscan simplificar las transacciones asociadas a los desplazamientos, así como ofrecer experiencias de movilidad más conectadas. </w:t>
      </w:r>
    </w:p>
    <w:p w:rsidR="00000000" w:rsidDel="00000000" w:rsidP="00000000" w:rsidRDefault="00000000" w:rsidRPr="00000000" w14:paraId="0000000B">
      <w:pPr>
        <w:spacing w:after="240" w:before="240" w:lineRule="auto"/>
        <w:jc w:val="both"/>
        <w:rPr>
          <w:sz w:val="20"/>
          <w:szCs w:val="20"/>
        </w:rPr>
      </w:pPr>
      <w:r w:rsidDel="00000000" w:rsidR="00000000" w:rsidRPr="00000000">
        <w:rPr>
          <w:sz w:val="20"/>
          <w:szCs w:val="20"/>
          <w:rtl w:val="0"/>
        </w:rPr>
        <w:t xml:space="preserve">Estos cuatro frentes forman parte de los retos planteados por InnovAcción 2026, que reunió a </w:t>
      </w:r>
      <w:r w:rsidDel="00000000" w:rsidR="00000000" w:rsidRPr="00000000">
        <w:rPr>
          <w:b w:val="1"/>
          <w:bCs w:val="1"/>
          <w:sz w:val="20"/>
          <w:szCs w:val="20"/>
          <w:rtl w:val="0"/>
        </w:rPr>
        <w:t xml:space="preserve">25 startups</w:t>
      </w:r>
      <w:r w:rsidDel="00000000" w:rsidR="00000000" w:rsidRPr="00000000">
        <w:rPr>
          <w:sz w:val="20"/>
          <w:szCs w:val="20"/>
          <w:rtl w:val="0"/>
        </w:rPr>
        <w:t xml:space="preserve"> y seleccionó a nueve finalistas: </w:t>
      </w:r>
      <w:r w:rsidDel="00000000" w:rsidR="00000000" w:rsidRPr="00000000">
        <w:rPr>
          <w:b w:val="1"/>
          <w:bCs w:val="1"/>
          <w:sz w:val="20"/>
          <w:szCs w:val="20"/>
          <w:rtl w:val="0"/>
        </w:rPr>
        <w:t xml:space="preserve">Datlas, Fazt, Keybe, Maplink, Nufi, Prana Group, Sitrack, Solvento y Ualabee, </w:t>
      </w:r>
      <w:r w:rsidDel="00000000" w:rsidR="00000000" w:rsidRPr="00000000">
        <w:rPr>
          <w:sz w:val="20"/>
          <w:szCs w:val="20"/>
          <w:rtl w:val="0"/>
        </w:rPr>
        <w:t xml:space="preserve">de las cuales resultaron ganadoras </w:t>
      </w:r>
      <w:r w:rsidDel="00000000" w:rsidR="00000000" w:rsidRPr="00000000">
        <w:rPr>
          <w:b w:val="1"/>
          <w:bCs w:val="1"/>
          <w:sz w:val="20"/>
          <w:szCs w:val="20"/>
          <w:rtl w:val="0"/>
        </w:rPr>
        <w:t xml:space="preserve">Keybe AI en el tercer lugar,</w:t>
      </w:r>
      <w:r w:rsidDel="00000000" w:rsidR="00000000" w:rsidRPr="00000000">
        <w:rPr>
          <w:sz w:val="20"/>
          <w:szCs w:val="20"/>
          <w:rtl w:val="0"/>
        </w:rPr>
        <w:t xml:space="preserve"> </w:t>
      </w:r>
      <w:r w:rsidDel="00000000" w:rsidR="00000000" w:rsidRPr="00000000">
        <w:rPr>
          <w:b w:val="1"/>
          <w:bCs w:val="1"/>
          <w:sz w:val="20"/>
          <w:szCs w:val="20"/>
          <w:rtl w:val="0"/>
        </w:rPr>
        <w:t xml:space="preserve">Maplink en el segundo</w:t>
      </w:r>
      <w:r w:rsidDel="00000000" w:rsidR="00000000" w:rsidRPr="00000000">
        <w:rPr>
          <w:sz w:val="20"/>
          <w:szCs w:val="20"/>
          <w:rtl w:val="0"/>
        </w:rPr>
        <w:t xml:space="preserve"> y </w:t>
      </w:r>
      <w:r w:rsidDel="00000000" w:rsidR="00000000" w:rsidRPr="00000000">
        <w:rPr>
          <w:b w:val="1"/>
          <w:bCs w:val="1"/>
          <w:sz w:val="20"/>
          <w:szCs w:val="20"/>
          <w:rtl w:val="0"/>
        </w:rPr>
        <w:t xml:space="preserve">Solvento en el primer lugar</w:t>
      </w:r>
      <w:r w:rsidDel="00000000" w:rsidR="00000000" w:rsidRPr="00000000">
        <w:rPr>
          <w:sz w:val="20"/>
          <w:szCs w:val="20"/>
          <w:rtl w:val="0"/>
        </w:rPr>
        <w:t xml:space="preserve">. Más que premiar únicamente una idea, el programa busca identificar soluciones con potencial para responder a necesidades reales de movilidad.</w:t>
      </w:r>
    </w:p>
    <w:p w:rsidR="00000000" w:rsidDel="00000000" w:rsidP="00000000" w:rsidRDefault="00000000" w:rsidRPr="00000000" w14:paraId="0000000C">
      <w:pPr>
        <w:spacing w:after="240" w:before="240" w:lineRule="auto"/>
        <w:jc w:val="both"/>
        <w:rPr>
          <w:b w:val="1"/>
          <w:bCs w:val="1"/>
          <w:sz w:val="20"/>
          <w:szCs w:val="20"/>
        </w:rPr>
      </w:pPr>
      <w:r w:rsidDel="00000000" w:rsidR="00000000" w:rsidRPr="00000000">
        <w:rPr>
          <w:i w:val="1"/>
          <w:iCs w:val="1"/>
          <w:sz w:val="20"/>
          <w:szCs w:val="20"/>
          <w:rtl w:val="0"/>
        </w:rPr>
        <w:t xml:space="preserve">“La tecnología por sí sola no transforma la movilidad; lo hace cuando podemos convertirla en soluciones para problemas concretos. Datos, conectividad, automatización y nuevas herramientas digitales están abriendo posibilidades que hace algunos años no teníamos. Con InnovAcción queremos acercar esas capacidades a los retos reales de movilidad y ponerlas a prueba”</w:t>
      </w:r>
      <w:r w:rsidDel="00000000" w:rsidR="00000000" w:rsidRPr="00000000">
        <w:rPr>
          <w:sz w:val="20"/>
          <w:szCs w:val="20"/>
          <w:rtl w:val="0"/>
        </w:rPr>
        <w:t xml:space="preserve">, afirmó </w:t>
      </w:r>
      <w:r w:rsidDel="00000000" w:rsidR="00000000" w:rsidRPr="00000000">
        <w:rPr>
          <w:b w:val="1"/>
          <w:bCs w:val="1"/>
          <w:sz w:val="20"/>
          <w:szCs w:val="20"/>
          <w:rtl w:val="0"/>
        </w:rPr>
        <w:t xml:space="preserve">Baptiste Heckenroth, Director Comercial de TeleVía.</w:t>
      </w:r>
    </w:p>
    <w:p w:rsidR="00000000" w:rsidDel="00000000" w:rsidP="00000000" w:rsidRDefault="00000000" w:rsidRPr="00000000" w14:paraId="0000000D">
      <w:pPr>
        <w:spacing w:after="240" w:before="240" w:lineRule="auto"/>
        <w:jc w:val="both"/>
        <w:rPr>
          <w:sz w:val="20"/>
          <w:szCs w:val="20"/>
        </w:rPr>
      </w:pPr>
      <w:r w:rsidDel="00000000" w:rsidR="00000000" w:rsidRPr="00000000">
        <w:rPr>
          <w:sz w:val="20"/>
          <w:szCs w:val="20"/>
          <w:rtl w:val="0"/>
        </w:rPr>
        <w:t xml:space="preserve">Como parte de la premiación el </w:t>
      </w:r>
      <w:r w:rsidDel="00000000" w:rsidR="00000000" w:rsidRPr="00000000">
        <w:rPr>
          <w:b w:val="1"/>
          <w:bCs w:val="1"/>
          <w:sz w:val="20"/>
          <w:szCs w:val="20"/>
          <w:rtl w:val="0"/>
        </w:rPr>
        <w:t xml:space="preserve">primer lugar recibirá $80,000 pesos, el segundo $40,000 y el tercero $20,000</w:t>
      </w:r>
      <w:r w:rsidDel="00000000" w:rsidR="00000000" w:rsidRPr="00000000">
        <w:rPr>
          <w:sz w:val="20"/>
          <w:szCs w:val="20"/>
          <w:rtl w:val="0"/>
        </w:rPr>
        <w:t xml:space="preserve">. Además del reconocimiento económico, la propuesta que obtenga el primer lugar tendrá la oportunidad de desarrollar un </w:t>
      </w:r>
      <w:r w:rsidDel="00000000" w:rsidR="00000000" w:rsidRPr="00000000">
        <w:rPr>
          <w:b w:val="1"/>
          <w:bCs w:val="1"/>
          <w:sz w:val="20"/>
          <w:szCs w:val="20"/>
          <w:rtl w:val="0"/>
        </w:rPr>
        <w:t xml:space="preserve">piloto de tres meses con TeleVía</w:t>
      </w:r>
      <w:r w:rsidDel="00000000" w:rsidR="00000000" w:rsidRPr="00000000">
        <w:rPr>
          <w:sz w:val="20"/>
          <w:szCs w:val="20"/>
          <w:rtl w:val="0"/>
        </w:rPr>
        <w:t xml:space="preserve">, con acompañamiento de TeleVía y Opinno, la consultoría global de innovación, para evaluar su funcionalidad, resultados, viabilidad y siguientes pasos.</w:t>
      </w:r>
    </w:p>
    <w:p w:rsidR="00000000" w:rsidDel="00000000" w:rsidP="00000000" w:rsidRDefault="00000000" w:rsidRPr="00000000" w14:paraId="0000000E">
      <w:pPr>
        <w:spacing w:after="240" w:before="240" w:lineRule="auto"/>
        <w:jc w:val="both"/>
        <w:rPr>
          <w:sz w:val="20"/>
          <w:szCs w:val="20"/>
        </w:rPr>
      </w:pPr>
      <w:r w:rsidDel="00000000" w:rsidR="00000000" w:rsidRPr="00000000">
        <w:rPr>
          <w:sz w:val="20"/>
          <w:szCs w:val="20"/>
          <w:rtl w:val="0"/>
        </w:rPr>
        <w:t xml:space="preserve">La apuesta de InnovAcción parte de una idea: el futuro de la movilidad no depende de una sola tecnología, sino de la capacidad de combinar </w:t>
      </w:r>
      <w:r w:rsidDel="00000000" w:rsidR="00000000" w:rsidRPr="00000000">
        <w:rPr>
          <w:b w:val="1"/>
          <w:bCs w:val="1"/>
          <w:sz w:val="20"/>
          <w:szCs w:val="20"/>
          <w:rtl w:val="0"/>
        </w:rPr>
        <w:t xml:space="preserve">datos, conectividad, electrificación, servicios digitales y nuevas formas de interacción con los usuarios</w:t>
      </w:r>
      <w:r w:rsidDel="00000000" w:rsidR="00000000" w:rsidRPr="00000000">
        <w:rPr>
          <w:sz w:val="20"/>
          <w:szCs w:val="20"/>
          <w:rtl w:val="0"/>
        </w:rPr>
        <w:t xml:space="preserve">. Al llevar estas soluciones a un entorno real, TeleVía busca contribuir a que la innovación aplicada a la movilidad avance de la idea a la experimentación y, eventualmente, a soluciones con potencial de implementación.</w:t>
      </w:r>
    </w:p>
    <w:p w:rsidR="00000000" w:rsidDel="00000000" w:rsidP="00000000" w:rsidRDefault="00000000" w:rsidRPr="00000000" w14:paraId="0000000F">
      <w:pPr>
        <w:jc w:val="center"/>
        <w:rPr>
          <w:sz w:val="16"/>
          <w:szCs w:val="16"/>
        </w:rPr>
      </w:pPr>
      <w:r w:rsidDel="00000000" w:rsidR="00000000" w:rsidRPr="00000000">
        <w:rPr>
          <w:sz w:val="16"/>
          <w:szCs w:val="16"/>
          <w:rtl w:val="0"/>
        </w:rPr>
        <w:t xml:space="preserve">###</w:t>
      </w:r>
    </w:p>
    <w:p w:rsidR="00000000" w:rsidDel="00000000" w:rsidP="00000000" w:rsidRDefault="00000000" w:rsidRPr="00000000" w14:paraId="00000010">
      <w:pPr>
        <w:jc w:val="both"/>
        <w:rPr>
          <w:sz w:val="16"/>
          <w:szCs w:val="16"/>
        </w:rPr>
      </w:pPr>
      <w:r w:rsidDel="00000000" w:rsidR="00000000" w:rsidRPr="00000000">
        <w:rPr>
          <w:rtl w:val="0"/>
        </w:rPr>
      </w:r>
    </w:p>
    <w:p w:rsidR="00000000" w:rsidDel="00000000" w:rsidP="00000000" w:rsidRDefault="00000000" w:rsidRPr="00000000" w14:paraId="00000011">
      <w:pPr>
        <w:jc w:val="both"/>
        <w:rPr>
          <w:sz w:val="16"/>
          <w:szCs w:val="16"/>
        </w:rPr>
      </w:pPr>
      <w:r w:rsidDel="00000000" w:rsidR="00000000" w:rsidRPr="00000000">
        <w:rPr>
          <w:sz w:val="16"/>
          <w:szCs w:val="16"/>
          <w:rtl w:val="0"/>
        </w:rPr>
        <w:t xml:space="preserve">Referencias: </w:t>
      </w:r>
    </w:p>
    <w:p w:rsidR="00000000" w:rsidDel="00000000" w:rsidP="00000000" w:rsidRDefault="00000000" w:rsidRPr="00000000" w14:paraId="00000012">
      <w:pPr>
        <w:numPr>
          <w:ilvl w:val="0"/>
          <w:numId w:val="1"/>
        </w:numPr>
        <w:ind w:left="720" w:hanging="360"/>
        <w:jc w:val="both"/>
        <w:rPr>
          <w:sz w:val="14"/>
          <w:szCs w:val="14"/>
        </w:rPr>
      </w:pPr>
      <w:r w:rsidDel="00000000" w:rsidR="00000000" w:rsidRPr="00000000">
        <w:rPr>
          <w:b w:val="1"/>
          <w:bCs w:val="1"/>
          <w:sz w:val="16"/>
          <w:szCs w:val="16"/>
          <w:rtl w:val="0"/>
        </w:rPr>
        <w:t xml:space="preserve">TomTom.</w:t>
      </w:r>
      <w:r w:rsidDel="00000000" w:rsidR="00000000" w:rsidRPr="00000000">
        <w:rPr>
          <w:sz w:val="16"/>
          <w:szCs w:val="16"/>
          <w:rtl w:val="0"/>
        </w:rPr>
        <w:t xml:space="preserve"> (2025). </w:t>
      </w:r>
      <w:r w:rsidDel="00000000" w:rsidR="00000000" w:rsidRPr="00000000">
        <w:rPr>
          <w:i w:val="1"/>
          <w:iCs w:val="1"/>
          <w:sz w:val="16"/>
          <w:szCs w:val="16"/>
          <w:rtl w:val="0"/>
        </w:rPr>
        <w:t xml:space="preserve">TomTom Traffic Index: Ranking</w:t>
      </w:r>
      <w:r w:rsidDel="00000000" w:rsidR="00000000" w:rsidRPr="00000000">
        <w:rPr>
          <w:sz w:val="16"/>
          <w:szCs w:val="16"/>
          <w:rtl w:val="0"/>
        </w:rPr>
        <w:t xml:space="preserve">. </w:t>
      </w:r>
      <w:hyperlink r:id="rId6">
        <w:r w:rsidDel="00000000" w:rsidR="00000000" w:rsidRPr="00000000">
          <w:rPr>
            <w:color w:val="1155cc"/>
            <w:sz w:val="16"/>
            <w:szCs w:val="16"/>
            <w:u w:val="single"/>
            <w:rtl w:val="0"/>
          </w:rPr>
          <w:t xml:space="preserve">https://www.tomtom.com/traffic-index/ranking/</w:t>
        </w:r>
      </w:hyperlink>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13">
      <w:pPr>
        <w:jc w:val="center"/>
        <w:rPr>
          <w:b w:val="1"/>
          <w:bCs w:val="1"/>
          <w:sz w:val="24"/>
          <w:szCs w:val="24"/>
        </w:rPr>
      </w:pPr>
      <w:r w:rsidDel="00000000" w:rsidR="00000000" w:rsidRPr="00000000">
        <w:rPr>
          <w:rtl w:val="0"/>
        </w:rPr>
      </w:r>
    </w:p>
    <w:p w:rsidR="00000000" w:rsidDel="00000000" w:rsidP="00000000" w:rsidRDefault="00000000" w:rsidRPr="00000000" w14:paraId="00000014">
      <w:pPr>
        <w:jc w:val="both"/>
        <w:rPr>
          <w:b w:val="1"/>
          <w:bCs w:val="1"/>
          <w:sz w:val="16"/>
          <w:szCs w:val="16"/>
        </w:rPr>
      </w:pPr>
      <w:r w:rsidDel="00000000" w:rsidR="00000000" w:rsidRPr="00000000">
        <w:rPr>
          <w:b w:val="1"/>
          <w:bCs w:val="1"/>
          <w:sz w:val="16"/>
          <w:szCs w:val="16"/>
          <w:rtl w:val="0"/>
        </w:rPr>
        <w:t xml:space="preserve">Sobre TeleVía</w:t>
      </w:r>
      <w:r w:rsidDel="00000000" w:rsidR="00000000" w:rsidRPr="00000000">
        <w:rPr>
          <w:rtl w:val="0"/>
        </w:rPr>
      </w:r>
    </w:p>
    <w:p w:rsidR="00000000" w:rsidDel="00000000" w:rsidP="00000000" w:rsidRDefault="00000000" w:rsidRPr="00000000" w14:paraId="00000015">
      <w:pPr>
        <w:jc w:val="both"/>
        <w:rPr>
          <w:sz w:val="16"/>
          <w:szCs w:val="16"/>
        </w:rPr>
      </w:pPr>
      <w:r w:rsidDel="00000000" w:rsidR="00000000" w:rsidRPr="00000000">
        <w:rPr>
          <w:sz w:val="16"/>
          <w:szCs w:val="16"/>
          <w:rtl w:val="0"/>
        </w:rPr>
        <w:t xml:space="preserve">TeleVía, es el sistema de cobro electrónico más innovador y confiable para viajar por México. Con una experiencia de más de 15 años, la empresa sustenta su capacidad de gestión de transacciones que ascienden actualmente a 256 millones asociadas a viajes realizados con Tag TeleVía en los segmentos de empresas y usuarios particulares. Con más de 3.5 millones de tags colocados y con acceso en más de 3,500 carriles de las autopistas del país, sus usuarios cuentan con una </w:t>
      </w:r>
      <w:r w:rsidDel="00000000" w:rsidR="00000000" w:rsidRPr="00000000">
        <w:rPr>
          <w:sz w:val="16"/>
          <w:szCs w:val="16"/>
          <w:rtl w:val="0"/>
        </w:rPr>
        <w:t xml:space="preserve">cobertura del más del</w:t>
      </w:r>
      <w:r w:rsidDel="00000000" w:rsidR="00000000" w:rsidRPr="00000000">
        <w:rPr>
          <w:sz w:val="16"/>
          <w:szCs w:val="16"/>
          <w:rtl w:val="0"/>
        </w:rPr>
        <w:t xml:space="preserve"> 95% de la red carretera nacional con telepeaje. Te invitamos a conocer más en </w:t>
      </w:r>
      <w:hyperlink r:id="rId7">
        <w:r w:rsidDel="00000000" w:rsidR="00000000" w:rsidRPr="00000000">
          <w:rPr>
            <w:color w:val="1155cc"/>
            <w:sz w:val="16"/>
            <w:szCs w:val="16"/>
            <w:u w:val="single"/>
            <w:rtl w:val="0"/>
          </w:rPr>
          <w:t xml:space="preserve">televia.com.mx</w:t>
        </w:r>
      </w:hyperlink>
      <w:r w:rsidDel="00000000" w:rsidR="00000000" w:rsidRPr="00000000">
        <w:rPr>
          <w:rtl w:val="0"/>
        </w:rPr>
      </w:r>
    </w:p>
    <w:p w:rsidR="00000000" w:rsidDel="00000000" w:rsidP="00000000" w:rsidRDefault="00000000" w:rsidRPr="00000000" w14:paraId="00000016">
      <w:pPr>
        <w:jc w:val="both"/>
        <w:rPr>
          <w:sz w:val="16"/>
          <w:szCs w:val="16"/>
        </w:rPr>
      </w:pPr>
      <w:r w:rsidDel="00000000" w:rsidR="00000000" w:rsidRPr="00000000">
        <w:rPr>
          <w:rtl w:val="0"/>
        </w:rPr>
      </w:r>
    </w:p>
    <w:p w:rsidR="00000000" w:rsidDel="00000000" w:rsidP="00000000" w:rsidRDefault="00000000" w:rsidRPr="00000000" w14:paraId="00000017">
      <w:pPr>
        <w:spacing w:line="240" w:lineRule="auto"/>
        <w:jc w:val="center"/>
        <w:rPr>
          <w:rFonts w:ascii="Figtree" w:cs="Figtree" w:eastAsia="Figtree" w:hAnsi="Figtree"/>
          <w:sz w:val="12"/>
          <w:szCs w:val="12"/>
        </w:rPr>
      </w:pPr>
      <w:r w:rsidDel="00000000" w:rsidR="00000000" w:rsidRPr="00000000">
        <w:rPr>
          <w:rtl w:val="0"/>
        </w:rPr>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330"/>
        <w:gridCol w:w="2910"/>
        <w:gridCol w:w="3120"/>
        <w:tblGridChange w:id="0">
          <w:tblGrid>
            <w:gridCol w:w="3330"/>
            <w:gridCol w:w="2910"/>
            <w:gridCol w:w="3120"/>
          </w:tblGrid>
        </w:tblGridChange>
      </w:tblGrid>
      <w:tr>
        <w:trPr>
          <w:cantSplit w:val="0"/>
          <w:trHeight w:val="360" w:hRule="atLeast"/>
          <w:tblHeader w:val="0"/>
        </w:trPr>
        <w:tc>
          <w:tcPr>
            <w:gridSpan w:val="3"/>
            <w:tcBorders>
              <w:top w:color="f3f3f3" w:space="0" w:sz="8" w:val="single"/>
              <w:left w:color="f3f3f3" w:space="0" w:sz="8" w:val="single"/>
              <w:bottom w:color="f3f3f3" w:space="0" w:sz="8" w:val="single"/>
              <w:right w:color="f3f3f3" w:space="0" w:sz="8" w:val="single"/>
            </w:tcBorders>
            <w:tcMar>
              <w:top w:w="100.0" w:type="dxa"/>
              <w:left w:w="100.0" w:type="dxa"/>
              <w:bottom w:w="100.0" w:type="dxa"/>
              <w:right w:w="100.0" w:type="dxa"/>
            </w:tcMar>
            <w:vAlign w:val="top"/>
          </w:tcPr>
          <w:p w:rsidR="00000000" w:rsidDel="00000000" w:rsidP="00000000" w:rsidRDefault="00000000" w:rsidRPr="00000000" w14:paraId="00000018">
            <w:pPr>
              <w:spacing w:line="240" w:lineRule="auto"/>
              <w:jc w:val="center"/>
              <w:rPr>
                <w:rFonts w:ascii="Figtree" w:cs="Figtree" w:eastAsia="Figtree" w:hAnsi="Figtree"/>
                <w:b w:val="1"/>
                <w:bCs w:val="1"/>
                <w:sz w:val="12"/>
                <w:szCs w:val="12"/>
              </w:rPr>
            </w:pPr>
            <w:r w:rsidDel="00000000" w:rsidR="00000000" w:rsidRPr="00000000">
              <w:rPr>
                <w:rFonts w:ascii="Figtree" w:cs="Figtree" w:eastAsia="Figtree" w:hAnsi="Figtree"/>
                <w:b w:val="1"/>
                <w:bCs w:val="1"/>
                <w:sz w:val="12"/>
                <w:szCs w:val="12"/>
                <w:rtl w:val="0"/>
              </w:rPr>
              <w:t xml:space="preserve">CONTACTO DE PRENSA</w:t>
            </w:r>
          </w:p>
        </w:tc>
      </w:tr>
      <w:tr>
        <w:trPr>
          <w:cantSplit w:val="0"/>
          <w:trHeight w:val="660" w:hRule="atLeast"/>
          <w:tblHeader w:val="0"/>
        </w:trPr>
        <w:tc>
          <w:tcPr>
            <w:gridSpan w:val="3"/>
            <w:tcBorders>
              <w:left w:color="f3f3f3" w:space="0" w:sz="8" w:val="single"/>
              <w:bottom w:color="f3f3f3" w:space="0" w:sz="8" w:val="single"/>
              <w:right w:color="f3f3f3"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spacing w:line="240" w:lineRule="auto"/>
              <w:jc w:val="center"/>
              <w:rPr>
                <w:rFonts w:ascii="Figtree" w:cs="Figtree" w:eastAsia="Figtree" w:hAnsi="Figtree"/>
                <w:b w:val="1"/>
                <w:bCs w:val="1"/>
                <w:sz w:val="12"/>
                <w:szCs w:val="12"/>
              </w:rPr>
            </w:pPr>
            <w:r w:rsidDel="00000000" w:rsidR="00000000" w:rsidRPr="00000000">
              <w:rPr>
                <w:rFonts w:ascii="Figtree" w:cs="Figtree" w:eastAsia="Figtree" w:hAnsi="Figtree"/>
                <w:b w:val="1"/>
                <w:bCs w:val="1"/>
                <w:sz w:val="12"/>
                <w:szCs w:val="12"/>
                <w:rtl w:val="0"/>
              </w:rPr>
              <w:t xml:space="preserve">Karen Moreno</w:t>
            </w:r>
          </w:p>
          <w:p w:rsidR="00000000" w:rsidDel="00000000" w:rsidP="00000000" w:rsidRDefault="00000000" w:rsidRPr="00000000" w14:paraId="0000001C">
            <w:pPr>
              <w:spacing w:line="240" w:lineRule="auto"/>
              <w:jc w:val="center"/>
              <w:rPr>
                <w:rFonts w:ascii="Figtree" w:cs="Figtree" w:eastAsia="Figtree" w:hAnsi="Figtree"/>
                <w:sz w:val="12"/>
                <w:szCs w:val="12"/>
              </w:rPr>
            </w:pPr>
            <w:r w:rsidDel="00000000" w:rsidR="00000000" w:rsidRPr="00000000">
              <w:rPr>
                <w:rFonts w:ascii="Figtree" w:cs="Figtree" w:eastAsia="Figtree" w:hAnsi="Figtree"/>
                <w:sz w:val="12"/>
                <w:szCs w:val="12"/>
                <w:rtl w:val="0"/>
              </w:rPr>
              <w:t xml:space="preserve">Relaciones Públicas Trendsétera</w:t>
            </w:r>
          </w:p>
          <w:p w:rsidR="00000000" w:rsidDel="00000000" w:rsidP="00000000" w:rsidRDefault="00000000" w:rsidRPr="00000000" w14:paraId="0000001D">
            <w:pPr>
              <w:spacing w:line="240" w:lineRule="auto"/>
              <w:jc w:val="center"/>
              <w:rPr>
                <w:rFonts w:ascii="Figtree" w:cs="Figtree" w:eastAsia="Figtree" w:hAnsi="Figtree"/>
                <w:sz w:val="12"/>
                <w:szCs w:val="12"/>
              </w:rPr>
            </w:pPr>
            <w:r w:rsidDel="00000000" w:rsidR="00000000" w:rsidRPr="00000000">
              <w:rPr>
                <w:rFonts w:ascii="Figtree" w:cs="Figtree" w:eastAsia="Figtree" w:hAnsi="Figtree"/>
                <w:sz w:val="12"/>
                <w:szCs w:val="12"/>
                <w:rtl w:val="0"/>
              </w:rPr>
              <w:t xml:space="preserve">amoreno@trendseterar.com.mx</w:t>
            </w:r>
          </w:p>
        </w:tc>
      </w:tr>
    </w:tbl>
    <w:p w:rsidR="00000000" w:rsidDel="00000000" w:rsidP="00000000" w:rsidRDefault="00000000" w:rsidRPr="00000000" w14:paraId="00000020">
      <w:pPr>
        <w:spacing w:line="240" w:lineRule="auto"/>
        <w:jc w:val="both"/>
        <w:rPr>
          <w:sz w:val="16"/>
          <w:szCs w:val="16"/>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Figtre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Inventio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jc w:val="center"/>
      <w:rPr/>
    </w:pPr>
    <w:r w:rsidDel="00000000" w:rsidR="00000000" w:rsidRPr="00000000">
      <w:rPr/>
      <w:drawing>
        <wp:inline distB="114300" distT="114300" distL="114300" distR="114300">
          <wp:extent cx="3048000" cy="965474"/>
          <wp:effectExtent b="0" l="0" r="0" t="0"/>
          <wp:docPr id="1" name="image1.png"/>
          <a:graphic>
            <a:graphicData uri="http://schemas.openxmlformats.org/drawingml/2006/picture">
              <pic:pic>
                <pic:nvPicPr>
                  <pic:cNvPr id="0" name="image1.png"/>
                  <pic:cNvPicPr preferRelativeResize="0"/>
                </pic:nvPicPr>
                <pic:blipFill>
                  <a:blip r:embed="rId1"/>
                  <a:srcRect b="33891" l="0" r="0" t="34488"/>
                  <a:stretch>
                    <a:fillRect/>
                  </a:stretch>
                </pic:blipFill>
                <pic:spPr>
                  <a:xfrm>
                    <a:off x="0" y="0"/>
                    <a:ext cx="3048000" cy="965474"/>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tomtom.com/traffic-index/ranking/" TargetMode="External"/><Relationship Id="rId7" Type="http://schemas.openxmlformats.org/officeDocument/2006/relationships/hyperlink" Target="http://televia.com.mx"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Figtree-regular.ttf"/><Relationship Id="rId2" Type="http://schemas.openxmlformats.org/officeDocument/2006/relationships/font" Target="fonts/Figtree-bold.ttf"/><Relationship Id="rId3" Type="http://schemas.openxmlformats.org/officeDocument/2006/relationships/font" Target="fonts/Figtree-italic.ttf"/><Relationship Id="rId4" Type="http://schemas.openxmlformats.org/officeDocument/2006/relationships/font" Target="fonts/Figtre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