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4166" w14:textId="77777777" w:rsidR="00B60861" w:rsidRPr="00D243A9" w:rsidRDefault="006553D8" w:rsidP="00850C22">
      <w:pPr>
        <w:pStyle w:val="xxmsonormal"/>
        <w:jc w:val="center"/>
        <w:rPr>
          <w:rFonts w:asciiTheme="minorHAnsi" w:hAnsiTheme="minorHAnsi" w:cstheme="minorHAnsi"/>
          <w:b/>
          <w:bCs/>
          <w:sz w:val="28"/>
          <w:szCs w:val="28"/>
        </w:rPr>
      </w:pPr>
      <w:bookmarkStart w:id="0" w:name="_Hlk158805692"/>
      <w:r w:rsidRPr="00D243A9">
        <w:rPr>
          <w:rFonts w:asciiTheme="minorHAnsi" w:hAnsiTheme="minorHAnsi" w:cstheme="minorHAnsi"/>
          <w:b/>
          <w:bCs/>
          <w:sz w:val="28"/>
          <w:szCs w:val="28"/>
        </w:rPr>
        <w:t xml:space="preserve">flydubai </w:t>
      </w:r>
      <w:r w:rsidR="00FD0346" w:rsidRPr="00D243A9">
        <w:rPr>
          <w:rFonts w:asciiTheme="minorHAnsi" w:hAnsiTheme="minorHAnsi" w:cstheme="minorHAnsi"/>
          <w:b/>
          <w:bCs/>
          <w:sz w:val="28"/>
          <w:szCs w:val="28"/>
        </w:rPr>
        <w:t xml:space="preserve">reports </w:t>
      </w:r>
      <w:r w:rsidR="00F60A0F" w:rsidRPr="00D243A9">
        <w:rPr>
          <w:rFonts w:asciiTheme="minorHAnsi" w:hAnsiTheme="minorHAnsi" w:cstheme="minorHAnsi"/>
          <w:b/>
          <w:bCs/>
          <w:sz w:val="28"/>
          <w:szCs w:val="28"/>
        </w:rPr>
        <w:t xml:space="preserve">strong 2025 performance </w:t>
      </w:r>
      <w:r w:rsidR="00270A98" w:rsidRPr="00D243A9">
        <w:rPr>
          <w:rFonts w:asciiTheme="minorHAnsi" w:hAnsiTheme="minorHAnsi" w:cstheme="minorHAnsi"/>
          <w:b/>
          <w:bCs/>
          <w:sz w:val="28"/>
          <w:szCs w:val="28"/>
        </w:rPr>
        <w:t>driven by</w:t>
      </w:r>
      <w:r w:rsidR="00F60A0F" w:rsidRPr="00D243A9">
        <w:rPr>
          <w:rFonts w:asciiTheme="minorHAnsi" w:hAnsiTheme="minorHAnsi" w:cstheme="minorHAnsi"/>
          <w:b/>
          <w:bCs/>
          <w:sz w:val="28"/>
          <w:szCs w:val="28"/>
        </w:rPr>
        <w:t xml:space="preserve"> record reve</w:t>
      </w:r>
      <w:r w:rsidR="00B60861" w:rsidRPr="00D243A9">
        <w:rPr>
          <w:rFonts w:asciiTheme="minorHAnsi" w:hAnsiTheme="minorHAnsi" w:cstheme="minorHAnsi"/>
          <w:b/>
          <w:bCs/>
          <w:sz w:val="28"/>
          <w:szCs w:val="28"/>
        </w:rPr>
        <w:t xml:space="preserve">nue, </w:t>
      </w:r>
      <w:r w:rsidR="00F60A0F" w:rsidRPr="00D243A9">
        <w:rPr>
          <w:rFonts w:asciiTheme="minorHAnsi" w:hAnsiTheme="minorHAnsi" w:cstheme="minorHAnsi"/>
          <w:b/>
          <w:bCs/>
          <w:sz w:val="28"/>
          <w:szCs w:val="28"/>
        </w:rPr>
        <w:t xml:space="preserve">passenger growth </w:t>
      </w:r>
      <w:r w:rsidR="00B60861" w:rsidRPr="00D243A9">
        <w:rPr>
          <w:rFonts w:asciiTheme="minorHAnsi" w:hAnsiTheme="minorHAnsi" w:cstheme="minorHAnsi"/>
          <w:b/>
          <w:bCs/>
          <w:sz w:val="28"/>
          <w:szCs w:val="28"/>
        </w:rPr>
        <w:t>and strategic network expansion</w:t>
      </w:r>
    </w:p>
    <w:p w14:paraId="198F6F4E" w14:textId="77777777" w:rsidR="00F60A0F" w:rsidRPr="00D243A9" w:rsidRDefault="00F60A0F" w:rsidP="00421A0A">
      <w:pPr>
        <w:pStyle w:val="xxmsonormal"/>
        <w:jc w:val="both"/>
        <w:rPr>
          <w:rFonts w:asciiTheme="minorHAnsi" w:hAnsiTheme="minorHAnsi" w:cstheme="minorHAnsi"/>
          <w:b/>
          <w:bCs/>
        </w:rPr>
      </w:pPr>
    </w:p>
    <w:p w14:paraId="14802B44" w14:textId="55579163" w:rsidR="00801407" w:rsidRPr="0059636A" w:rsidRDefault="002E17F9" w:rsidP="00DB4017">
      <w:pPr>
        <w:pStyle w:val="xxmsonormal"/>
        <w:numPr>
          <w:ilvl w:val="0"/>
          <w:numId w:val="1"/>
        </w:numPr>
        <w:shd w:val="clear" w:color="auto" w:fill="FFFFFF"/>
        <w:jc w:val="both"/>
        <w:textAlignment w:val="baseline"/>
        <w:rPr>
          <w:rFonts w:asciiTheme="minorHAnsi" w:hAnsiTheme="minorHAnsi" w:cstheme="minorHAnsi"/>
        </w:rPr>
      </w:pPr>
      <w:r w:rsidRPr="0059636A">
        <w:rPr>
          <w:rFonts w:asciiTheme="minorHAnsi" w:hAnsiTheme="minorHAnsi" w:cstheme="minorHAnsi"/>
        </w:rPr>
        <w:t>R</w:t>
      </w:r>
      <w:r w:rsidR="006553D8" w:rsidRPr="0059636A">
        <w:rPr>
          <w:rFonts w:asciiTheme="minorHAnsi" w:hAnsiTheme="minorHAnsi" w:cstheme="minorHAnsi"/>
        </w:rPr>
        <w:t>eports</w:t>
      </w:r>
      <w:r w:rsidR="008A690A" w:rsidRPr="0059636A">
        <w:rPr>
          <w:rFonts w:asciiTheme="minorHAnsi" w:hAnsiTheme="minorHAnsi" w:cstheme="minorHAnsi"/>
          <w:lang w:val="en-GB"/>
        </w:rPr>
        <w:t xml:space="preserve"> </w:t>
      </w:r>
      <w:r w:rsidR="00291083" w:rsidRPr="0059636A">
        <w:rPr>
          <w:rFonts w:asciiTheme="minorHAnsi" w:hAnsiTheme="minorHAnsi" w:cstheme="minorHAnsi"/>
          <w:lang w:val="en-GB"/>
        </w:rPr>
        <w:t>profit before tax</w:t>
      </w:r>
      <w:r w:rsidR="006553D8" w:rsidRPr="0059636A">
        <w:rPr>
          <w:rFonts w:asciiTheme="minorHAnsi" w:hAnsiTheme="minorHAnsi" w:cstheme="minorHAnsi"/>
        </w:rPr>
        <w:t xml:space="preserve"> of</w:t>
      </w:r>
      <w:r w:rsidR="00A84BB6" w:rsidRPr="00A84BB6">
        <w:t xml:space="preserve"> </w:t>
      </w:r>
      <w:r w:rsidR="00A84BB6" w:rsidRPr="004B3B40">
        <w:rPr>
          <w:rFonts w:asciiTheme="minorHAnsi" w:hAnsiTheme="minorHAnsi" w:cstheme="minorHAnsi"/>
        </w:rPr>
        <w:t>AED 2.2 billion (USD 591 million)</w:t>
      </w:r>
      <w:r w:rsidR="006553D8" w:rsidRPr="0059636A">
        <w:rPr>
          <w:rFonts w:asciiTheme="minorHAnsi" w:hAnsiTheme="minorHAnsi" w:cstheme="minorHAnsi"/>
        </w:rPr>
        <w:t xml:space="preserve"> </w:t>
      </w:r>
      <w:r w:rsidR="006569BE" w:rsidRPr="0059636A">
        <w:rPr>
          <w:rFonts w:asciiTheme="minorHAnsi" w:hAnsiTheme="minorHAnsi" w:cstheme="minorHAnsi"/>
        </w:rPr>
        <w:t xml:space="preserve">for the </w:t>
      </w:r>
      <w:r w:rsidR="00C25831" w:rsidRPr="0059636A">
        <w:rPr>
          <w:rFonts w:asciiTheme="minorHAnsi" w:hAnsiTheme="minorHAnsi" w:cstheme="minorHAnsi"/>
        </w:rPr>
        <w:t>financial year ending 31 December 202</w:t>
      </w:r>
      <w:r w:rsidR="00D01CFE" w:rsidRPr="0059636A">
        <w:rPr>
          <w:rFonts w:asciiTheme="minorHAnsi" w:hAnsiTheme="minorHAnsi" w:cstheme="minorHAnsi"/>
        </w:rPr>
        <w:t>5</w:t>
      </w:r>
      <w:r w:rsidR="006553D8" w:rsidRPr="0059636A">
        <w:rPr>
          <w:rFonts w:asciiTheme="minorHAnsi" w:hAnsiTheme="minorHAnsi" w:cstheme="minorHAnsi"/>
        </w:rPr>
        <w:t xml:space="preserve">; </w:t>
      </w:r>
      <w:r w:rsidR="00D01CFE" w:rsidRPr="0059636A">
        <w:rPr>
          <w:rFonts w:asciiTheme="minorHAnsi" w:hAnsiTheme="minorHAnsi" w:cstheme="minorHAnsi"/>
        </w:rPr>
        <w:t xml:space="preserve">full year </w:t>
      </w:r>
      <w:r w:rsidR="00571E01" w:rsidRPr="0059636A">
        <w:rPr>
          <w:rFonts w:asciiTheme="minorHAnsi" w:hAnsiTheme="minorHAnsi" w:cstheme="minorHAnsi"/>
        </w:rPr>
        <w:t xml:space="preserve">revenue </w:t>
      </w:r>
      <w:r w:rsidR="00D01CFE" w:rsidRPr="0059636A">
        <w:rPr>
          <w:rFonts w:asciiTheme="minorHAnsi" w:hAnsiTheme="minorHAnsi" w:cstheme="minorHAnsi"/>
        </w:rPr>
        <w:t>increased by</w:t>
      </w:r>
      <w:r w:rsidR="00801407" w:rsidRPr="0059636A">
        <w:rPr>
          <w:rFonts w:asciiTheme="minorHAnsi" w:hAnsiTheme="minorHAnsi" w:cstheme="minorHAnsi"/>
        </w:rPr>
        <w:t xml:space="preserve"> </w:t>
      </w:r>
      <w:bookmarkStart w:id="1" w:name="_Hlk190632619"/>
      <w:r w:rsidR="00A84BB6" w:rsidRPr="00694E56">
        <w:rPr>
          <w:rFonts w:asciiTheme="minorHAnsi" w:hAnsiTheme="minorHAnsi" w:cstheme="minorHAnsi"/>
        </w:rPr>
        <w:t>6</w:t>
      </w:r>
      <w:r w:rsidR="00801407" w:rsidRPr="00694E56">
        <w:rPr>
          <w:rFonts w:asciiTheme="minorHAnsi" w:hAnsiTheme="minorHAnsi" w:cstheme="minorHAnsi"/>
        </w:rPr>
        <w:t xml:space="preserve">% to </w:t>
      </w:r>
      <w:r w:rsidR="00A84BB6" w:rsidRPr="00694E56">
        <w:t>AED 13.6 billion (USD 3.7 billion)</w:t>
      </w:r>
    </w:p>
    <w:bookmarkEnd w:id="1"/>
    <w:p w14:paraId="1F333011" w14:textId="04DFBFBA" w:rsidR="00434BC8" w:rsidRPr="00694E56" w:rsidRDefault="00DF24AB" w:rsidP="00DB4017">
      <w:pPr>
        <w:pStyle w:val="xxmsonormal"/>
        <w:numPr>
          <w:ilvl w:val="0"/>
          <w:numId w:val="1"/>
        </w:numPr>
        <w:shd w:val="clear" w:color="auto" w:fill="FFFFFF"/>
        <w:jc w:val="both"/>
        <w:textAlignment w:val="baseline"/>
        <w:rPr>
          <w:rFonts w:asciiTheme="minorHAnsi" w:hAnsiTheme="minorHAnsi" w:cstheme="minorHAnsi"/>
        </w:rPr>
      </w:pPr>
      <w:r w:rsidRPr="00694E56">
        <w:rPr>
          <w:rFonts w:asciiTheme="minorHAnsi" w:hAnsiTheme="minorHAnsi" w:cstheme="minorHAnsi"/>
        </w:rPr>
        <w:t>Carrie</w:t>
      </w:r>
      <w:r w:rsidR="001A5EF2" w:rsidRPr="00694E56">
        <w:rPr>
          <w:rFonts w:asciiTheme="minorHAnsi" w:hAnsiTheme="minorHAnsi" w:cstheme="minorHAnsi"/>
        </w:rPr>
        <w:t>d</w:t>
      </w:r>
      <w:r w:rsidR="00FF1755" w:rsidRPr="00694E56">
        <w:rPr>
          <w:rFonts w:asciiTheme="minorHAnsi" w:hAnsiTheme="minorHAnsi" w:cstheme="minorHAnsi"/>
        </w:rPr>
        <w:t xml:space="preserve"> </w:t>
      </w:r>
      <w:r w:rsidR="00383A7C" w:rsidRPr="00694E56">
        <w:rPr>
          <w:rFonts w:asciiTheme="minorHAnsi" w:hAnsiTheme="minorHAnsi" w:cstheme="minorHAnsi"/>
        </w:rPr>
        <w:t xml:space="preserve">a record </w:t>
      </w:r>
      <w:r w:rsidR="00F60A0F" w:rsidRPr="00694E56">
        <w:rPr>
          <w:rFonts w:asciiTheme="minorHAnsi" w:hAnsiTheme="minorHAnsi" w:cstheme="minorHAnsi"/>
        </w:rPr>
        <w:t>15.</w:t>
      </w:r>
      <w:r w:rsidR="00B8449E" w:rsidRPr="00694E56">
        <w:rPr>
          <w:rFonts w:asciiTheme="minorHAnsi" w:hAnsiTheme="minorHAnsi" w:cstheme="minorHAnsi"/>
        </w:rPr>
        <w:t>7</w:t>
      </w:r>
      <w:r w:rsidR="00F60A0F" w:rsidRPr="00694E56">
        <w:rPr>
          <w:rFonts w:asciiTheme="minorHAnsi" w:hAnsiTheme="minorHAnsi" w:cstheme="minorHAnsi"/>
        </w:rPr>
        <w:t xml:space="preserve"> </w:t>
      </w:r>
      <w:r w:rsidR="00E2568F" w:rsidRPr="00694E56">
        <w:rPr>
          <w:rFonts w:asciiTheme="minorHAnsi" w:hAnsiTheme="minorHAnsi" w:cstheme="minorHAnsi"/>
        </w:rPr>
        <w:t>million passengers</w:t>
      </w:r>
      <w:r w:rsidR="00042AAC" w:rsidRPr="00694E56">
        <w:rPr>
          <w:rFonts w:asciiTheme="minorHAnsi" w:hAnsiTheme="minorHAnsi" w:cstheme="minorHAnsi"/>
        </w:rPr>
        <w:t xml:space="preserve"> </w:t>
      </w:r>
      <w:r w:rsidR="004A7D70" w:rsidRPr="00694E56">
        <w:rPr>
          <w:rFonts w:asciiTheme="minorHAnsi" w:hAnsiTheme="minorHAnsi" w:cstheme="minorHAnsi"/>
        </w:rPr>
        <w:t xml:space="preserve">across a growing network of 140 destinations </w:t>
      </w:r>
    </w:p>
    <w:p w14:paraId="162FFDA4" w14:textId="1240756C" w:rsidR="00C6495B" w:rsidRPr="00694E56" w:rsidRDefault="004A7D70" w:rsidP="002D77EA">
      <w:pPr>
        <w:pStyle w:val="ListParagraph"/>
        <w:numPr>
          <w:ilvl w:val="0"/>
          <w:numId w:val="1"/>
        </w:numPr>
        <w:rPr>
          <w:rFonts w:cstheme="minorHAnsi"/>
          <w:lang w:val="en-US"/>
        </w:rPr>
      </w:pPr>
      <w:r w:rsidRPr="00694E56">
        <w:rPr>
          <w:rFonts w:cstheme="minorHAnsi"/>
          <w:lang w:val="en-US"/>
        </w:rPr>
        <w:t>Operate</w:t>
      </w:r>
      <w:r w:rsidR="001A5EF2" w:rsidRPr="00694E56">
        <w:rPr>
          <w:rFonts w:cstheme="minorHAnsi"/>
          <w:lang w:val="en-US"/>
        </w:rPr>
        <w:t>d</w:t>
      </w:r>
      <w:r w:rsidR="00073131" w:rsidRPr="00694E56">
        <w:rPr>
          <w:rFonts w:cstheme="minorHAnsi"/>
          <w:lang w:val="en-US"/>
        </w:rPr>
        <w:t xml:space="preserve"> 126,604 </w:t>
      </w:r>
      <w:r w:rsidR="00C6495B" w:rsidRPr="00694E56">
        <w:rPr>
          <w:rFonts w:cstheme="minorHAnsi"/>
          <w:lang w:val="en-US"/>
        </w:rPr>
        <w:t>flights</w:t>
      </w:r>
      <w:r w:rsidR="001A5EF2" w:rsidRPr="00694E56">
        <w:rPr>
          <w:rFonts w:cstheme="minorHAnsi"/>
          <w:lang w:val="en-US"/>
        </w:rPr>
        <w:t>,</w:t>
      </w:r>
      <w:r w:rsidR="002D77EA" w:rsidRPr="00694E56">
        <w:rPr>
          <w:rFonts w:cstheme="minorHAnsi"/>
          <w:lang w:val="en-US"/>
        </w:rPr>
        <w:t xml:space="preserve"> </w:t>
      </w:r>
      <w:r w:rsidR="00991161" w:rsidRPr="00694E56">
        <w:rPr>
          <w:rFonts w:cstheme="minorHAnsi"/>
          <w:lang w:val="en-US"/>
        </w:rPr>
        <w:t xml:space="preserve">with </w:t>
      </w:r>
      <w:r w:rsidR="002D77EA" w:rsidRPr="00694E56">
        <w:rPr>
          <w:rFonts w:cstheme="minorHAnsi"/>
        </w:rPr>
        <w:t xml:space="preserve">6% increased capacity to 47,148 </w:t>
      </w:r>
      <w:r w:rsidR="00DF34F9" w:rsidRPr="00694E56">
        <w:rPr>
          <w:rFonts w:cstheme="minorHAnsi"/>
        </w:rPr>
        <w:t xml:space="preserve">million </w:t>
      </w:r>
      <w:r w:rsidR="002D77EA" w:rsidRPr="00694E56">
        <w:rPr>
          <w:rFonts w:cstheme="minorHAnsi"/>
        </w:rPr>
        <w:t>(ASKM)</w:t>
      </w:r>
    </w:p>
    <w:p w14:paraId="41E17215" w14:textId="3BFE131A" w:rsidR="006553D8" w:rsidRPr="00993FFA" w:rsidRDefault="00F64BFE" w:rsidP="00993FFA">
      <w:pPr>
        <w:pStyle w:val="ListParagraph"/>
        <w:numPr>
          <w:ilvl w:val="0"/>
          <w:numId w:val="1"/>
        </w:numPr>
        <w:jc w:val="both"/>
        <w:rPr>
          <w:rFonts w:cstheme="minorHAnsi"/>
          <w:color w:val="FF0000"/>
          <w:lang w:val="en-US"/>
        </w:rPr>
      </w:pPr>
      <w:r w:rsidRPr="00694E56">
        <w:rPr>
          <w:rFonts w:cstheme="minorHAnsi"/>
        </w:rPr>
        <w:t>I</w:t>
      </w:r>
      <w:r w:rsidR="00F02126" w:rsidRPr="00694E56">
        <w:rPr>
          <w:rFonts w:cstheme="minorHAnsi"/>
        </w:rPr>
        <w:t>nvest</w:t>
      </w:r>
      <w:r w:rsidR="001A5EF2" w:rsidRPr="00694E56">
        <w:rPr>
          <w:rFonts w:cstheme="minorHAnsi"/>
        </w:rPr>
        <w:t>ed</w:t>
      </w:r>
      <w:r w:rsidR="00F02126" w:rsidRPr="00694E56">
        <w:rPr>
          <w:rFonts w:cstheme="minorHAnsi"/>
        </w:rPr>
        <w:t xml:space="preserve"> in strengthening</w:t>
      </w:r>
      <w:r w:rsidR="009347BA" w:rsidRPr="00694E56">
        <w:rPr>
          <w:rFonts w:cstheme="minorHAnsi"/>
        </w:rPr>
        <w:t xml:space="preserve"> </w:t>
      </w:r>
      <w:r w:rsidR="00F02126" w:rsidRPr="00694E56">
        <w:rPr>
          <w:rFonts w:cstheme="minorHAnsi"/>
        </w:rPr>
        <w:t>product offering</w:t>
      </w:r>
      <w:r w:rsidR="009347BA" w:rsidRPr="00694E56">
        <w:rPr>
          <w:rFonts w:cstheme="minorHAnsi"/>
        </w:rPr>
        <w:t xml:space="preserve">, </w:t>
      </w:r>
      <w:r w:rsidR="006769C7" w:rsidRPr="00694E56">
        <w:rPr>
          <w:rFonts w:cstheme="minorHAnsi"/>
        </w:rPr>
        <w:t xml:space="preserve">elevating the </w:t>
      </w:r>
      <w:r w:rsidR="00F02126" w:rsidRPr="00694E56">
        <w:rPr>
          <w:rFonts w:cstheme="minorHAnsi"/>
        </w:rPr>
        <w:t xml:space="preserve">customer experience and </w:t>
      </w:r>
      <w:r w:rsidR="006769C7" w:rsidRPr="00694E56">
        <w:rPr>
          <w:rFonts w:cstheme="minorHAnsi"/>
        </w:rPr>
        <w:t xml:space="preserve">accelerating innovation through </w:t>
      </w:r>
      <w:r w:rsidR="00F02126" w:rsidRPr="00694E56">
        <w:rPr>
          <w:rFonts w:cstheme="minorHAnsi"/>
        </w:rPr>
        <w:t xml:space="preserve">technology and </w:t>
      </w:r>
      <w:r w:rsidR="007B4FFE" w:rsidRPr="00694E56">
        <w:rPr>
          <w:rFonts w:cstheme="minorHAnsi"/>
        </w:rPr>
        <w:t>workforce</w:t>
      </w:r>
      <w:r w:rsidR="00F02126" w:rsidRPr="00694E56">
        <w:rPr>
          <w:rFonts w:cstheme="minorHAnsi"/>
        </w:rPr>
        <w:t xml:space="preserve"> development</w:t>
      </w:r>
    </w:p>
    <w:p w14:paraId="68D9A264" w14:textId="6B1B9AAA" w:rsidR="005F1F7B" w:rsidRPr="00D243A9" w:rsidRDefault="006553D8" w:rsidP="00D243A9">
      <w:pPr>
        <w:pStyle w:val="xxmsonormal"/>
        <w:shd w:val="clear" w:color="auto" w:fill="FFFFFF"/>
        <w:jc w:val="both"/>
        <w:textAlignment w:val="baseline"/>
        <w:rPr>
          <w:rFonts w:asciiTheme="minorHAnsi" w:hAnsiTheme="minorHAnsi" w:cstheme="minorHAnsi"/>
        </w:rPr>
      </w:pPr>
      <w:r w:rsidRPr="00D243A9">
        <w:rPr>
          <w:rFonts w:asciiTheme="minorHAnsi" w:hAnsiTheme="minorHAnsi" w:cstheme="minorHAnsi"/>
          <w:b/>
          <w:bCs/>
        </w:rPr>
        <w:t xml:space="preserve">Dubai, United Arab Emirates, </w:t>
      </w:r>
      <w:r w:rsidR="009C4E7D">
        <w:rPr>
          <w:rFonts w:asciiTheme="minorHAnsi" w:hAnsiTheme="minorHAnsi" w:cstheme="minorHAnsi"/>
          <w:b/>
          <w:bCs/>
        </w:rPr>
        <w:t>26</w:t>
      </w:r>
      <w:r w:rsidRPr="00D243A9">
        <w:rPr>
          <w:rFonts w:asciiTheme="minorHAnsi" w:hAnsiTheme="minorHAnsi" w:cstheme="minorHAnsi"/>
          <w:b/>
          <w:bCs/>
        </w:rPr>
        <w:t xml:space="preserve"> February 202</w:t>
      </w:r>
      <w:r w:rsidR="009E5F32" w:rsidRPr="00D243A9">
        <w:rPr>
          <w:rFonts w:asciiTheme="minorHAnsi" w:hAnsiTheme="minorHAnsi" w:cstheme="minorHAnsi"/>
          <w:b/>
          <w:bCs/>
        </w:rPr>
        <w:t>6</w:t>
      </w:r>
      <w:r w:rsidRPr="00D243A9">
        <w:rPr>
          <w:rFonts w:asciiTheme="minorHAnsi" w:hAnsiTheme="minorHAnsi" w:cstheme="minorHAnsi"/>
          <w:b/>
          <w:bCs/>
        </w:rPr>
        <w:t>:</w:t>
      </w:r>
      <w:r w:rsidRPr="00D243A9">
        <w:rPr>
          <w:rFonts w:asciiTheme="minorHAnsi" w:hAnsiTheme="minorHAnsi" w:cstheme="minorHAnsi"/>
        </w:rPr>
        <w:t xml:space="preserve"> </w:t>
      </w:r>
      <w:r w:rsidR="005F1F7B" w:rsidRPr="00D243A9">
        <w:rPr>
          <w:rFonts w:asciiTheme="minorHAnsi" w:hAnsiTheme="minorHAnsi" w:cstheme="minorHAnsi"/>
        </w:rPr>
        <w:t>The Dubai-based carrier has delivered another strong financial performance</w:t>
      </w:r>
      <w:r w:rsidR="00BF6873" w:rsidRPr="00D243A9">
        <w:rPr>
          <w:rFonts w:asciiTheme="minorHAnsi" w:hAnsiTheme="minorHAnsi" w:cstheme="minorHAnsi"/>
        </w:rPr>
        <w:t xml:space="preserve"> for its financial year ending 31 December 2025</w:t>
      </w:r>
      <w:r w:rsidR="005F1F7B" w:rsidRPr="00D243A9">
        <w:rPr>
          <w:rFonts w:asciiTheme="minorHAnsi" w:hAnsiTheme="minorHAnsi" w:cstheme="minorHAnsi"/>
        </w:rPr>
        <w:t xml:space="preserve">, </w:t>
      </w:r>
      <w:r w:rsidR="005F1F7B" w:rsidRPr="00504AC9">
        <w:rPr>
          <w:rFonts w:asciiTheme="minorHAnsi" w:hAnsiTheme="minorHAnsi" w:cstheme="minorHAnsi"/>
        </w:rPr>
        <w:t xml:space="preserve">reporting a </w:t>
      </w:r>
      <w:r w:rsidR="005F1F7B" w:rsidRPr="00504AC9">
        <w:rPr>
          <w:rFonts w:asciiTheme="minorHAnsi" w:hAnsiTheme="minorHAnsi" w:cstheme="minorHAnsi"/>
          <w:b/>
          <w:bCs/>
        </w:rPr>
        <w:t>pre-tax profit</w:t>
      </w:r>
      <w:r w:rsidR="00737723" w:rsidRPr="00504AC9">
        <w:rPr>
          <w:rFonts w:asciiTheme="minorHAnsi" w:hAnsiTheme="minorHAnsi" w:cstheme="minorHAnsi"/>
          <w:b/>
          <w:bCs/>
        </w:rPr>
        <w:t xml:space="preserve"> </w:t>
      </w:r>
      <w:r w:rsidR="00737723" w:rsidRPr="00504AC9">
        <w:rPr>
          <w:rFonts w:asciiTheme="minorHAnsi" w:hAnsiTheme="minorHAnsi" w:cstheme="minorHAnsi"/>
        </w:rPr>
        <w:t>of AED 2.2 billion (USD 591 million)</w:t>
      </w:r>
      <w:r w:rsidR="005F1F7B" w:rsidRPr="00504AC9">
        <w:rPr>
          <w:rFonts w:asciiTheme="minorHAnsi" w:hAnsiTheme="minorHAnsi" w:cstheme="minorHAnsi"/>
        </w:rPr>
        <w:t>.</w:t>
      </w:r>
      <w:r w:rsidR="005F1F7B" w:rsidRPr="00D243A9">
        <w:rPr>
          <w:rFonts w:asciiTheme="minorHAnsi" w:hAnsiTheme="minorHAnsi" w:cstheme="minorHAnsi"/>
        </w:rPr>
        <w:t xml:space="preserve"> </w:t>
      </w:r>
      <w:r w:rsidR="005F1F7B" w:rsidRPr="00D243A9">
        <w:rPr>
          <w:rFonts w:asciiTheme="minorHAnsi" w:hAnsiTheme="minorHAnsi" w:cstheme="minorHAnsi"/>
          <w:b/>
          <w:bCs/>
        </w:rPr>
        <w:t>Total revenue</w:t>
      </w:r>
      <w:r w:rsidR="005F1F7B" w:rsidRPr="00D243A9">
        <w:rPr>
          <w:rFonts w:asciiTheme="minorHAnsi" w:hAnsiTheme="minorHAnsi" w:cstheme="minorHAnsi"/>
        </w:rPr>
        <w:t xml:space="preserve"> reached</w:t>
      </w:r>
      <w:r w:rsidR="00E96CE6" w:rsidRPr="00E96CE6">
        <w:t xml:space="preserve"> </w:t>
      </w:r>
      <w:r w:rsidR="00E96CE6" w:rsidRPr="00CA02F9">
        <w:rPr>
          <w:rFonts w:asciiTheme="minorHAnsi" w:hAnsiTheme="minorHAnsi" w:cstheme="minorHAnsi"/>
        </w:rPr>
        <w:t>AED 13.6 billion (USD 3.7 billion</w:t>
      </w:r>
      <w:r w:rsidR="00E96CE6" w:rsidRPr="00E96CE6">
        <w:rPr>
          <w:rFonts w:asciiTheme="minorHAnsi" w:hAnsiTheme="minorHAnsi" w:cstheme="minorHAnsi"/>
        </w:rPr>
        <w:t>)</w:t>
      </w:r>
      <w:r w:rsidR="00E96CE6">
        <w:rPr>
          <w:rFonts w:asciiTheme="minorHAnsi" w:hAnsiTheme="minorHAnsi" w:cstheme="minorHAnsi"/>
        </w:rPr>
        <w:t>,</w:t>
      </w:r>
      <w:r w:rsidR="005F1F7B" w:rsidRPr="00D243A9">
        <w:rPr>
          <w:rFonts w:asciiTheme="minorHAnsi" w:hAnsiTheme="minorHAnsi" w:cstheme="minorHAnsi"/>
        </w:rPr>
        <w:t xml:space="preserve"> representing an increase </w:t>
      </w:r>
      <w:r w:rsidR="005F1F7B" w:rsidRPr="004F6B68">
        <w:rPr>
          <w:rFonts w:asciiTheme="minorHAnsi" w:hAnsiTheme="minorHAnsi" w:cstheme="minorHAnsi"/>
        </w:rPr>
        <w:t>of</w:t>
      </w:r>
      <w:r w:rsidR="00E96CE6" w:rsidRPr="004F6B68">
        <w:rPr>
          <w:rFonts w:asciiTheme="minorHAnsi" w:hAnsiTheme="minorHAnsi" w:cstheme="minorHAnsi"/>
        </w:rPr>
        <w:t xml:space="preserve"> 6</w:t>
      </w:r>
      <w:r w:rsidR="005F1F7B" w:rsidRPr="004F6B68">
        <w:rPr>
          <w:rFonts w:asciiTheme="minorHAnsi" w:hAnsiTheme="minorHAnsi" w:cstheme="minorHAnsi"/>
        </w:rPr>
        <w:t>%</w:t>
      </w:r>
      <w:r w:rsidR="005F1F7B" w:rsidRPr="00D243A9">
        <w:rPr>
          <w:rFonts w:asciiTheme="minorHAnsi" w:hAnsiTheme="minorHAnsi" w:cstheme="minorHAnsi"/>
        </w:rPr>
        <w:t xml:space="preserve"> compared </w:t>
      </w:r>
      <w:r w:rsidR="005F1F7B" w:rsidRPr="00326272">
        <w:rPr>
          <w:rFonts w:asciiTheme="minorHAnsi" w:hAnsiTheme="minorHAnsi" w:cstheme="minorHAnsi"/>
        </w:rPr>
        <w:t>to AED 12.8 billion (USD 3.5 billion) in 2024.</w:t>
      </w:r>
    </w:p>
    <w:p w14:paraId="0037C992" w14:textId="77777777" w:rsidR="005F1F7B" w:rsidRPr="00D243A9" w:rsidRDefault="005F1F7B" w:rsidP="00D243A9">
      <w:pPr>
        <w:pStyle w:val="xxmsonormal"/>
        <w:shd w:val="clear" w:color="auto" w:fill="FFFFFF"/>
        <w:jc w:val="both"/>
        <w:textAlignment w:val="baseline"/>
        <w:rPr>
          <w:rFonts w:asciiTheme="minorHAnsi" w:hAnsiTheme="minorHAnsi" w:cstheme="minorHAnsi"/>
        </w:rPr>
      </w:pPr>
    </w:p>
    <w:p w14:paraId="0DB2702A" w14:textId="57D99686" w:rsidR="005F1F7B" w:rsidRPr="00D243A9" w:rsidRDefault="005F1F7B" w:rsidP="00D243A9">
      <w:pPr>
        <w:pStyle w:val="xxmsonormal"/>
        <w:shd w:val="clear" w:color="auto" w:fill="FFFFFF"/>
        <w:jc w:val="both"/>
        <w:textAlignment w:val="baseline"/>
        <w:rPr>
          <w:rFonts w:asciiTheme="minorHAnsi" w:hAnsiTheme="minorHAnsi" w:cstheme="minorHAnsi"/>
        </w:rPr>
      </w:pPr>
      <w:r w:rsidRPr="00D243A9">
        <w:rPr>
          <w:rFonts w:asciiTheme="minorHAnsi" w:hAnsiTheme="minorHAnsi" w:cstheme="minorHAnsi"/>
        </w:rPr>
        <w:t xml:space="preserve">flydubai’s </w:t>
      </w:r>
      <w:r w:rsidRPr="00D243A9">
        <w:rPr>
          <w:rFonts w:asciiTheme="minorHAnsi" w:hAnsiTheme="minorHAnsi" w:cstheme="minorHAnsi"/>
          <w:b/>
          <w:bCs/>
        </w:rPr>
        <w:t>profit after tax</w:t>
      </w:r>
      <w:r w:rsidRPr="00D243A9">
        <w:rPr>
          <w:rFonts w:asciiTheme="minorHAnsi" w:hAnsiTheme="minorHAnsi" w:cstheme="minorHAnsi"/>
        </w:rPr>
        <w:t xml:space="preserve"> stood at </w:t>
      </w:r>
      <w:r w:rsidR="00CA02F9" w:rsidRPr="00504AC9">
        <w:t>AED 1.9 billion (USD 531 million)</w:t>
      </w:r>
      <w:r w:rsidR="00E96CE6" w:rsidRPr="00504AC9">
        <w:rPr>
          <w:rFonts w:asciiTheme="minorHAnsi" w:hAnsiTheme="minorHAnsi" w:cstheme="minorHAnsi"/>
        </w:rPr>
        <w:t>,</w:t>
      </w:r>
      <w:r w:rsidR="00E96CE6" w:rsidRPr="00CA02F9">
        <w:rPr>
          <w:rFonts w:asciiTheme="minorHAnsi" w:hAnsiTheme="minorHAnsi" w:cstheme="minorHAnsi"/>
        </w:rPr>
        <w:t xml:space="preserve"> </w:t>
      </w:r>
      <w:r w:rsidR="00CA06FA" w:rsidRPr="00707360">
        <w:rPr>
          <w:rFonts w:asciiTheme="minorHAnsi" w:hAnsiTheme="minorHAnsi" w:cstheme="minorHAnsi"/>
        </w:rPr>
        <w:t>reflecting the strength of its</w:t>
      </w:r>
      <w:r w:rsidRPr="00707360">
        <w:rPr>
          <w:rFonts w:asciiTheme="minorHAnsi" w:hAnsiTheme="minorHAnsi" w:cstheme="minorHAnsi"/>
        </w:rPr>
        <w:t xml:space="preserve"> </w:t>
      </w:r>
      <w:r w:rsidRPr="00D243A9">
        <w:rPr>
          <w:rFonts w:asciiTheme="minorHAnsi" w:hAnsiTheme="minorHAnsi" w:cstheme="minorHAnsi"/>
        </w:rPr>
        <w:t xml:space="preserve">strategic network expansion, continued investment in innovation, enhancements to </w:t>
      </w:r>
      <w:r w:rsidR="007155BD">
        <w:rPr>
          <w:rFonts w:asciiTheme="minorHAnsi" w:hAnsiTheme="minorHAnsi" w:cstheme="minorHAnsi"/>
        </w:rPr>
        <w:t>its</w:t>
      </w:r>
      <w:r w:rsidRPr="00D243A9">
        <w:rPr>
          <w:rFonts w:asciiTheme="minorHAnsi" w:hAnsiTheme="minorHAnsi" w:cstheme="minorHAnsi"/>
        </w:rPr>
        <w:t xml:space="preserve"> customer experience and a sustained commitment to serving underserved markets</w:t>
      </w:r>
      <w:r w:rsidR="00EE7F60">
        <w:rPr>
          <w:rFonts w:asciiTheme="minorHAnsi" w:hAnsiTheme="minorHAnsi" w:cstheme="minorHAnsi"/>
        </w:rPr>
        <w:t>.</w:t>
      </w:r>
    </w:p>
    <w:p w14:paraId="06DE4A53" w14:textId="46CBE8A6" w:rsidR="006553D8" w:rsidRPr="00D243A9" w:rsidRDefault="006553D8" w:rsidP="00D243A9">
      <w:pPr>
        <w:pStyle w:val="xxmsonormal"/>
        <w:shd w:val="clear" w:color="auto" w:fill="FFFFFF"/>
        <w:jc w:val="both"/>
        <w:textAlignment w:val="baseline"/>
        <w:rPr>
          <w:rFonts w:asciiTheme="minorHAnsi" w:hAnsiTheme="minorHAnsi" w:cstheme="minorHAnsi"/>
        </w:rPr>
      </w:pPr>
    </w:p>
    <w:p w14:paraId="27E29FC7" w14:textId="2E5DBF6F" w:rsidR="00E668FB" w:rsidRPr="00853660" w:rsidRDefault="006553D8" w:rsidP="00E668FB">
      <w:pPr>
        <w:pStyle w:val="xxmsonormal"/>
        <w:jc w:val="both"/>
        <w:rPr>
          <w:rFonts w:asciiTheme="minorHAnsi" w:hAnsiTheme="minorHAnsi" w:cstheme="minorHAnsi"/>
          <w:rtl/>
        </w:rPr>
      </w:pPr>
      <w:bookmarkStart w:id="2" w:name="_Hlk222917293"/>
      <w:r w:rsidRPr="00D243A9">
        <w:rPr>
          <w:rFonts w:asciiTheme="minorHAnsi" w:hAnsiTheme="minorHAnsi" w:cstheme="minorHAnsi"/>
          <w:b/>
          <w:bCs/>
        </w:rPr>
        <w:t xml:space="preserve">Commenting on the airline’s </w:t>
      </w:r>
      <w:r w:rsidR="00176D6E" w:rsidRPr="00D243A9">
        <w:rPr>
          <w:rFonts w:asciiTheme="minorHAnsi" w:hAnsiTheme="minorHAnsi" w:cstheme="minorHAnsi"/>
          <w:b/>
          <w:bCs/>
        </w:rPr>
        <w:t>F</w:t>
      </w:r>
      <w:r w:rsidR="00A95187" w:rsidRPr="00D243A9">
        <w:rPr>
          <w:rFonts w:asciiTheme="minorHAnsi" w:hAnsiTheme="minorHAnsi" w:cstheme="minorHAnsi"/>
          <w:b/>
          <w:bCs/>
        </w:rPr>
        <w:t xml:space="preserve">inancial </w:t>
      </w:r>
      <w:r w:rsidR="00176D6E" w:rsidRPr="00D243A9">
        <w:rPr>
          <w:rFonts w:asciiTheme="minorHAnsi" w:hAnsiTheme="minorHAnsi" w:cstheme="minorHAnsi"/>
          <w:b/>
          <w:bCs/>
        </w:rPr>
        <w:t>R</w:t>
      </w:r>
      <w:r w:rsidR="00A95187" w:rsidRPr="00D243A9">
        <w:rPr>
          <w:rFonts w:asciiTheme="minorHAnsi" w:hAnsiTheme="minorHAnsi" w:cstheme="minorHAnsi"/>
          <w:b/>
          <w:bCs/>
        </w:rPr>
        <w:t>esults</w:t>
      </w:r>
      <w:r w:rsidRPr="00D243A9">
        <w:rPr>
          <w:rFonts w:asciiTheme="minorHAnsi" w:hAnsiTheme="minorHAnsi" w:cstheme="minorHAnsi"/>
          <w:b/>
          <w:bCs/>
        </w:rPr>
        <w:t>, His Highness Sheikh Ahmed bin Saeed Al Maktoum, Chairman of flydubai, said:</w:t>
      </w:r>
      <w:r w:rsidR="00F3227C" w:rsidRPr="00D243A9">
        <w:rPr>
          <w:rFonts w:asciiTheme="minorHAnsi" w:hAnsiTheme="minorHAnsi" w:cstheme="minorHAnsi"/>
        </w:rPr>
        <w:t xml:space="preserve"> </w:t>
      </w:r>
      <w:r w:rsidRPr="00853660">
        <w:rPr>
          <w:rFonts w:asciiTheme="minorHAnsi" w:hAnsiTheme="minorHAnsi" w:cstheme="minorHAnsi"/>
        </w:rPr>
        <w:t>“</w:t>
      </w:r>
      <w:r w:rsidR="002E7B10" w:rsidRPr="00853660">
        <w:rPr>
          <w:rFonts w:asciiTheme="minorHAnsi" w:hAnsiTheme="minorHAnsi" w:cstheme="minorHAnsi"/>
        </w:rPr>
        <w:t>U</w:t>
      </w:r>
      <w:r w:rsidR="00D53B41" w:rsidRPr="00853660">
        <w:rPr>
          <w:rFonts w:asciiTheme="minorHAnsi" w:hAnsiTheme="minorHAnsi" w:cstheme="minorHAnsi"/>
        </w:rPr>
        <w:t>nder the leadership of His Highness Sheikh Mohammed bin Rashid Al Maktoum, Vice President and Prime Minister of the UAE and Ruler of Dubai</w:t>
      </w:r>
      <w:r w:rsidR="002E7B10" w:rsidRPr="00853660">
        <w:rPr>
          <w:rFonts w:asciiTheme="minorHAnsi" w:hAnsiTheme="minorHAnsi" w:cstheme="minorHAnsi"/>
        </w:rPr>
        <w:t>, flydubai’s achievements align closely with Dubai’s broader economic vision, where a</w:t>
      </w:r>
      <w:r w:rsidR="00D53B41" w:rsidRPr="00853660">
        <w:rPr>
          <w:rFonts w:asciiTheme="minorHAnsi" w:hAnsiTheme="minorHAnsi" w:cstheme="minorHAnsi"/>
        </w:rPr>
        <w:t>viation remains a cornerstone of Dubai’s growth strategy</w:t>
      </w:r>
      <w:r w:rsidR="004A253D" w:rsidRPr="00853660">
        <w:rPr>
          <w:rFonts w:asciiTheme="minorHAnsi" w:hAnsiTheme="minorHAnsi" w:cstheme="minorHAnsi"/>
        </w:rPr>
        <w:t>.</w:t>
      </w:r>
      <w:r w:rsidR="00E668FB" w:rsidRPr="00853660">
        <w:rPr>
          <w:rFonts w:asciiTheme="minorHAnsi" w:hAnsiTheme="minorHAnsi" w:cstheme="minorHAnsi"/>
        </w:rPr>
        <w:t xml:space="preserve"> Reporting its fifth consecutive year of strong profitability is a clear testament to flydubai’s disciplined strategy and operational resilience.</w:t>
      </w:r>
    </w:p>
    <w:p w14:paraId="23FBD773" w14:textId="77777777" w:rsidR="00D53B41" w:rsidRPr="00853660" w:rsidRDefault="00D53B41" w:rsidP="00D243A9">
      <w:pPr>
        <w:pStyle w:val="xxmsonormal"/>
        <w:jc w:val="both"/>
        <w:rPr>
          <w:rFonts w:asciiTheme="minorHAnsi" w:hAnsiTheme="minorHAnsi" w:cstheme="minorHAnsi"/>
          <w:rtl/>
        </w:rPr>
      </w:pPr>
    </w:p>
    <w:p w14:paraId="3D32C795" w14:textId="3982784C" w:rsidR="00A300D7" w:rsidRPr="00853660" w:rsidRDefault="00A300D7" w:rsidP="00D243A9">
      <w:pPr>
        <w:pStyle w:val="xxmsonormal"/>
        <w:jc w:val="both"/>
        <w:rPr>
          <w:rFonts w:asciiTheme="minorHAnsi" w:hAnsiTheme="minorHAnsi" w:cstheme="minorHAnsi"/>
        </w:rPr>
      </w:pPr>
      <w:r w:rsidRPr="00853660">
        <w:rPr>
          <w:rFonts w:asciiTheme="minorHAnsi" w:hAnsiTheme="minorHAnsi" w:cstheme="minorHAnsi"/>
        </w:rPr>
        <w:t xml:space="preserve">Throughout this period, </w:t>
      </w:r>
      <w:r w:rsidR="00AE3675" w:rsidRPr="00853660">
        <w:rPr>
          <w:rFonts w:asciiTheme="minorHAnsi" w:hAnsiTheme="minorHAnsi" w:cstheme="minorHAnsi"/>
        </w:rPr>
        <w:t>the carrier</w:t>
      </w:r>
      <w:r w:rsidRPr="00853660">
        <w:rPr>
          <w:rFonts w:asciiTheme="minorHAnsi" w:hAnsiTheme="minorHAnsi" w:cstheme="minorHAnsi"/>
        </w:rPr>
        <w:t xml:space="preserve"> successfully leveraged Dubai’s position as a leading global aviation hub, enabling </w:t>
      </w:r>
      <w:r w:rsidR="00AE3675" w:rsidRPr="00853660">
        <w:rPr>
          <w:rFonts w:asciiTheme="minorHAnsi" w:hAnsiTheme="minorHAnsi" w:cstheme="minorHAnsi"/>
        </w:rPr>
        <w:t>it</w:t>
      </w:r>
      <w:r w:rsidRPr="00853660">
        <w:rPr>
          <w:rFonts w:asciiTheme="minorHAnsi" w:hAnsiTheme="minorHAnsi" w:cstheme="minorHAnsi"/>
        </w:rPr>
        <w:t xml:space="preserve"> to capture strong</w:t>
      </w:r>
      <w:r w:rsidR="00050AD8" w:rsidRPr="00853660">
        <w:rPr>
          <w:rFonts w:asciiTheme="minorHAnsi" w:hAnsiTheme="minorHAnsi" w:cstheme="minorHAnsi"/>
        </w:rPr>
        <w:t>, sustained passenger demand</w:t>
      </w:r>
      <w:r w:rsidR="00853660">
        <w:rPr>
          <w:rFonts w:asciiTheme="minorHAnsi" w:hAnsiTheme="minorHAnsi" w:cstheme="minorHAnsi"/>
        </w:rPr>
        <w:t xml:space="preserve">. </w:t>
      </w:r>
      <w:r w:rsidRPr="00853660">
        <w:rPr>
          <w:rFonts w:asciiTheme="minorHAnsi" w:hAnsiTheme="minorHAnsi" w:cstheme="minorHAnsi"/>
        </w:rPr>
        <w:t xml:space="preserve">At the same time, </w:t>
      </w:r>
      <w:r w:rsidR="00AE3675" w:rsidRPr="00853660">
        <w:rPr>
          <w:rFonts w:asciiTheme="minorHAnsi" w:hAnsiTheme="minorHAnsi" w:cstheme="minorHAnsi"/>
        </w:rPr>
        <w:t>flydubai</w:t>
      </w:r>
      <w:r w:rsidRPr="00853660">
        <w:rPr>
          <w:rFonts w:asciiTheme="minorHAnsi" w:hAnsiTheme="minorHAnsi" w:cstheme="minorHAnsi"/>
        </w:rPr>
        <w:t xml:space="preserve"> maintained a sharp focus on </w:t>
      </w:r>
      <w:r w:rsidR="00401937" w:rsidRPr="00853660">
        <w:rPr>
          <w:rFonts w:asciiTheme="minorHAnsi" w:hAnsiTheme="minorHAnsi" w:cstheme="minorHAnsi"/>
        </w:rPr>
        <w:t>operational efficiency</w:t>
      </w:r>
      <w:r w:rsidRPr="00853660">
        <w:rPr>
          <w:rFonts w:asciiTheme="minorHAnsi" w:hAnsiTheme="minorHAnsi" w:cstheme="minorHAnsi"/>
        </w:rPr>
        <w:t xml:space="preserve">, ensuring </w:t>
      </w:r>
      <w:r w:rsidR="00AE3675" w:rsidRPr="00853660">
        <w:rPr>
          <w:rFonts w:asciiTheme="minorHAnsi" w:hAnsiTheme="minorHAnsi" w:cstheme="minorHAnsi"/>
        </w:rPr>
        <w:t>it</w:t>
      </w:r>
      <w:r w:rsidRPr="00853660">
        <w:rPr>
          <w:rFonts w:asciiTheme="minorHAnsi" w:hAnsiTheme="minorHAnsi" w:cstheme="minorHAnsi"/>
        </w:rPr>
        <w:t xml:space="preserve"> continue</w:t>
      </w:r>
      <w:r w:rsidR="00AE3675" w:rsidRPr="00853660">
        <w:rPr>
          <w:rFonts w:asciiTheme="minorHAnsi" w:hAnsiTheme="minorHAnsi" w:cstheme="minorHAnsi"/>
        </w:rPr>
        <w:t>s</w:t>
      </w:r>
      <w:r w:rsidRPr="00853660">
        <w:rPr>
          <w:rFonts w:asciiTheme="minorHAnsi" w:hAnsiTheme="minorHAnsi" w:cstheme="minorHAnsi"/>
        </w:rPr>
        <w:t xml:space="preserve"> to invest </w:t>
      </w:r>
      <w:r w:rsidR="00AE3675" w:rsidRPr="00853660">
        <w:rPr>
          <w:rFonts w:asciiTheme="minorHAnsi" w:hAnsiTheme="minorHAnsi" w:cstheme="minorHAnsi"/>
        </w:rPr>
        <w:t>wisely</w:t>
      </w:r>
      <w:r w:rsidRPr="00853660">
        <w:rPr>
          <w:rFonts w:asciiTheme="minorHAnsi" w:hAnsiTheme="minorHAnsi" w:cstheme="minorHAnsi"/>
        </w:rPr>
        <w:t xml:space="preserve"> in </w:t>
      </w:r>
      <w:r w:rsidR="00AE3675" w:rsidRPr="00853660">
        <w:rPr>
          <w:rFonts w:asciiTheme="minorHAnsi" w:hAnsiTheme="minorHAnsi" w:cstheme="minorHAnsi"/>
        </w:rPr>
        <w:t>its</w:t>
      </w:r>
      <w:r w:rsidRPr="00853660">
        <w:rPr>
          <w:rFonts w:asciiTheme="minorHAnsi" w:hAnsiTheme="minorHAnsi" w:cstheme="minorHAnsi"/>
        </w:rPr>
        <w:t xml:space="preserve"> fleet, technology</w:t>
      </w:r>
      <w:r w:rsidR="00360F13" w:rsidRPr="00853660">
        <w:rPr>
          <w:rFonts w:asciiTheme="minorHAnsi" w:hAnsiTheme="minorHAnsi" w:cstheme="minorHAnsi"/>
        </w:rPr>
        <w:t xml:space="preserve">, </w:t>
      </w:r>
      <w:r w:rsidR="00CE5AB1" w:rsidRPr="00853660">
        <w:rPr>
          <w:rFonts w:asciiTheme="minorHAnsi" w:hAnsiTheme="minorHAnsi" w:cstheme="minorHAnsi"/>
        </w:rPr>
        <w:t>product</w:t>
      </w:r>
      <w:r w:rsidR="00853660" w:rsidRPr="00853660">
        <w:rPr>
          <w:rFonts w:asciiTheme="minorHAnsi" w:hAnsiTheme="minorHAnsi" w:cstheme="minorHAnsi"/>
        </w:rPr>
        <w:t xml:space="preserve"> </w:t>
      </w:r>
      <w:r w:rsidR="00CE5AB1" w:rsidRPr="00853660">
        <w:rPr>
          <w:rFonts w:asciiTheme="minorHAnsi" w:hAnsiTheme="minorHAnsi" w:cstheme="minorHAnsi"/>
        </w:rPr>
        <w:t xml:space="preserve">and </w:t>
      </w:r>
      <w:r w:rsidRPr="00853660">
        <w:rPr>
          <w:rFonts w:asciiTheme="minorHAnsi" w:hAnsiTheme="minorHAnsi" w:cstheme="minorHAnsi"/>
        </w:rPr>
        <w:t xml:space="preserve">talent </w:t>
      </w:r>
      <w:r w:rsidR="00AE3675" w:rsidRPr="00853660">
        <w:rPr>
          <w:rFonts w:asciiTheme="minorHAnsi" w:hAnsiTheme="minorHAnsi" w:cstheme="minorHAnsi"/>
        </w:rPr>
        <w:t xml:space="preserve">development to support its </w:t>
      </w:r>
      <w:r w:rsidR="00347429" w:rsidRPr="00853660">
        <w:rPr>
          <w:rFonts w:asciiTheme="minorHAnsi" w:hAnsiTheme="minorHAnsi" w:cstheme="minorHAnsi"/>
        </w:rPr>
        <w:t>ambitious</w:t>
      </w:r>
      <w:r w:rsidR="00AE3675" w:rsidRPr="00853660">
        <w:rPr>
          <w:rFonts w:asciiTheme="minorHAnsi" w:hAnsiTheme="minorHAnsi" w:cstheme="minorHAnsi"/>
        </w:rPr>
        <w:t xml:space="preserve"> future </w:t>
      </w:r>
      <w:r w:rsidR="00347429" w:rsidRPr="00853660">
        <w:rPr>
          <w:rFonts w:asciiTheme="minorHAnsi" w:hAnsiTheme="minorHAnsi" w:cstheme="minorHAnsi"/>
        </w:rPr>
        <w:t>growth</w:t>
      </w:r>
      <w:r w:rsidRPr="00853660">
        <w:rPr>
          <w:rFonts w:asciiTheme="minorHAnsi" w:hAnsiTheme="minorHAnsi" w:cstheme="minorHAnsi"/>
        </w:rPr>
        <w:t>.</w:t>
      </w:r>
      <w:r w:rsidR="00B433BC">
        <w:rPr>
          <w:rFonts w:asciiTheme="minorHAnsi" w:hAnsiTheme="minorHAnsi" w:cstheme="minorHAnsi"/>
        </w:rPr>
        <w:t>”</w:t>
      </w:r>
    </w:p>
    <w:p w14:paraId="601F6496" w14:textId="77777777" w:rsidR="00A300D7" w:rsidRPr="00D243A9" w:rsidRDefault="00A300D7" w:rsidP="00D243A9">
      <w:pPr>
        <w:pStyle w:val="xxmsonormal"/>
        <w:jc w:val="both"/>
        <w:rPr>
          <w:rFonts w:asciiTheme="minorHAnsi" w:hAnsiTheme="minorHAnsi" w:cstheme="minorHAnsi"/>
        </w:rPr>
      </w:pPr>
    </w:p>
    <w:p w14:paraId="3EA7167E" w14:textId="7FAFDEA9" w:rsidR="00D01CFE" w:rsidRPr="006A30B2" w:rsidRDefault="00B433BC" w:rsidP="00853660">
      <w:pPr>
        <w:pStyle w:val="xxmsonormal"/>
        <w:jc w:val="both"/>
        <w:rPr>
          <w:rFonts w:asciiTheme="minorHAnsi" w:hAnsiTheme="minorHAnsi" w:cstheme="minorHAnsi"/>
        </w:rPr>
      </w:pPr>
      <w:r w:rsidRPr="00B433BC">
        <w:rPr>
          <w:rFonts w:asciiTheme="minorHAnsi" w:hAnsiTheme="minorHAnsi" w:cstheme="minorHAnsi"/>
          <w:b/>
          <w:bCs/>
        </w:rPr>
        <w:t>H.H. Sheikh Ahmed added:</w:t>
      </w:r>
      <w:r>
        <w:rPr>
          <w:rFonts w:asciiTheme="minorHAnsi" w:hAnsiTheme="minorHAnsi" w:cstheme="minorHAnsi"/>
        </w:rPr>
        <w:t xml:space="preserve"> “</w:t>
      </w:r>
      <w:r w:rsidR="00347429" w:rsidRPr="006A30B2">
        <w:rPr>
          <w:rFonts w:asciiTheme="minorHAnsi" w:hAnsiTheme="minorHAnsi" w:cstheme="minorHAnsi"/>
        </w:rPr>
        <w:t xml:space="preserve">I am proud to see </w:t>
      </w:r>
      <w:r w:rsidR="00A300D7" w:rsidRPr="006A30B2">
        <w:rPr>
          <w:rFonts w:asciiTheme="minorHAnsi" w:hAnsiTheme="minorHAnsi" w:cstheme="minorHAnsi"/>
        </w:rPr>
        <w:t>flydubai play a central role in supporting</w:t>
      </w:r>
      <w:r w:rsidR="00853660" w:rsidRPr="006A30B2">
        <w:t xml:space="preserve"> </w:t>
      </w:r>
      <w:r w:rsidR="00853660" w:rsidRPr="006A30B2">
        <w:rPr>
          <w:rFonts w:asciiTheme="minorHAnsi" w:hAnsiTheme="minorHAnsi" w:cstheme="minorHAnsi"/>
        </w:rPr>
        <w:t>His Highness Sheikh Hamdan bin Mohammed bin Rashid Al Maktoum, Crown Prince of Dubai</w:t>
      </w:r>
      <w:r w:rsidR="0003788D">
        <w:rPr>
          <w:rFonts w:asciiTheme="minorHAnsi" w:hAnsiTheme="minorHAnsi" w:cstheme="minorHAnsi"/>
        </w:rPr>
        <w:t xml:space="preserve"> </w:t>
      </w:r>
      <w:r w:rsidR="0003788D" w:rsidRPr="00504AC9">
        <w:rPr>
          <w:rFonts w:asciiTheme="minorHAnsi" w:hAnsiTheme="minorHAnsi" w:cstheme="minorHAnsi"/>
        </w:rPr>
        <w:t>and Chairman of The Executive Council of Dubai</w:t>
      </w:r>
      <w:r w:rsidR="006A30B2">
        <w:rPr>
          <w:rFonts w:asciiTheme="minorHAnsi" w:hAnsiTheme="minorHAnsi" w:cstheme="minorHAnsi"/>
        </w:rPr>
        <w:t>,</w:t>
      </w:r>
      <w:r w:rsidR="00853660" w:rsidRPr="006A30B2">
        <w:rPr>
          <w:rFonts w:asciiTheme="minorHAnsi" w:hAnsiTheme="minorHAnsi" w:cstheme="minorHAnsi"/>
        </w:rPr>
        <w:t xml:space="preserve"> in driving the implementation and progress of the Dubai Economic Agenda (D33) to become a leading global aviation hub. B</w:t>
      </w:r>
      <w:r w:rsidR="0059721A" w:rsidRPr="006A30B2">
        <w:rPr>
          <w:rFonts w:asciiTheme="minorHAnsi" w:hAnsiTheme="minorHAnsi" w:cstheme="minorHAnsi"/>
        </w:rPr>
        <w:t>y connecting</w:t>
      </w:r>
      <w:r w:rsidR="00DB2E82" w:rsidRPr="006A30B2">
        <w:rPr>
          <w:rFonts w:asciiTheme="minorHAnsi" w:hAnsiTheme="minorHAnsi" w:cstheme="minorHAnsi"/>
        </w:rPr>
        <w:t xml:space="preserve"> the city</w:t>
      </w:r>
      <w:r w:rsidR="0059721A" w:rsidRPr="006A30B2">
        <w:rPr>
          <w:rFonts w:asciiTheme="minorHAnsi" w:hAnsiTheme="minorHAnsi" w:cstheme="minorHAnsi"/>
        </w:rPr>
        <w:t xml:space="preserve"> to more</w:t>
      </w:r>
      <w:r w:rsidR="00662181" w:rsidRPr="006A30B2">
        <w:rPr>
          <w:rFonts w:asciiTheme="minorHAnsi" w:hAnsiTheme="minorHAnsi" w:cstheme="minorHAnsi"/>
        </w:rPr>
        <w:t xml:space="preserve"> than </w:t>
      </w:r>
      <w:r w:rsidR="00662181" w:rsidRPr="006A30B2">
        <w:rPr>
          <w:rFonts w:asciiTheme="minorHAnsi" w:hAnsiTheme="minorHAnsi" w:cstheme="minorHAnsi"/>
          <w:b/>
          <w:bCs/>
        </w:rPr>
        <w:t>100</w:t>
      </w:r>
      <w:r w:rsidR="0059721A" w:rsidRPr="006A30B2">
        <w:rPr>
          <w:rFonts w:asciiTheme="minorHAnsi" w:hAnsiTheme="minorHAnsi" w:cstheme="minorHAnsi"/>
          <w:b/>
          <w:bCs/>
        </w:rPr>
        <w:t xml:space="preserve"> </w:t>
      </w:r>
      <w:r w:rsidR="0059721A" w:rsidRPr="006A30B2">
        <w:rPr>
          <w:rFonts w:asciiTheme="minorHAnsi" w:hAnsiTheme="minorHAnsi" w:cstheme="minorHAnsi"/>
        </w:rPr>
        <w:t>underserved markets,</w:t>
      </w:r>
      <w:r w:rsidR="00450B57" w:rsidRPr="006A30B2">
        <w:rPr>
          <w:rFonts w:asciiTheme="minorHAnsi" w:hAnsiTheme="minorHAnsi" w:cstheme="minorHAnsi"/>
        </w:rPr>
        <w:t xml:space="preserve"> flydubai</w:t>
      </w:r>
      <w:r w:rsidR="0059721A" w:rsidRPr="006A30B2">
        <w:rPr>
          <w:rFonts w:asciiTheme="minorHAnsi" w:hAnsiTheme="minorHAnsi" w:cstheme="minorHAnsi"/>
        </w:rPr>
        <w:t xml:space="preserve"> has contributed to </w:t>
      </w:r>
      <w:r w:rsidR="00A300D7" w:rsidRPr="006A30B2">
        <w:rPr>
          <w:rFonts w:asciiTheme="minorHAnsi" w:hAnsiTheme="minorHAnsi" w:cstheme="minorHAnsi"/>
        </w:rPr>
        <w:t xml:space="preserve">attracting </w:t>
      </w:r>
      <w:r w:rsidR="0059721A" w:rsidRPr="006A30B2">
        <w:rPr>
          <w:rFonts w:asciiTheme="minorHAnsi" w:hAnsiTheme="minorHAnsi" w:cstheme="minorHAnsi"/>
        </w:rPr>
        <w:t xml:space="preserve">more </w:t>
      </w:r>
      <w:r w:rsidR="00A300D7" w:rsidRPr="006A30B2">
        <w:rPr>
          <w:rFonts w:asciiTheme="minorHAnsi" w:hAnsiTheme="minorHAnsi" w:cstheme="minorHAnsi"/>
        </w:rPr>
        <w:t xml:space="preserve">visitors and reinforcing </w:t>
      </w:r>
      <w:r w:rsidR="00DB2E82" w:rsidRPr="006A30B2">
        <w:rPr>
          <w:rFonts w:asciiTheme="minorHAnsi" w:hAnsiTheme="minorHAnsi" w:cstheme="minorHAnsi"/>
        </w:rPr>
        <w:t>Dubai’s</w:t>
      </w:r>
      <w:r w:rsidR="00A300D7" w:rsidRPr="006A30B2">
        <w:rPr>
          <w:rFonts w:asciiTheme="minorHAnsi" w:hAnsiTheme="minorHAnsi" w:cstheme="minorHAnsi"/>
        </w:rPr>
        <w:t xml:space="preserve"> position as a gateway for trade, tourism and opportunity.”</w:t>
      </w:r>
    </w:p>
    <w:bookmarkEnd w:id="2"/>
    <w:p w14:paraId="49C6AB4F" w14:textId="77777777" w:rsidR="00E97B08" w:rsidRPr="00D243A9" w:rsidRDefault="00E97B08" w:rsidP="00D243A9">
      <w:pPr>
        <w:pStyle w:val="xxmsonormal"/>
        <w:jc w:val="both"/>
        <w:rPr>
          <w:rFonts w:asciiTheme="minorHAnsi" w:hAnsiTheme="minorHAnsi" w:cstheme="minorHAnsi"/>
          <w:b/>
          <w:bCs/>
          <w:u w:val="single"/>
        </w:rPr>
      </w:pPr>
    </w:p>
    <w:p w14:paraId="384ABCD7" w14:textId="6460C2D2" w:rsidR="00B1533B" w:rsidRPr="00D243A9" w:rsidRDefault="00B1533B" w:rsidP="00D243A9">
      <w:pPr>
        <w:pStyle w:val="xxmsonormal"/>
        <w:shd w:val="clear" w:color="auto" w:fill="FFFFFF"/>
        <w:jc w:val="both"/>
        <w:textAlignment w:val="baseline"/>
        <w:rPr>
          <w:rFonts w:asciiTheme="minorHAnsi" w:eastAsia="Times New Roman" w:hAnsiTheme="minorHAnsi" w:cstheme="minorHAnsi"/>
          <w:color w:val="212121"/>
        </w:rPr>
      </w:pPr>
      <w:r w:rsidRPr="00326272">
        <w:rPr>
          <w:rFonts w:asciiTheme="minorHAnsi" w:eastAsia="Times New Roman" w:hAnsiTheme="minorHAnsi" w:cstheme="minorHAnsi"/>
          <w:color w:val="212121"/>
        </w:rPr>
        <w:t xml:space="preserve">flydubai maintained a robust </w:t>
      </w:r>
      <w:r w:rsidRPr="00326272">
        <w:rPr>
          <w:rFonts w:asciiTheme="minorHAnsi" w:eastAsia="Times New Roman" w:hAnsiTheme="minorHAnsi" w:cstheme="minorHAnsi"/>
          <w:b/>
          <w:bCs/>
          <w:color w:val="212121"/>
        </w:rPr>
        <w:t>EBITDA</w:t>
      </w:r>
      <w:r w:rsidRPr="00326272">
        <w:rPr>
          <w:rFonts w:asciiTheme="minorHAnsi" w:eastAsia="Times New Roman" w:hAnsiTheme="minorHAnsi" w:cstheme="minorHAnsi"/>
          <w:color w:val="212121"/>
        </w:rPr>
        <w:t xml:space="preserve"> of AED 4.0 billion (USD 1.1 billion) in 2025. </w:t>
      </w:r>
      <w:r w:rsidRPr="00326272">
        <w:rPr>
          <w:rFonts w:asciiTheme="minorHAnsi" w:eastAsia="Times New Roman" w:hAnsiTheme="minorHAnsi" w:cstheme="minorHAnsi"/>
          <w:b/>
          <w:bCs/>
          <w:color w:val="212121"/>
        </w:rPr>
        <w:t xml:space="preserve">Fuel </w:t>
      </w:r>
      <w:r w:rsidR="00E31707">
        <w:rPr>
          <w:rFonts w:asciiTheme="minorHAnsi" w:eastAsia="Times New Roman" w:hAnsiTheme="minorHAnsi" w:cstheme="minorHAnsi"/>
          <w:b/>
          <w:bCs/>
          <w:color w:val="212121"/>
        </w:rPr>
        <w:t>c</w:t>
      </w:r>
      <w:r w:rsidRPr="00326272">
        <w:rPr>
          <w:rFonts w:asciiTheme="minorHAnsi" w:eastAsia="Times New Roman" w:hAnsiTheme="minorHAnsi" w:cstheme="minorHAnsi"/>
          <w:b/>
          <w:bCs/>
          <w:color w:val="212121"/>
        </w:rPr>
        <w:t>ost</w:t>
      </w:r>
      <w:r w:rsidRPr="00326272">
        <w:rPr>
          <w:rFonts w:asciiTheme="minorHAnsi" w:eastAsia="Times New Roman" w:hAnsiTheme="minorHAnsi" w:cstheme="minorHAnsi"/>
          <w:color w:val="212121"/>
        </w:rPr>
        <w:t xml:space="preserve"> accounted for </w:t>
      </w:r>
      <w:r w:rsidRPr="00326272">
        <w:rPr>
          <w:rFonts w:asciiTheme="minorHAnsi" w:eastAsia="Times New Roman" w:hAnsiTheme="minorHAnsi" w:cstheme="minorHAnsi"/>
          <w:b/>
          <w:bCs/>
          <w:color w:val="212121"/>
        </w:rPr>
        <w:t>2</w:t>
      </w:r>
      <w:r w:rsidR="000B1416" w:rsidRPr="00326272">
        <w:rPr>
          <w:rFonts w:asciiTheme="minorHAnsi" w:eastAsia="Times New Roman" w:hAnsiTheme="minorHAnsi" w:cstheme="minorHAnsi"/>
          <w:b/>
          <w:bCs/>
          <w:color w:val="212121"/>
        </w:rPr>
        <w:t>5</w:t>
      </w:r>
      <w:r w:rsidRPr="00326272">
        <w:rPr>
          <w:rFonts w:asciiTheme="minorHAnsi" w:eastAsia="Times New Roman" w:hAnsiTheme="minorHAnsi" w:cstheme="minorHAnsi"/>
          <w:b/>
          <w:bCs/>
          <w:color w:val="212121"/>
        </w:rPr>
        <w:t>%</w:t>
      </w:r>
      <w:r w:rsidRPr="00326272">
        <w:rPr>
          <w:rFonts w:asciiTheme="minorHAnsi" w:eastAsia="Times New Roman" w:hAnsiTheme="minorHAnsi" w:cstheme="minorHAnsi"/>
          <w:color w:val="212121"/>
        </w:rPr>
        <w:t xml:space="preserve"> of total operating expenses, while the </w:t>
      </w:r>
      <w:r w:rsidR="00480472">
        <w:rPr>
          <w:rFonts w:asciiTheme="minorHAnsi" w:eastAsia="Times New Roman" w:hAnsiTheme="minorHAnsi" w:cstheme="minorHAnsi"/>
          <w:b/>
          <w:bCs/>
          <w:color w:val="212121"/>
        </w:rPr>
        <w:t>c</w:t>
      </w:r>
      <w:r w:rsidRPr="00326272">
        <w:rPr>
          <w:rFonts w:asciiTheme="minorHAnsi" w:eastAsia="Times New Roman" w:hAnsiTheme="minorHAnsi" w:cstheme="minorHAnsi"/>
          <w:b/>
          <w:bCs/>
          <w:color w:val="212121"/>
        </w:rPr>
        <w:t xml:space="preserve">losing </w:t>
      </w:r>
      <w:r w:rsidR="00480472">
        <w:rPr>
          <w:rFonts w:asciiTheme="minorHAnsi" w:eastAsia="Times New Roman" w:hAnsiTheme="minorHAnsi" w:cstheme="minorHAnsi"/>
          <w:b/>
          <w:bCs/>
          <w:color w:val="212121"/>
        </w:rPr>
        <w:t>c</w:t>
      </w:r>
      <w:r w:rsidRPr="00326272">
        <w:rPr>
          <w:rFonts w:asciiTheme="minorHAnsi" w:eastAsia="Times New Roman" w:hAnsiTheme="minorHAnsi" w:cstheme="minorHAnsi"/>
          <w:b/>
          <w:bCs/>
          <w:color w:val="212121"/>
        </w:rPr>
        <w:t xml:space="preserve">ash and </w:t>
      </w:r>
      <w:r w:rsidR="00480472">
        <w:rPr>
          <w:rFonts w:asciiTheme="minorHAnsi" w:eastAsia="Times New Roman" w:hAnsiTheme="minorHAnsi" w:cstheme="minorHAnsi"/>
          <w:b/>
          <w:bCs/>
          <w:color w:val="212121"/>
        </w:rPr>
        <w:t>b</w:t>
      </w:r>
      <w:r w:rsidRPr="00326272">
        <w:rPr>
          <w:rFonts w:asciiTheme="minorHAnsi" w:eastAsia="Times New Roman" w:hAnsiTheme="minorHAnsi" w:cstheme="minorHAnsi"/>
          <w:b/>
          <w:bCs/>
          <w:color w:val="212121"/>
        </w:rPr>
        <w:t xml:space="preserve">ank </w:t>
      </w:r>
      <w:r w:rsidR="00480472">
        <w:rPr>
          <w:rFonts w:asciiTheme="minorHAnsi" w:eastAsia="Times New Roman" w:hAnsiTheme="minorHAnsi" w:cstheme="minorHAnsi"/>
          <w:b/>
          <w:bCs/>
          <w:color w:val="212121"/>
        </w:rPr>
        <w:t>b</w:t>
      </w:r>
      <w:r w:rsidRPr="00326272">
        <w:rPr>
          <w:rFonts w:asciiTheme="minorHAnsi" w:eastAsia="Times New Roman" w:hAnsiTheme="minorHAnsi" w:cstheme="minorHAnsi"/>
          <w:b/>
          <w:bCs/>
          <w:color w:val="212121"/>
        </w:rPr>
        <w:t>alance</w:t>
      </w:r>
      <w:r w:rsidR="00480472">
        <w:rPr>
          <w:rFonts w:asciiTheme="minorHAnsi" w:eastAsia="Times New Roman" w:hAnsiTheme="minorHAnsi" w:cstheme="minorHAnsi"/>
          <w:color w:val="212121"/>
        </w:rPr>
        <w:t xml:space="preserve"> </w:t>
      </w:r>
      <w:r w:rsidR="00480472" w:rsidRPr="00480472">
        <w:rPr>
          <w:rFonts w:asciiTheme="minorHAnsi" w:eastAsia="Times New Roman" w:hAnsiTheme="minorHAnsi" w:cstheme="minorHAnsi"/>
          <w:b/>
          <w:bCs/>
          <w:color w:val="212121"/>
        </w:rPr>
        <w:t>(</w:t>
      </w:r>
      <w:r w:rsidRPr="00480472">
        <w:rPr>
          <w:rFonts w:asciiTheme="minorHAnsi" w:eastAsia="Times New Roman" w:hAnsiTheme="minorHAnsi" w:cstheme="minorHAnsi"/>
          <w:b/>
          <w:bCs/>
          <w:color w:val="212121"/>
        </w:rPr>
        <w:t>including pre-delivery payments</w:t>
      </w:r>
      <w:r w:rsidR="00480472" w:rsidRPr="00480472">
        <w:rPr>
          <w:rFonts w:asciiTheme="minorHAnsi" w:eastAsia="Times New Roman" w:hAnsiTheme="minorHAnsi" w:cstheme="minorHAnsi"/>
          <w:b/>
          <w:bCs/>
          <w:color w:val="212121"/>
        </w:rPr>
        <w:t>)</w:t>
      </w:r>
      <w:r w:rsidRPr="00326272">
        <w:rPr>
          <w:rFonts w:asciiTheme="minorHAnsi" w:eastAsia="Times New Roman" w:hAnsiTheme="minorHAnsi" w:cstheme="minorHAnsi"/>
          <w:color w:val="212121"/>
        </w:rPr>
        <w:t xml:space="preserve"> </w:t>
      </w:r>
      <w:r w:rsidR="00EB4383" w:rsidRPr="00326272">
        <w:rPr>
          <w:rFonts w:asciiTheme="minorHAnsi" w:eastAsia="Times New Roman" w:hAnsiTheme="minorHAnsi" w:cstheme="minorHAnsi"/>
          <w:color w:val="212121"/>
        </w:rPr>
        <w:t>totalled</w:t>
      </w:r>
      <w:r w:rsidRPr="00326272">
        <w:rPr>
          <w:rFonts w:asciiTheme="minorHAnsi" w:eastAsia="Times New Roman" w:hAnsiTheme="minorHAnsi" w:cstheme="minorHAnsi"/>
          <w:color w:val="212121"/>
        </w:rPr>
        <w:t xml:space="preserve"> AED 5.6 billion (USD 1.5 billion). Enhancing operational efficiency remained a strategic</w:t>
      </w:r>
      <w:r w:rsidRPr="00D243A9">
        <w:rPr>
          <w:rFonts w:asciiTheme="minorHAnsi" w:eastAsia="Times New Roman" w:hAnsiTheme="minorHAnsi" w:cstheme="minorHAnsi"/>
          <w:color w:val="212121"/>
        </w:rPr>
        <w:t xml:space="preserve"> </w:t>
      </w:r>
      <w:r w:rsidRPr="00326272">
        <w:rPr>
          <w:rFonts w:asciiTheme="minorHAnsi" w:eastAsia="Times New Roman" w:hAnsiTheme="minorHAnsi" w:cstheme="minorHAnsi"/>
          <w:color w:val="212121"/>
        </w:rPr>
        <w:t xml:space="preserve">priority, with </w:t>
      </w:r>
      <w:r w:rsidRPr="00326272">
        <w:rPr>
          <w:rFonts w:asciiTheme="minorHAnsi" w:eastAsia="Times New Roman" w:hAnsiTheme="minorHAnsi" w:cstheme="minorHAnsi"/>
          <w:b/>
          <w:bCs/>
          <w:color w:val="212121"/>
        </w:rPr>
        <w:t>on-time departure performance</w:t>
      </w:r>
      <w:r w:rsidRPr="00326272">
        <w:rPr>
          <w:rFonts w:asciiTheme="minorHAnsi" w:eastAsia="Times New Roman" w:hAnsiTheme="minorHAnsi" w:cstheme="minorHAnsi"/>
          <w:color w:val="212121"/>
        </w:rPr>
        <w:t xml:space="preserve"> across the network improving by </w:t>
      </w:r>
      <w:r w:rsidR="00971B8E" w:rsidRPr="00501127">
        <w:rPr>
          <w:rFonts w:asciiTheme="minorHAnsi" w:eastAsia="Times New Roman" w:hAnsiTheme="minorHAnsi" w:cstheme="minorHAnsi"/>
          <w:b/>
          <w:bCs/>
        </w:rPr>
        <w:t>6%</w:t>
      </w:r>
      <w:r w:rsidRPr="00501127">
        <w:rPr>
          <w:rFonts w:asciiTheme="minorHAnsi" w:eastAsia="Times New Roman" w:hAnsiTheme="minorHAnsi" w:cstheme="minorHAnsi"/>
        </w:rPr>
        <w:t xml:space="preserve"> </w:t>
      </w:r>
      <w:r w:rsidR="007B36F2" w:rsidRPr="00326272">
        <w:rPr>
          <w:rFonts w:asciiTheme="minorHAnsi" w:eastAsia="Times New Roman" w:hAnsiTheme="minorHAnsi" w:cstheme="minorHAnsi"/>
          <w:color w:val="212121"/>
        </w:rPr>
        <w:t>compared to 2024.</w:t>
      </w:r>
    </w:p>
    <w:p w14:paraId="263B4898" w14:textId="77777777" w:rsidR="00B1533B" w:rsidRPr="00D243A9" w:rsidRDefault="00B1533B" w:rsidP="00D243A9">
      <w:pPr>
        <w:pStyle w:val="xxmsonormal"/>
        <w:shd w:val="clear" w:color="auto" w:fill="FFFFFF"/>
        <w:jc w:val="both"/>
        <w:textAlignment w:val="baseline"/>
        <w:rPr>
          <w:rFonts w:asciiTheme="minorHAnsi" w:eastAsia="Times New Roman" w:hAnsiTheme="minorHAnsi" w:cstheme="minorHAnsi"/>
          <w:color w:val="212121"/>
        </w:rPr>
      </w:pPr>
    </w:p>
    <w:p w14:paraId="4B5CA372" w14:textId="7856417E" w:rsidR="00B1533B" w:rsidRPr="00D243A9" w:rsidRDefault="00B1533B" w:rsidP="00D243A9">
      <w:pPr>
        <w:pStyle w:val="xxmsonormal"/>
        <w:shd w:val="clear" w:color="auto" w:fill="FFFFFF"/>
        <w:jc w:val="both"/>
        <w:textAlignment w:val="baseline"/>
        <w:rPr>
          <w:rFonts w:asciiTheme="minorHAnsi" w:eastAsia="Times New Roman" w:hAnsiTheme="minorHAnsi" w:cstheme="minorHAnsi"/>
          <w:color w:val="212121"/>
        </w:rPr>
      </w:pPr>
      <w:r w:rsidRPr="00326272">
        <w:rPr>
          <w:rFonts w:asciiTheme="minorHAnsi" w:eastAsia="Times New Roman" w:hAnsiTheme="minorHAnsi" w:cstheme="minorHAnsi"/>
          <w:color w:val="212121"/>
        </w:rPr>
        <w:lastRenderedPageBreak/>
        <w:t xml:space="preserve">The airline carried a record </w:t>
      </w:r>
      <w:r w:rsidRPr="00326272">
        <w:rPr>
          <w:rFonts w:asciiTheme="minorHAnsi" w:eastAsia="Times New Roman" w:hAnsiTheme="minorHAnsi" w:cstheme="minorHAnsi"/>
          <w:b/>
          <w:bCs/>
          <w:color w:val="212121"/>
        </w:rPr>
        <w:t>15.7</w:t>
      </w:r>
      <w:r w:rsidRPr="00326272">
        <w:rPr>
          <w:rFonts w:asciiTheme="minorHAnsi" w:eastAsia="Times New Roman" w:hAnsiTheme="minorHAnsi" w:cstheme="minorHAnsi"/>
          <w:color w:val="212121"/>
        </w:rPr>
        <w:t xml:space="preserve"> </w:t>
      </w:r>
      <w:r w:rsidRPr="006E710A">
        <w:rPr>
          <w:rFonts w:asciiTheme="minorHAnsi" w:eastAsia="Times New Roman" w:hAnsiTheme="minorHAnsi" w:cstheme="minorHAnsi"/>
        </w:rPr>
        <w:t xml:space="preserve">million </w:t>
      </w:r>
      <w:r w:rsidRPr="00326272">
        <w:rPr>
          <w:rFonts w:asciiTheme="minorHAnsi" w:eastAsia="Times New Roman" w:hAnsiTheme="minorHAnsi" w:cstheme="minorHAnsi"/>
          <w:b/>
          <w:bCs/>
          <w:color w:val="212121"/>
        </w:rPr>
        <w:t>passengers</w:t>
      </w:r>
      <w:r w:rsidRPr="00326272">
        <w:rPr>
          <w:rFonts w:asciiTheme="minorHAnsi" w:eastAsia="Times New Roman" w:hAnsiTheme="minorHAnsi" w:cstheme="minorHAnsi"/>
          <w:color w:val="212121"/>
        </w:rPr>
        <w:t xml:space="preserve"> in </w:t>
      </w:r>
      <w:r w:rsidRPr="00326272">
        <w:rPr>
          <w:rFonts w:asciiTheme="minorHAnsi" w:eastAsia="Times New Roman" w:hAnsiTheme="minorHAnsi" w:cstheme="minorHAnsi"/>
        </w:rPr>
        <w:t>2025,</w:t>
      </w:r>
      <w:r w:rsidRPr="00326272">
        <w:rPr>
          <w:rFonts w:asciiTheme="minorHAnsi" w:eastAsia="Times New Roman" w:hAnsiTheme="minorHAnsi" w:cstheme="minorHAnsi"/>
          <w:color w:val="FF0000"/>
        </w:rPr>
        <w:t xml:space="preserve"> </w:t>
      </w:r>
      <w:r w:rsidRPr="00326272">
        <w:rPr>
          <w:rFonts w:asciiTheme="minorHAnsi" w:eastAsia="Times New Roman" w:hAnsiTheme="minorHAnsi" w:cstheme="minorHAnsi"/>
          <w:color w:val="212121"/>
        </w:rPr>
        <w:t xml:space="preserve">driven by sustained demand for both business and leisure travel across its network. </w:t>
      </w:r>
      <w:r w:rsidRPr="00326272">
        <w:rPr>
          <w:rFonts w:asciiTheme="minorHAnsi" w:eastAsia="Times New Roman" w:hAnsiTheme="minorHAnsi" w:cstheme="minorHAnsi"/>
          <w:b/>
          <w:bCs/>
          <w:color w:val="212121"/>
        </w:rPr>
        <w:t>Business Class demand</w:t>
      </w:r>
      <w:r w:rsidRPr="00326272">
        <w:rPr>
          <w:rFonts w:asciiTheme="minorHAnsi" w:eastAsia="Times New Roman" w:hAnsiTheme="minorHAnsi" w:cstheme="minorHAnsi"/>
          <w:color w:val="212121"/>
        </w:rPr>
        <w:t xml:space="preserve"> was particularly strong, with uptake increasing by </w:t>
      </w:r>
      <w:r w:rsidRPr="00326272">
        <w:rPr>
          <w:rFonts w:asciiTheme="minorHAnsi" w:eastAsia="Times New Roman" w:hAnsiTheme="minorHAnsi" w:cstheme="minorHAnsi"/>
          <w:b/>
          <w:bCs/>
          <w:color w:val="212121"/>
        </w:rPr>
        <w:t>19%</w:t>
      </w:r>
      <w:r w:rsidRPr="00326272">
        <w:rPr>
          <w:rFonts w:asciiTheme="minorHAnsi" w:eastAsia="Times New Roman" w:hAnsiTheme="minorHAnsi" w:cstheme="minorHAnsi"/>
          <w:color w:val="212121"/>
        </w:rPr>
        <w:t xml:space="preserve"> </w:t>
      </w:r>
      <w:r w:rsidR="00F338BC" w:rsidRPr="00326272">
        <w:rPr>
          <w:rFonts w:asciiTheme="minorHAnsi" w:eastAsia="Times New Roman" w:hAnsiTheme="minorHAnsi" w:cstheme="minorHAnsi"/>
          <w:color w:val="212121"/>
        </w:rPr>
        <w:t>compared to 2024.</w:t>
      </w:r>
    </w:p>
    <w:p w14:paraId="3BF7170B" w14:textId="77777777" w:rsidR="00B1533B" w:rsidRPr="00D243A9" w:rsidRDefault="00B1533B" w:rsidP="00D243A9">
      <w:pPr>
        <w:pStyle w:val="xxmsonormal"/>
        <w:shd w:val="clear" w:color="auto" w:fill="FFFFFF"/>
        <w:jc w:val="both"/>
        <w:textAlignment w:val="baseline"/>
        <w:rPr>
          <w:rFonts w:asciiTheme="minorHAnsi" w:eastAsia="Times New Roman" w:hAnsiTheme="minorHAnsi" w:cstheme="minorHAnsi"/>
          <w:color w:val="212121"/>
        </w:rPr>
      </w:pPr>
    </w:p>
    <w:p w14:paraId="16D3CB55" w14:textId="7F9BF9FB" w:rsidR="00247652" w:rsidRPr="00D243A9" w:rsidRDefault="00B1533B" w:rsidP="00D243A9">
      <w:pPr>
        <w:pStyle w:val="xxmsonormal"/>
        <w:shd w:val="clear" w:color="auto" w:fill="FFFFFF"/>
        <w:jc w:val="both"/>
        <w:textAlignment w:val="baseline"/>
        <w:rPr>
          <w:rFonts w:asciiTheme="minorHAnsi" w:eastAsia="Times New Roman" w:hAnsiTheme="minorHAnsi" w:cstheme="minorHAnsi"/>
          <w:color w:val="212121"/>
        </w:rPr>
      </w:pPr>
      <w:r w:rsidRPr="00326272">
        <w:rPr>
          <w:rFonts w:asciiTheme="minorHAnsi" w:eastAsia="Times New Roman" w:hAnsiTheme="minorHAnsi" w:cstheme="minorHAnsi"/>
          <w:color w:val="212121"/>
        </w:rPr>
        <w:t xml:space="preserve">Increased frequencies and </w:t>
      </w:r>
      <w:r w:rsidR="002668F0" w:rsidRPr="00326272">
        <w:rPr>
          <w:rFonts w:asciiTheme="minorHAnsi" w:eastAsia="Times New Roman" w:hAnsiTheme="minorHAnsi" w:cstheme="minorHAnsi"/>
          <w:color w:val="212121"/>
        </w:rPr>
        <w:t>the extension of</w:t>
      </w:r>
      <w:r w:rsidR="00CB0292" w:rsidRPr="00326272">
        <w:rPr>
          <w:rFonts w:asciiTheme="minorHAnsi" w:eastAsia="Times New Roman" w:hAnsiTheme="minorHAnsi" w:cstheme="minorHAnsi"/>
          <w:color w:val="212121"/>
        </w:rPr>
        <w:t xml:space="preserve"> its network</w:t>
      </w:r>
      <w:r w:rsidRPr="00326272">
        <w:rPr>
          <w:rFonts w:asciiTheme="minorHAnsi" w:eastAsia="Times New Roman" w:hAnsiTheme="minorHAnsi" w:cstheme="minorHAnsi"/>
          <w:color w:val="212121"/>
        </w:rPr>
        <w:t xml:space="preserve"> across key markets further supported </w:t>
      </w:r>
      <w:r w:rsidRPr="00326272">
        <w:rPr>
          <w:rFonts w:asciiTheme="minorHAnsi" w:eastAsia="Times New Roman" w:hAnsiTheme="minorHAnsi" w:cstheme="minorHAnsi"/>
          <w:b/>
          <w:bCs/>
          <w:color w:val="212121"/>
        </w:rPr>
        <w:t>passenger growth</w:t>
      </w:r>
      <w:r w:rsidRPr="00326272">
        <w:rPr>
          <w:rFonts w:asciiTheme="minorHAnsi" w:eastAsia="Times New Roman" w:hAnsiTheme="minorHAnsi" w:cstheme="minorHAnsi"/>
          <w:color w:val="212121"/>
        </w:rPr>
        <w:t xml:space="preserve">, with the </w:t>
      </w:r>
      <w:r w:rsidRPr="00326272">
        <w:rPr>
          <w:rFonts w:asciiTheme="minorHAnsi" w:eastAsia="Times New Roman" w:hAnsiTheme="minorHAnsi" w:cstheme="minorHAnsi"/>
          <w:b/>
          <w:bCs/>
          <w:color w:val="212121"/>
        </w:rPr>
        <w:t>Middle East</w:t>
      </w:r>
      <w:r w:rsidRPr="00326272">
        <w:rPr>
          <w:rFonts w:asciiTheme="minorHAnsi" w:eastAsia="Times New Roman" w:hAnsiTheme="minorHAnsi" w:cstheme="minorHAnsi"/>
          <w:color w:val="212121"/>
        </w:rPr>
        <w:t xml:space="preserve"> recording an </w:t>
      </w:r>
      <w:r w:rsidR="00326272" w:rsidRPr="00755A96">
        <w:rPr>
          <w:rFonts w:asciiTheme="minorHAnsi" w:eastAsia="Times New Roman" w:hAnsiTheme="minorHAnsi" w:cstheme="minorHAnsi"/>
        </w:rPr>
        <w:t>17</w:t>
      </w:r>
      <w:r w:rsidRPr="00755A96">
        <w:rPr>
          <w:rFonts w:asciiTheme="minorHAnsi" w:eastAsia="Times New Roman" w:hAnsiTheme="minorHAnsi" w:cstheme="minorHAnsi"/>
        </w:rPr>
        <w:t xml:space="preserve">% </w:t>
      </w:r>
      <w:r w:rsidRPr="00326272">
        <w:rPr>
          <w:rFonts w:asciiTheme="minorHAnsi" w:eastAsia="Times New Roman" w:hAnsiTheme="minorHAnsi" w:cstheme="minorHAnsi"/>
          <w:color w:val="212121"/>
        </w:rPr>
        <w:t xml:space="preserve">increase, followed by </w:t>
      </w:r>
      <w:r w:rsidRPr="00326272">
        <w:rPr>
          <w:rFonts w:asciiTheme="minorHAnsi" w:eastAsia="Times New Roman" w:hAnsiTheme="minorHAnsi" w:cstheme="minorHAnsi"/>
          <w:b/>
          <w:bCs/>
          <w:color w:val="212121"/>
        </w:rPr>
        <w:t>Africa</w:t>
      </w:r>
      <w:r w:rsidRPr="00326272">
        <w:rPr>
          <w:rFonts w:asciiTheme="minorHAnsi" w:eastAsia="Times New Roman" w:hAnsiTheme="minorHAnsi" w:cstheme="minorHAnsi"/>
          <w:color w:val="212121"/>
        </w:rPr>
        <w:t xml:space="preserve"> at </w:t>
      </w:r>
      <w:r w:rsidRPr="00755A96">
        <w:rPr>
          <w:rFonts w:asciiTheme="minorHAnsi" w:eastAsia="Times New Roman" w:hAnsiTheme="minorHAnsi" w:cstheme="minorHAnsi"/>
        </w:rPr>
        <w:t>1</w:t>
      </w:r>
      <w:r w:rsidR="00326272" w:rsidRPr="00755A96">
        <w:rPr>
          <w:rFonts w:asciiTheme="minorHAnsi" w:eastAsia="Times New Roman" w:hAnsiTheme="minorHAnsi" w:cstheme="minorHAnsi"/>
        </w:rPr>
        <w:t>2</w:t>
      </w:r>
      <w:r w:rsidRPr="00755A96">
        <w:rPr>
          <w:rFonts w:asciiTheme="minorHAnsi" w:eastAsia="Times New Roman" w:hAnsiTheme="minorHAnsi" w:cstheme="minorHAnsi"/>
        </w:rPr>
        <w:t xml:space="preserve">% </w:t>
      </w:r>
      <w:r w:rsidRPr="00326272">
        <w:rPr>
          <w:rFonts w:asciiTheme="minorHAnsi" w:eastAsia="Times New Roman" w:hAnsiTheme="minorHAnsi" w:cstheme="minorHAnsi"/>
          <w:color w:val="212121"/>
        </w:rPr>
        <w:t xml:space="preserve">and </w:t>
      </w:r>
      <w:r w:rsidRPr="00326272">
        <w:rPr>
          <w:rFonts w:asciiTheme="minorHAnsi" w:eastAsia="Times New Roman" w:hAnsiTheme="minorHAnsi" w:cstheme="minorHAnsi"/>
          <w:b/>
          <w:bCs/>
          <w:color w:val="212121"/>
        </w:rPr>
        <w:t>Europe</w:t>
      </w:r>
      <w:r w:rsidRPr="00326272">
        <w:rPr>
          <w:rFonts w:asciiTheme="minorHAnsi" w:eastAsia="Times New Roman" w:hAnsiTheme="minorHAnsi" w:cstheme="minorHAnsi"/>
          <w:color w:val="212121"/>
        </w:rPr>
        <w:t xml:space="preserve"> </w:t>
      </w:r>
      <w:r w:rsidRPr="00755A96">
        <w:rPr>
          <w:rFonts w:asciiTheme="minorHAnsi" w:eastAsia="Times New Roman" w:hAnsiTheme="minorHAnsi" w:cstheme="minorHAnsi"/>
        </w:rPr>
        <w:t>at 1</w:t>
      </w:r>
      <w:r w:rsidR="00326272" w:rsidRPr="00755A96">
        <w:rPr>
          <w:rFonts w:asciiTheme="minorHAnsi" w:eastAsia="Times New Roman" w:hAnsiTheme="minorHAnsi" w:cstheme="minorHAnsi"/>
        </w:rPr>
        <w:t>2</w:t>
      </w:r>
      <w:r w:rsidRPr="00755A96">
        <w:rPr>
          <w:rFonts w:asciiTheme="minorHAnsi" w:eastAsia="Times New Roman" w:hAnsiTheme="minorHAnsi" w:cstheme="minorHAnsi"/>
        </w:rPr>
        <w:t>%.</w:t>
      </w:r>
    </w:p>
    <w:p w14:paraId="70F9EA6E" w14:textId="77777777" w:rsidR="00FE3D8E" w:rsidRPr="00D243A9" w:rsidRDefault="00FE3D8E" w:rsidP="00D243A9">
      <w:pPr>
        <w:pStyle w:val="xxmsonormal"/>
        <w:jc w:val="both"/>
        <w:rPr>
          <w:rFonts w:asciiTheme="minorHAnsi" w:hAnsiTheme="minorHAnsi" w:cstheme="minorHAnsi"/>
        </w:rPr>
      </w:pPr>
    </w:p>
    <w:p w14:paraId="29259A9B" w14:textId="4CB5ADC8" w:rsidR="003F0A27" w:rsidRPr="00D243A9" w:rsidRDefault="006D3E78" w:rsidP="00D243A9">
      <w:pPr>
        <w:pStyle w:val="xxmsonormal"/>
        <w:jc w:val="both"/>
        <w:rPr>
          <w:rFonts w:asciiTheme="minorHAnsi" w:hAnsiTheme="minorHAnsi" w:cstheme="minorHAnsi"/>
        </w:rPr>
      </w:pPr>
      <w:r w:rsidRPr="00D243A9">
        <w:rPr>
          <w:rFonts w:asciiTheme="minorHAnsi" w:hAnsiTheme="minorHAnsi" w:cstheme="minorHAnsi"/>
          <w:b/>
          <w:bCs/>
        </w:rPr>
        <w:t>Ghaith Al Ghaith, Chief Executive Officer at flydubai, commenting on flydubai’s</w:t>
      </w:r>
      <w:r w:rsidR="008E2F02" w:rsidRPr="00D243A9">
        <w:rPr>
          <w:rFonts w:asciiTheme="minorHAnsi" w:hAnsiTheme="minorHAnsi" w:cstheme="minorHAnsi"/>
          <w:b/>
          <w:bCs/>
        </w:rPr>
        <w:t xml:space="preserve"> 202</w:t>
      </w:r>
      <w:r w:rsidR="005D4645" w:rsidRPr="00D243A9">
        <w:rPr>
          <w:rFonts w:asciiTheme="minorHAnsi" w:hAnsiTheme="minorHAnsi" w:cstheme="minorHAnsi"/>
          <w:b/>
          <w:bCs/>
        </w:rPr>
        <w:t>5</w:t>
      </w:r>
      <w:r w:rsidRPr="00D243A9">
        <w:rPr>
          <w:rFonts w:asciiTheme="minorHAnsi" w:hAnsiTheme="minorHAnsi" w:cstheme="minorHAnsi"/>
          <w:b/>
          <w:bCs/>
        </w:rPr>
        <w:t xml:space="preserve"> Full-Year Results</w:t>
      </w:r>
      <w:r w:rsidR="00AE06F1" w:rsidRPr="00D243A9">
        <w:rPr>
          <w:rFonts w:asciiTheme="minorHAnsi" w:hAnsiTheme="minorHAnsi" w:cstheme="minorHAnsi"/>
          <w:b/>
          <w:bCs/>
        </w:rPr>
        <w:t>,</w:t>
      </w:r>
      <w:r w:rsidR="008E2F02" w:rsidRPr="00D243A9">
        <w:rPr>
          <w:rFonts w:asciiTheme="minorHAnsi" w:hAnsiTheme="minorHAnsi" w:cstheme="minorHAnsi"/>
          <w:b/>
          <w:bCs/>
        </w:rPr>
        <w:t xml:space="preserve"> </w:t>
      </w:r>
      <w:r w:rsidRPr="00D243A9">
        <w:rPr>
          <w:rFonts w:asciiTheme="minorHAnsi" w:hAnsiTheme="minorHAnsi" w:cstheme="minorHAnsi"/>
          <w:b/>
          <w:bCs/>
        </w:rPr>
        <w:t>said:</w:t>
      </w:r>
      <w:r w:rsidR="00F3227C" w:rsidRPr="00D243A9">
        <w:rPr>
          <w:rFonts w:asciiTheme="minorHAnsi" w:hAnsiTheme="minorHAnsi" w:cstheme="minorHAnsi"/>
        </w:rPr>
        <w:t xml:space="preserve"> </w:t>
      </w:r>
      <w:r w:rsidRPr="00D243A9">
        <w:rPr>
          <w:rFonts w:asciiTheme="minorHAnsi" w:hAnsiTheme="minorHAnsi" w:cstheme="minorHAnsi"/>
        </w:rPr>
        <w:t>“</w:t>
      </w:r>
      <w:r w:rsidR="003F0A27" w:rsidRPr="00D243A9">
        <w:rPr>
          <w:rFonts w:asciiTheme="minorHAnsi" w:hAnsiTheme="minorHAnsi" w:cstheme="minorHAnsi"/>
        </w:rPr>
        <w:t xml:space="preserve">Our strong financial performance in 2025 reflects the resilience of flydubai’s business model and the agility of our people. Throughout the year, we successfully navigated ongoing geopolitical uncertainty, continued supply chain constraints and </w:t>
      </w:r>
      <w:r w:rsidR="003F0A27" w:rsidRPr="00707360">
        <w:rPr>
          <w:rFonts w:asciiTheme="minorHAnsi" w:hAnsiTheme="minorHAnsi" w:cstheme="minorHAnsi"/>
        </w:rPr>
        <w:t>rising maintenance costs</w:t>
      </w:r>
      <w:r w:rsidR="003F0A27" w:rsidRPr="00D243A9">
        <w:rPr>
          <w:rFonts w:asciiTheme="minorHAnsi" w:hAnsiTheme="minorHAnsi" w:cstheme="minorHAnsi"/>
        </w:rPr>
        <w:t>, while maintaining operational efficiency and commercial momentum.</w:t>
      </w:r>
    </w:p>
    <w:p w14:paraId="22A8E40F" w14:textId="77777777" w:rsidR="003F0A27" w:rsidRPr="00D243A9" w:rsidRDefault="003F0A27" w:rsidP="00D243A9">
      <w:pPr>
        <w:pStyle w:val="xxmsonormal"/>
        <w:jc w:val="both"/>
        <w:rPr>
          <w:rFonts w:asciiTheme="minorHAnsi" w:hAnsiTheme="minorHAnsi" w:cstheme="minorHAnsi"/>
        </w:rPr>
      </w:pPr>
    </w:p>
    <w:p w14:paraId="0DACD4D5" w14:textId="0AEF6450" w:rsidR="003F0A27" w:rsidRPr="00D243A9" w:rsidRDefault="003F0A27" w:rsidP="00D243A9">
      <w:pPr>
        <w:pStyle w:val="xxmsonormal"/>
        <w:jc w:val="both"/>
        <w:rPr>
          <w:rFonts w:asciiTheme="minorHAnsi" w:hAnsiTheme="minorHAnsi" w:cstheme="minorHAnsi"/>
        </w:rPr>
      </w:pPr>
      <w:r w:rsidRPr="00D243A9">
        <w:rPr>
          <w:rFonts w:asciiTheme="minorHAnsi" w:hAnsiTheme="minorHAnsi" w:cstheme="minorHAnsi"/>
        </w:rPr>
        <w:t xml:space="preserve">We </w:t>
      </w:r>
      <w:r w:rsidR="008315FC" w:rsidRPr="00D243A9">
        <w:rPr>
          <w:rFonts w:asciiTheme="minorHAnsi" w:hAnsiTheme="minorHAnsi" w:cstheme="minorHAnsi"/>
        </w:rPr>
        <w:t>are</w:t>
      </w:r>
      <w:r w:rsidRPr="00D243A9">
        <w:rPr>
          <w:rFonts w:asciiTheme="minorHAnsi" w:hAnsiTheme="minorHAnsi" w:cstheme="minorHAnsi"/>
        </w:rPr>
        <w:t xml:space="preserve"> focused on disciplined, strategic growth, expanding our network and strengthening Dubai’s position as </w:t>
      </w:r>
      <w:r w:rsidR="00AA79F5">
        <w:rPr>
          <w:rFonts w:asciiTheme="minorHAnsi" w:hAnsiTheme="minorHAnsi" w:cstheme="minorHAnsi"/>
        </w:rPr>
        <w:t xml:space="preserve">a </w:t>
      </w:r>
      <w:r w:rsidR="00705DA8">
        <w:rPr>
          <w:rFonts w:asciiTheme="minorHAnsi" w:hAnsiTheme="minorHAnsi" w:cstheme="minorHAnsi"/>
        </w:rPr>
        <w:t xml:space="preserve">leading </w:t>
      </w:r>
      <w:r w:rsidR="00AA79F5">
        <w:rPr>
          <w:rFonts w:asciiTheme="minorHAnsi" w:hAnsiTheme="minorHAnsi" w:cstheme="minorHAnsi"/>
        </w:rPr>
        <w:t xml:space="preserve">global </w:t>
      </w:r>
      <w:r w:rsidR="00705DA8">
        <w:rPr>
          <w:rFonts w:asciiTheme="minorHAnsi" w:hAnsiTheme="minorHAnsi" w:cstheme="minorHAnsi"/>
        </w:rPr>
        <w:t>aviation hub</w:t>
      </w:r>
      <w:r w:rsidRPr="00D243A9">
        <w:rPr>
          <w:rFonts w:asciiTheme="minorHAnsi" w:hAnsiTheme="minorHAnsi" w:cstheme="minorHAnsi"/>
        </w:rPr>
        <w:t xml:space="preserve">. Today, we </w:t>
      </w:r>
      <w:r w:rsidRPr="00326272">
        <w:rPr>
          <w:rFonts w:asciiTheme="minorHAnsi" w:hAnsiTheme="minorHAnsi" w:cstheme="minorHAnsi"/>
        </w:rPr>
        <w:t xml:space="preserve">connect </w:t>
      </w:r>
      <w:r w:rsidR="00010C7C" w:rsidRPr="00326272">
        <w:rPr>
          <w:rFonts w:asciiTheme="minorHAnsi" w:hAnsiTheme="minorHAnsi" w:cstheme="minorHAnsi"/>
          <w:b/>
          <w:bCs/>
        </w:rPr>
        <w:t>140</w:t>
      </w:r>
      <w:r w:rsidRPr="00326272">
        <w:rPr>
          <w:rFonts w:asciiTheme="minorHAnsi" w:hAnsiTheme="minorHAnsi" w:cstheme="minorHAnsi"/>
        </w:rPr>
        <w:t xml:space="preserve"> </w:t>
      </w:r>
      <w:r w:rsidR="00AE221C" w:rsidRPr="00326272">
        <w:rPr>
          <w:rFonts w:asciiTheme="minorHAnsi" w:hAnsiTheme="minorHAnsi" w:cstheme="minorHAnsi"/>
        </w:rPr>
        <w:t>airports</w:t>
      </w:r>
      <w:r w:rsidRPr="00D243A9">
        <w:rPr>
          <w:rFonts w:asciiTheme="minorHAnsi" w:hAnsiTheme="minorHAnsi" w:cstheme="minorHAnsi"/>
        </w:rPr>
        <w:t xml:space="preserve"> to Dubai, facilitating trade, tourism and cultural exchange</w:t>
      </w:r>
      <w:r w:rsidR="00160C96">
        <w:rPr>
          <w:rFonts w:asciiTheme="minorHAnsi" w:hAnsiTheme="minorHAnsi" w:cstheme="minorHAnsi"/>
        </w:rPr>
        <w:t xml:space="preserve">, </w:t>
      </w:r>
      <w:r w:rsidR="007876E7">
        <w:rPr>
          <w:rFonts w:asciiTheme="minorHAnsi" w:hAnsiTheme="minorHAnsi" w:cstheme="minorHAnsi"/>
        </w:rPr>
        <w:t xml:space="preserve">while </w:t>
      </w:r>
      <w:r w:rsidRPr="00D243A9">
        <w:rPr>
          <w:rFonts w:asciiTheme="minorHAnsi" w:hAnsiTheme="minorHAnsi" w:cstheme="minorHAnsi"/>
        </w:rPr>
        <w:t>contributing meaningfully to the city’s economic growth.</w:t>
      </w:r>
      <w:r w:rsidR="00252B4E" w:rsidRPr="00D243A9">
        <w:rPr>
          <w:rFonts w:asciiTheme="minorHAnsi" w:hAnsiTheme="minorHAnsi" w:cstheme="minorHAnsi"/>
        </w:rPr>
        <w:t xml:space="preserve"> </w:t>
      </w:r>
      <w:r w:rsidR="001E0EA6">
        <w:rPr>
          <w:rFonts w:asciiTheme="minorHAnsi" w:hAnsiTheme="minorHAnsi" w:cstheme="minorHAnsi"/>
        </w:rPr>
        <w:t xml:space="preserve">In addition, </w:t>
      </w:r>
      <w:r w:rsidRPr="00D243A9">
        <w:rPr>
          <w:rFonts w:asciiTheme="minorHAnsi" w:hAnsiTheme="minorHAnsi" w:cstheme="minorHAnsi"/>
        </w:rPr>
        <w:t xml:space="preserve">we made significant investments in technology, innovation and the enhancement of our in-house capabilities, while further elevating </w:t>
      </w:r>
      <w:r w:rsidR="005228B7">
        <w:rPr>
          <w:rFonts w:asciiTheme="minorHAnsi" w:hAnsiTheme="minorHAnsi" w:cstheme="minorHAnsi"/>
        </w:rPr>
        <w:t>our</w:t>
      </w:r>
      <w:r w:rsidRPr="00D243A9">
        <w:rPr>
          <w:rFonts w:asciiTheme="minorHAnsi" w:hAnsiTheme="minorHAnsi" w:cstheme="minorHAnsi"/>
        </w:rPr>
        <w:t xml:space="preserve"> customer experience. </w:t>
      </w:r>
      <w:r w:rsidR="00901DCD">
        <w:rPr>
          <w:rFonts w:asciiTheme="minorHAnsi" w:hAnsiTheme="minorHAnsi" w:cstheme="minorHAnsi"/>
        </w:rPr>
        <w:t>Laying strong foundations for the future, these investments will ensure</w:t>
      </w:r>
      <w:r w:rsidRPr="00D243A9">
        <w:rPr>
          <w:rFonts w:asciiTheme="minorHAnsi" w:hAnsiTheme="minorHAnsi" w:cstheme="minorHAnsi"/>
        </w:rPr>
        <w:t xml:space="preserve"> we remain customer-focused</w:t>
      </w:r>
      <w:r w:rsidR="008315FC" w:rsidRPr="00D243A9">
        <w:rPr>
          <w:rFonts w:asciiTheme="minorHAnsi" w:hAnsiTheme="minorHAnsi" w:cstheme="minorHAnsi"/>
        </w:rPr>
        <w:t xml:space="preserve"> and</w:t>
      </w:r>
      <w:r w:rsidRPr="00D243A9">
        <w:rPr>
          <w:rFonts w:asciiTheme="minorHAnsi" w:hAnsiTheme="minorHAnsi" w:cstheme="minorHAnsi"/>
        </w:rPr>
        <w:t xml:space="preserve"> people-driven.</w:t>
      </w:r>
      <w:r w:rsidR="00252B4E" w:rsidRPr="00D243A9">
        <w:rPr>
          <w:rFonts w:asciiTheme="minorHAnsi" w:hAnsiTheme="minorHAnsi" w:cstheme="minorHAnsi"/>
        </w:rPr>
        <w:t>”</w:t>
      </w:r>
    </w:p>
    <w:p w14:paraId="62850F2A" w14:textId="77777777" w:rsidR="007C0B38" w:rsidRDefault="007C0B38" w:rsidP="00D243A9">
      <w:pPr>
        <w:spacing w:after="0" w:line="240" w:lineRule="auto"/>
        <w:jc w:val="both"/>
        <w:rPr>
          <w:rFonts w:eastAsia="Times New Roman" w:cstheme="minorHAnsi"/>
          <w:b/>
          <w:bCs/>
        </w:rPr>
      </w:pPr>
      <w:bookmarkStart w:id="3" w:name="x_x__Hlk128393408"/>
      <w:bookmarkEnd w:id="3"/>
    </w:p>
    <w:p w14:paraId="3C81562D" w14:textId="48AC3D5D" w:rsidR="004A7D70" w:rsidRPr="00230B8E" w:rsidRDefault="00636D53" w:rsidP="00F778BD">
      <w:pPr>
        <w:spacing w:after="0" w:line="240" w:lineRule="auto"/>
        <w:jc w:val="both"/>
        <w:rPr>
          <w:rFonts w:eastAsia="Times New Roman" w:cstheme="minorHAnsi"/>
        </w:rPr>
      </w:pPr>
      <w:r w:rsidRPr="00230B8E">
        <w:rPr>
          <w:rFonts w:eastAsia="Times New Roman" w:cstheme="minorHAnsi"/>
        </w:rPr>
        <w:t xml:space="preserve">flydubai </w:t>
      </w:r>
      <w:r w:rsidR="00F778BD" w:rsidRPr="00230B8E">
        <w:rPr>
          <w:rFonts w:eastAsia="Times New Roman" w:cstheme="minorHAnsi"/>
        </w:rPr>
        <w:t>continued to ramp up operations to meet increasing travel demand to</w:t>
      </w:r>
      <w:r w:rsidR="002569E5" w:rsidRPr="00230B8E">
        <w:rPr>
          <w:rFonts w:eastAsia="Times New Roman" w:cstheme="minorHAnsi"/>
        </w:rPr>
        <w:t xml:space="preserve"> and from</w:t>
      </w:r>
      <w:r w:rsidR="00F778BD" w:rsidRPr="00230B8E">
        <w:rPr>
          <w:rFonts w:eastAsia="Times New Roman" w:cstheme="minorHAnsi"/>
        </w:rPr>
        <w:t xml:space="preserve"> the </w:t>
      </w:r>
      <w:r w:rsidRPr="00230B8E">
        <w:rPr>
          <w:rFonts w:eastAsia="Times New Roman" w:cstheme="minorHAnsi"/>
        </w:rPr>
        <w:t>United Arab Emirates</w:t>
      </w:r>
      <w:r w:rsidR="00713E73" w:rsidRPr="00230B8E">
        <w:rPr>
          <w:rFonts w:eastAsia="Times New Roman" w:cstheme="minorHAnsi"/>
        </w:rPr>
        <w:t>. Last year, the carrier</w:t>
      </w:r>
      <w:r w:rsidRPr="00230B8E">
        <w:rPr>
          <w:rFonts w:eastAsia="Times New Roman" w:cstheme="minorHAnsi"/>
        </w:rPr>
        <w:t xml:space="preserve"> </w:t>
      </w:r>
      <w:r w:rsidR="00F778BD" w:rsidRPr="00230B8E">
        <w:rPr>
          <w:rFonts w:eastAsia="Times New Roman" w:cstheme="minorHAnsi"/>
        </w:rPr>
        <w:t>operat</w:t>
      </w:r>
      <w:r w:rsidR="00713E73" w:rsidRPr="00230B8E">
        <w:rPr>
          <w:rFonts w:eastAsia="Times New Roman" w:cstheme="minorHAnsi"/>
        </w:rPr>
        <w:t>ed</w:t>
      </w:r>
      <w:r w:rsidR="00F778BD" w:rsidRPr="00230B8E">
        <w:rPr>
          <w:rFonts w:eastAsia="Times New Roman" w:cstheme="minorHAnsi"/>
        </w:rPr>
        <w:t xml:space="preserve"> </w:t>
      </w:r>
      <w:r w:rsidR="00F778BD" w:rsidRPr="00E45512">
        <w:rPr>
          <w:rFonts w:eastAsia="Times New Roman" w:cstheme="minorHAnsi"/>
          <w:b/>
          <w:bCs/>
        </w:rPr>
        <w:t>126,604</w:t>
      </w:r>
      <w:r w:rsidR="00F778BD" w:rsidRPr="00230B8E">
        <w:rPr>
          <w:rFonts w:eastAsia="Times New Roman" w:cstheme="minorHAnsi"/>
        </w:rPr>
        <w:t xml:space="preserve"> flights, the second-</w:t>
      </w:r>
      <w:r w:rsidR="00713E73" w:rsidRPr="00230B8E">
        <w:rPr>
          <w:rFonts w:eastAsia="Times New Roman" w:cstheme="minorHAnsi"/>
        </w:rPr>
        <w:t>highest</w:t>
      </w:r>
      <w:r w:rsidR="00F778BD" w:rsidRPr="00230B8E">
        <w:rPr>
          <w:rFonts w:eastAsia="Times New Roman" w:cstheme="minorHAnsi"/>
        </w:rPr>
        <w:t xml:space="preserve"> number of flights </w:t>
      </w:r>
      <w:r w:rsidR="002569E5" w:rsidRPr="00230B8E">
        <w:rPr>
          <w:rFonts w:eastAsia="Times New Roman" w:cstheme="minorHAnsi"/>
        </w:rPr>
        <w:t>serving the country</w:t>
      </w:r>
      <w:r w:rsidR="00713E73" w:rsidRPr="00230B8E">
        <w:rPr>
          <w:rFonts w:eastAsia="Times New Roman" w:cstheme="minorHAnsi"/>
        </w:rPr>
        <w:t xml:space="preserve">, and </w:t>
      </w:r>
      <w:r w:rsidRPr="00230B8E">
        <w:rPr>
          <w:rFonts w:eastAsia="Times New Roman" w:cstheme="minorHAnsi"/>
        </w:rPr>
        <w:t>record</w:t>
      </w:r>
      <w:r w:rsidR="002569E5" w:rsidRPr="00230B8E">
        <w:rPr>
          <w:rFonts w:eastAsia="Times New Roman" w:cstheme="minorHAnsi"/>
        </w:rPr>
        <w:t xml:space="preserve">ed </w:t>
      </w:r>
      <w:r w:rsidRPr="00230B8E">
        <w:rPr>
          <w:rFonts w:eastAsia="Times New Roman" w:cstheme="minorHAnsi"/>
        </w:rPr>
        <w:t>more than 400 departures in a single day during peak travel periods in December 2025.</w:t>
      </w:r>
    </w:p>
    <w:p w14:paraId="6461EC80" w14:textId="77777777" w:rsidR="00636D53" w:rsidRPr="00D243A9" w:rsidRDefault="00636D53" w:rsidP="00D243A9">
      <w:pPr>
        <w:spacing w:after="0" w:line="240" w:lineRule="auto"/>
        <w:jc w:val="both"/>
        <w:rPr>
          <w:rFonts w:eastAsia="Times New Roman" w:cstheme="minorHAnsi"/>
          <w:b/>
          <w:bCs/>
        </w:rPr>
      </w:pPr>
    </w:p>
    <w:p w14:paraId="334CACB5" w14:textId="11862C1C" w:rsidR="007C0B38" w:rsidRDefault="007C0B38" w:rsidP="00D243A9">
      <w:pPr>
        <w:spacing w:after="0" w:line="240" w:lineRule="auto"/>
        <w:jc w:val="both"/>
        <w:rPr>
          <w:rFonts w:eastAsia="Times New Roman" w:cstheme="minorHAnsi"/>
        </w:rPr>
      </w:pPr>
      <w:r w:rsidRPr="00326272">
        <w:rPr>
          <w:rFonts w:eastAsia="Times New Roman" w:cstheme="minorHAnsi"/>
          <w:b/>
          <w:bCs/>
        </w:rPr>
        <w:t xml:space="preserve">Our </w:t>
      </w:r>
      <w:r w:rsidR="00A04E83" w:rsidRPr="00326272">
        <w:rPr>
          <w:rFonts w:eastAsia="Times New Roman" w:cstheme="minorHAnsi"/>
          <w:b/>
          <w:bCs/>
        </w:rPr>
        <w:t>n</w:t>
      </w:r>
      <w:r w:rsidRPr="00326272">
        <w:rPr>
          <w:rFonts w:eastAsia="Times New Roman" w:cstheme="minorHAnsi"/>
          <w:b/>
          <w:bCs/>
        </w:rPr>
        <w:t xml:space="preserve">etwork: </w:t>
      </w:r>
      <w:r w:rsidRPr="00326272">
        <w:rPr>
          <w:rFonts w:eastAsia="Times New Roman" w:cstheme="minorHAnsi"/>
        </w:rPr>
        <w:t xml:space="preserve">flydubai continued its strategic route expansion, launching </w:t>
      </w:r>
      <w:r w:rsidRPr="00326272">
        <w:rPr>
          <w:rFonts w:eastAsia="Times New Roman" w:cstheme="minorHAnsi"/>
          <w:b/>
          <w:bCs/>
        </w:rPr>
        <w:t>nine</w:t>
      </w:r>
      <w:r w:rsidRPr="00326272">
        <w:rPr>
          <w:rFonts w:eastAsia="Times New Roman" w:cstheme="minorHAnsi"/>
        </w:rPr>
        <w:t xml:space="preserve"> new destinations and growing its network to </w:t>
      </w:r>
      <w:r w:rsidRPr="00326272">
        <w:rPr>
          <w:rFonts w:eastAsia="Times New Roman" w:cstheme="minorHAnsi"/>
          <w:b/>
          <w:bCs/>
        </w:rPr>
        <w:t>140</w:t>
      </w:r>
      <w:r w:rsidRPr="00326272">
        <w:rPr>
          <w:rFonts w:eastAsia="Times New Roman" w:cstheme="minorHAnsi"/>
        </w:rPr>
        <w:t xml:space="preserve"> destinations</w:t>
      </w:r>
      <w:r w:rsidR="00AE35F9" w:rsidRPr="00326272">
        <w:rPr>
          <w:rFonts w:eastAsia="Times New Roman" w:cstheme="minorHAnsi"/>
        </w:rPr>
        <w:t xml:space="preserve"> in </w:t>
      </w:r>
      <w:r w:rsidR="00AE35F9" w:rsidRPr="00326272">
        <w:rPr>
          <w:rFonts w:eastAsia="Times New Roman" w:cstheme="minorHAnsi"/>
          <w:b/>
          <w:bCs/>
        </w:rPr>
        <w:t>58</w:t>
      </w:r>
      <w:r w:rsidR="00AE35F9" w:rsidRPr="00326272">
        <w:rPr>
          <w:rFonts w:eastAsia="Times New Roman" w:cstheme="minorHAnsi"/>
        </w:rPr>
        <w:t xml:space="preserve"> countries</w:t>
      </w:r>
      <w:r w:rsidR="00A73A92" w:rsidRPr="00326272">
        <w:rPr>
          <w:rFonts w:eastAsia="Times New Roman" w:cstheme="minorHAnsi"/>
        </w:rPr>
        <w:t xml:space="preserve">. </w:t>
      </w:r>
      <w:r w:rsidRPr="00326272">
        <w:rPr>
          <w:rFonts w:eastAsia="Times New Roman" w:cstheme="minorHAnsi"/>
        </w:rPr>
        <w:t xml:space="preserve">These additions include </w:t>
      </w:r>
      <w:r w:rsidR="009F1A3F" w:rsidRPr="00504AC9">
        <w:rPr>
          <w:rFonts w:eastAsia="Times New Roman" w:cstheme="minorHAnsi"/>
        </w:rPr>
        <w:t xml:space="preserve">Al Alamein (Egypt); </w:t>
      </w:r>
      <w:r w:rsidRPr="00504AC9">
        <w:rPr>
          <w:rFonts w:eastAsia="Times New Roman" w:cstheme="minorHAnsi"/>
        </w:rPr>
        <w:t>Antalya (</w:t>
      </w:r>
      <w:r w:rsidR="002551CF" w:rsidRPr="00504AC9">
        <w:rPr>
          <w:rFonts w:eastAsia="Times New Roman" w:cstheme="minorHAnsi"/>
        </w:rPr>
        <w:t>Türkiye</w:t>
      </w:r>
      <w:r w:rsidRPr="00504AC9">
        <w:rPr>
          <w:rFonts w:eastAsia="Times New Roman" w:cstheme="minorHAnsi"/>
        </w:rPr>
        <w:t>);</w:t>
      </w:r>
      <w:r w:rsidRPr="00326272">
        <w:rPr>
          <w:rFonts w:eastAsia="Times New Roman" w:cstheme="minorHAnsi"/>
        </w:rPr>
        <w:t xml:space="preserve"> Bushehr and Qeshm (Iran); Iași (Romania); Nairobi (Kenya); Peshawar (Pakistan); Riga (Latvia) and Vilnius (Lithuania). The carrier also resumed operations to </w:t>
      </w:r>
      <w:r w:rsidRPr="00326272">
        <w:rPr>
          <w:rFonts w:eastAsia="Times New Roman" w:cstheme="minorHAnsi"/>
          <w:b/>
          <w:bCs/>
        </w:rPr>
        <w:t>three</w:t>
      </w:r>
      <w:r w:rsidRPr="00326272">
        <w:rPr>
          <w:rFonts w:eastAsia="Times New Roman" w:cstheme="minorHAnsi"/>
        </w:rPr>
        <w:t xml:space="preserve"> destinations: Chișinău (Moldova), Damascus (Syria) and Tabriz (Iran).</w:t>
      </w:r>
    </w:p>
    <w:p w14:paraId="19298D67" w14:textId="77777777" w:rsidR="002C083F" w:rsidRPr="00D243A9" w:rsidRDefault="002C083F" w:rsidP="00D243A9">
      <w:pPr>
        <w:spacing w:after="0" w:line="240" w:lineRule="auto"/>
        <w:jc w:val="both"/>
        <w:rPr>
          <w:rFonts w:eastAsia="Times New Roman" w:cstheme="minorHAnsi"/>
        </w:rPr>
      </w:pPr>
    </w:p>
    <w:p w14:paraId="27DDCD0E" w14:textId="77777777" w:rsidR="004A7D70" w:rsidRDefault="002C083F" w:rsidP="004A7D70">
      <w:pPr>
        <w:spacing w:after="0" w:line="240" w:lineRule="auto"/>
        <w:jc w:val="both"/>
        <w:rPr>
          <w:rFonts w:eastAsia="Times New Roman" w:cstheme="minorHAnsi"/>
        </w:rPr>
      </w:pPr>
      <w:r w:rsidRPr="00326272">
        <w:rPr>
          <w:rFonts w:eastAsia="Times New Roman" w:cstheme="minorHAnsi"/>
        </w:rPr>
        <w:t xml:space="preserve">Overall network capacity, measured in </w:t>
      </w:r>
      <w:r w:rsidRPr="00326272">
        <w:rPr>
          <w:rFonts w:eastAsia="Times New Roman" w:cstheme="minorHAnsi"/>
          <w:b/>
          <w:bCs/>
        </w:rPr>
        <w:t>Available Seat Kilometres (ASKM)</w:t>
      </w:r>
      <w:r w:rsidRPr="00326272">
        <w:rPr>
          <w:rFonts w:eastAsia="Times New Roman" w:cstheme="minorHAnsi"/>
        </w:rPr>
        <w:t>, increased by</w:t>
      </w:r>
      <w:r w:rsidRPr="00326272">
        <w:rPr>
          <w:rFonts w:eastAsia="Times New Roman" w:cstheme="minorHAnsi"/>
          <w:b/>
          <w:bCs/>
        </w:rPr>
        <w:t xml:space="preserve"> 6%</w:t>
      </w:r>
      <w:r w:rsidR="00585F10" w:rsidRPr="00326272">
        <w:rPr>
          <w:rFonts w:eastAsia="Times New Roman" w:cstheme="minorHAnsi"/>
          <w:b/>
          <w:bCs/>
        </w:rPr>
        <w:t>,</w:t>
      </w:r>
      <w:r w:rsidR="00DC3FC3" w:rsidRPr="00326272">
        <w:rPr>
          <w:rFonts w:eastAsia="Times New Roman" w:cstheme="minorHAnsi"/>
        </w:rPr>
        <w:t xml:space="preserve"> </w:t>
      </w:r>
      <w:r w:rsidR="00995050" w:rsidRPr="00326272">
        <w:rPr>
          <w:rFonts w:eastAsia="Times New Roman" w:cstheme="minorHAnsi"/>
        </w:rPr>
        <w:t xml:space="preserve">while </w:t>
      </w:r>
      <w:r w:rsidR="00995050" w:rsidRPr="00326272">
        <w:rPr>
          <w:rFonts w:eastAsia="Times New Roman" w:cstheme="minorHAnsi"/>
          <w:b/>
          <w:bCs/>
        </w:rPr>
        <w:t>Revenue</w:t>
      </w:r>
      <w:r w:rsidR="00DC3FC3" w:rsidRPr="00326272">
        <w:rPr>
          <w:rFonts w:eastAsia="Times New Roman" w:cstheme="minorHAnsi"/>
          <w:b/>
          <w:bCs/>
        </w:rPr>
        <w:t xml:space="preserve"> Passenger Kilometres (RPKM)</w:t>
      </w:r>
      <w:r w:rsidR="00E60035" w:rsidRPr="00326272">
        <w:rPr>
          <w:rFonts w:eastAsia="Times New Roman" w:cstheme="minorHAnsi"/>
          <w:b/>
          <w:bCs/>
        </w:rPr>
        <w:t xml:space="preserve"> </w:t>
      </w:r>
      <w:r w:rsidR="00E60035" w:rsidRPr="00326272">
        <w:rPr>
          <w:rFonts w:eastAsia="Times New Roman" w:cstheme="minorHAnsi"/>
        </w:rPr>
        <w:t>w</w:t>
      </w:r>
      <w:r w:rsidR="00357A78" w:rsidRPr="00326272">
        <w:rPr>
          <w:rFonts w:eastAsia="Times New Roman" w:cstheme="minorHAnsi"/>
        </w:rPr>
        <w:t>ent</w:t>
      </w:r>
      <w:r w:rsidR="00E60035" w:rsidRPr="00326272">
        <w:rPr>
          <w:rFonts w:eastAsia="Times New Roman" w:cstheme="minorHAnsi"/>
        </w:rPr>
        <w:t xml:space="preserve"> up by 6</w:t>
      </w:r>
      <w:r w:rsidR="007B4F80" w:rsidRPr="00326272">
        <w:rPr>
          <w:rFonts w:eastAsia="Times New Roman" w:cstheme="minorHAnsi"/>
        </w:rPr>
        <w:t>% wit</w:t>
      </w:r>
      <w:r w:rsidR="00463866">
        <w:rPr>
          <w:rFonts w:eastAsia="Times New Roman" w:cstheme="minorHAnsi"/>
        </w:rPr>
        <w:t>h</w:t>
      </w:r>
      <w:r w:rsidR="00553885" w:rsidRPr="00326272">
        <w:rPr>
          <w:rFonts w:eastAsia="Times New Roman" w:cstheme="minorHAnsi"/>
        </w:rPr>
        <w:t> </w:t>
      </w:r>
      <w:r w:rsidR="00553885" w:rsidRPr="00D23551">
        <w:rPr>
          <w:rFonts w:eastAsia="Times New Roman" w:cstheme="minorHAnsi"/>
          <w:b/>
          <w:bCs/>
        </w:rPr>
        <w:t xml:space="preserve">Passenger </w:t>
      </w:r>
      <w:r w:rsidR="00326272" w:rsidRPr="00D23551">
        <w:rPr>
          <w:rFonts w:eastAsia="Times New Roman" w:cstheme="minorHAnsi"/>
          <w:b/>
          <w:bCs/>
        </w:rPr>
        <w:t xml:space="preserve">Yield </w:t>
      </w:r>
      <w:r w:rsidR="00326272" w:rsidRPr="00326272">
        <w:rPr>
          <w:rFonts w:eastAsia="Times New Roman" w:cstheme="minorHAnsi"/>
        </w:rPr>
        <w:t>improving by 3% compared to 2024.</w:t>
      </w:r>
      <w:r w:rsidR="004A7D70">
        <w:rPr>
          <w:rFonts w:eastAsia="Times New Roman" w:cstheme="minorHAnsi"/>
        </w:rPr>
        <w:t xml:space="preserve"> </w:t>
      </w:r>
    </w:p>
    <w:p w14:paraId="7B6FFE1C" w14:textId="3038F004" w:rsidR="002C083F" w:rsidRPr="00D243A9" w:rsidRDefault="002C083F" w:rsidP="00D243A9">
      <w:pPr>
        <w:spacing w:after="0" w:line="240" w:lineRule="auto"/>
        <w:jc w:val="both"/>
        <w:rPr>
          <w:rFonts w:eastAsia="Times New Roman" w:cstheme="minorHAnsi"/>
          <w:strike/>
          <w:color w:val="00B050"/>
        </w:rPr>
      </w:pPr>
    </w:p>
    <w:p w14:paraId="3B08CF95" w14:textId="5B5B7776" w:rsidR="0075538F" w:rsidRPr="00D243A9" w:rsidRDefault="00A94F41" w:rsidP="00D243A9">
      <w:pPr>
        <w:spacing w:after="0" w:line="240" w:lineRule="auto"/>
        <w:jc w:val="both"/>
        <w:rPr>
          <w:rFonts w:eastAsia="Times New Roman" w:cstheme="minorHAnsi"/>
          <w:color w:val="212121"/>
        </w:rPr>
      </w:pPr>
      <w:r w:rsidRPr="00326272">
        <w:rPr>
          <w:rFonts w:eastAsia="Times New Roman" w:cstheme="minorHAnsi"/>
          <w:b/>
          <w:bCs/>
        </w:rPr>
        <w:t>Our fleet</w:t>
      </w:r>
      <w:r w:rsidR="0076305A" w:rsidRPr="00326272">
        <w:rPr>
          <w:rFonts w:eastAsia="Times New Roman" w:cstheme="minorHAnsi"/>
          <w:b/>
          <w:bCs/>
        </w:rPr>
        <w:t>:</w:t>
      </w:r>
      <w:r w:rsidR="0075538F" w:rsidRPr="00326272">
        <w:rPr>
          <w:rFonts w:eastAsia="Times New Roman" w:cstheme="minorHAnsi"/>
        </w:rPr>
        <w:t xml:space="preserve"> flydubai took delivery of </w:t>
      </w:r>
      <w:r w:rsidR="0075538F" w:rsidRPr="00326272">
        <w:rPr>
          <w:rFonts w:eastAsia="Times New Roman" w:cstheme="minorHAnsi"/>
          <w:b/>
          <w:bCs/>
        </w:rPr>
        <w:t xml:space="preserve">12 </w:t>
      </w:r>
      <w:r w:rsidR="0075538F" w:rsidRPr="00326272">
        <w:rPr>
          <w:rFonts w:eastAsia="Times New Roman" w:cstheme="minorHAnsi"/>
        </w:rPr>
        <w:t xml:space="preserve">Boeing 737 </w:t>
      </w:r>
      <w:r w:rsidR="004430F5" w:rsidRPr="00326272">
        <w:rPr>
          <w:rFonts w:eastAsia="Times New Roman" w:cstheme="minorHAnsi"/>
        </w:rPr>
        <w:t>MAX 8 aircraft</w:t>
      </w:r>
      <w:r w:rsidR="0075538F" w:rsidRPr="00326272">
        <w:rPr>
          <w:rFonts w:eastAsia="Times New Roman" w:cstheme="minorHAnsi"/>
        </w:rPr>
        <w:t xml:space="preserve">, expanding its fleet to </w:t>
      </w:r>
      <w:r w:rsidR="0075538F" w:rsidRPr="00326272">
        <w:rPr>
          <w:rFonts w:eastAsia="Times New Roman" w:cstheme="minorHAnsi"/>
          <w:b/>
          <w:bCs/>
        </w:rPr>
        <w:t>97 aircraft</w:t>
      </w:r>
      <w:r w:rsidR="0075538F" w:rsidRPr="00326272">
        <w:rPr>
          <w:rFonts w:eastAsia="Times New Roman" w:cstheme="minorHAnsi"/>
        </w:rPr>
        <w:t xml:space="preserve"> with an average age of </w:t>
      </w:r>
      <w:r w:rsidR="0075538F" w:rsidRPr="00326272">
        <w:rPr>
          <w:rFonts w:eastAsia="Times New Roman" w:cstheme="minorHAnsi"/>
          <w:b/>
          <w:bCs/>
        </w:rPr>
        <w:t>5.</w:t>
      </w:r>
      <w:r w:rsidR="00081664" w:rsidRPr="00326272">
        <w:rPr>
          <w:rFonts w:eastAsia="Times New Roman" w:cstheme="minorHAnsi"/>
          <w:b/>
          <w:bCs/>
        </w:rPr>
        <w:t>5</w:t>
      </w:r>
      <w:r w:rsidR="0075538F" w:rsidRPr="00326272">
        <w:rPr>
          <w:rFonts w:eastAsia="Times New Roman" w:cstheme="minorHAnsi"/>
          <w:b/>
          <w:bCs/>
        </w:rPr>
        <w:t xml:space="preserve"> years</w:t>
      </w:r>
      <w:r w:rsidR="0075538F" w:rsidRPr="00326272">
        <w:rPr>
          <w:rFonts w:eastAsia="Times New Roman" w:cstheme="minorHAnsi"/>
        </w:rPr>
        <w:t xml:space="preserve">. </w:t>
      </w:r>
      <w:r w:rsidR="00E90F3B" w:rsidRPr="00326272">
        <w:rPr>
          <w:rFonts w:eastAsia="Times New Roman" w:cstheme="minorHAnsi"/>
        </w:rPr>
        <w:t>T</w:t>
      </w:r>
      <w:r w:rsidR="0075538F" w:rsidRPr="00326272">
        <w:rPr>
          <w:rFonts w:eastAsia="Times New Roman" w:cstheme="minorHAnsi"/>
        </w:rPr>
        <w:t xml:space="preserve">he carrier retired </w:t>
      </w:r>
      <w:r w:rsidR="0075538F" w:rsidRPr="00326272">
        <w:rPr>
          <w:rFonts w:eastAsia="Times New Roman" w:cstheme="minorHAnsi"/>
          <w:b/>
          <w:bCs/>
        </w:rPr>
        <w:t>three</w:t>
      </w:r>
      <w:r w:rsidR="0075538F" w:rsidRPr="00326272">
        <w:rPr>
          <w:rFonts w:eastAsia="Times New Roman" w:cstheme="minorHAnsi"/>
        </w:rPr>
        <w:t xml:space="preserve"> Next-Generation Boeing 737-800 aircraft, which were returned to the lessors.</w:t>
      </w:r>
    </w:p>
    <w:p w14:paraId="5C1060F7" w14:textId="77777777" w:rsidR="0075538F" w:rsidRPr="00D243A9" w:rsidRDefault="0075538F" w:rsidP="00D243A9">
      <w:pPr>
        <w:spacing w:after="0" w:line="240" w:lineRule="auto"/>
        <w:jc w:val="both"/>
        <w:rPr>
          <w:rFonts w:eastAsia="Times New Roman" w:cstheme="minorHAnsi"/>
        </w:rPr>
      </w:pPr>
    </w:p>
    <w:p w14:paraId="19B26636" w14:textId="3D0E43EA" w:rsidR="0075538F" w:rsidRPr="00D243A9" w:rsidRDefault="0075538F" w:rsidP="00D243A9">
      <w:pPr>
        <w:spacing w:after="0" w:line="240" w:lineRule="auto"/>
        <w:jc w:val="both"/>
        <w:rPr>
          <w:rFonts w:eastAsia="Times New Roman" w:cstheme="minorHAnsi"/>
        </w:rPr>
      </w:pPr>
      <w:r w:rsidRPr="002A5C29">
        <w:rPr>
          <w:rFonts w:eastAsia="Times New Roman" w:cstheme="minorHAnsi"/>
        </w:rPr>
        <w:t xml:space="preserve">The airline also </w:t>
      </w:r>
      <w:r w:rsidR="00AF3773" w:rsidRPr="002A5C29">
        <w:rPr>
          <w:rFonts w:eastAsia="Times New Roman" w:cstheme="minorHAnsi"/>
        </w:rPr>
        <w:t xml:space="preserve">finalised </w:t>
      </w:r>
      <w:r w:rsidR="002342C4" w:rsidRPr="002A5C29">
        <w:rPr>
          <w:rFonts w:eastAsia="Times New Roman" w:cstheme="minorHAnsi"/>
        </w:rPr>
        <w:t>its retrofit programme</w:t>
      </w:r>
      <w:r w:rsidR="00AF3773" w:rsidRPr="002A5C29">
        <w:rPr>
          <w:rFonts w:eastAsia="Times New Roman" w:cstheme="minorHAnsi"/>
        </w:rPr>
        <w:t>, retrofitting</w:t>
      </w:r>
      <w:r w:rsidR="00AF3773" w:rsidRPr="002A5C29">
        <w:rPr>
          <w:rFonts w:eastAsia="Times New Roman" w:cstheme="minorHAnsi"/>
          <w:b/>
          <w:bCs/>
        </w:rPr>
        <w:t xml:space="preserve"> </w:t>
      </w:r>
      <w:r w:rsidR="0023642D">
        <w:rPr>
          <w:rFonts w:eastAsia="Times New Roman" w:cstheme="minorHAnsi"/>
          <w:b/>
          <w:bCs/>
        </w:rPr>
        <w:t xml:space="preserve">eight </w:t>
      </w:r>
      <w:r w:rsidR="00AF3773" w:rsidRPr="002A5C29">
        <w:rPr>
          <w:rFonts w:eastAsia="Times New Roman" w:cstheme="minorHAnsi"/>
        </w:rPr>
        <w:t>Next-Generation Boeing 737-800 aircraft</w:t>
      </w:r>
      <w:r w:rsidR="002342C4" w:rsidRPr="002A5C29">
        <w:rPr>
          <w:rFonts w:eastAsia="Times New Roman" w:cstheme="minorHAnsi"/>
        </w:rPr>
        <w:t xml:space="preserve"> and</w:t>
      </w:r>
      <w:r w:rsidR="004E505E" w:rsidRPr="002A5C29">
        <w:rPr>
          <w:rFonts w:eastAsia="Times New Roman" w:cstheme="minorHAnsi"/>
        </w:rPr>
        <w:t xml:space="preserve"> </w:t>
      </w:r>
      <w:r w:rsidR="002342C4" w:rsidRPr="002A5C29">
        <w:rPr>
          <w:rFonts w:eastAsia="Times New Roman" w:cstheme="minorHAnsi"/>
        </w:rPr>
        <w:t>bringing</w:t>
      </w:r>
      <w:r w:rsidR="004E505E" w:rsidRPr="002A5C29">
        <w:rPr>
          <w:rFonts w:eastAsia="Times New Roman" w:cstheme="minorHAnsi"/>
        </w:rPr>
        <w:t xml:space="preserve"> </w:t>
      </w:r>
      <w:r w:rsidR="00AF3773" w:rsidRPr="002A5C29">
        <w:rPr>
          <w:rFonts w:eastAsia="Times New Roman" w:cstheme="minorHAnsi"/>
        </w:rPr>
        <w:t xml:space="preserve">the total number of retrofitted aircraft in the fleet to </w:t>
      </w:r>
      <w:r w:rsidR="00AF3773" w:rsidRPr="002A5C29">
        <w:rPr>
          <w:rFonts w:eastAsia="Times New Roman" w:cstheme="minorHAnsi"/>
          <w:b/>
          <w:bCs/>
        </w:rPr>
        <w:t>25</w:t>
      </w:r>
      <w:r w:rsidR="00AF3773" w:rsidRPr="002A5C29">
        <w:rPr>
          <w:rFonts w:eastAsia="Times New Roman" w:cstheme="minorHAnsi"/>
        </w:rPr>
        <w:t xml:space="preserve">. </w:t>
      </w:r>
      <w:r w:rsidR="00502DB3" w:rsidRPr="002A5C29">
        <w:rPr>
          <w:rFonts w:eastAsia="Times New Roman" w:cstheme="minorHAnsi"/>
        </w:rPr>
        <w:t xml:space="preserve">This </w:t>
      </w:r>
      <w:r w:rsidR="004015C7" w:rsidRPr="002A5C29">
        <w:rPr>
          <w:rFonts w:eastAsia="Times New Roman" w:cstheme="minorHAnsi"/>
        </w:rPr>
        <w:t xml:space="preserve">is part of the carrier’s ongoing </w:t>
      </w:r>
      <w:r w:rsidR="00C536F2" w:rsidRPr="002A5C29">
        <w:rPr>
          <w:rFonts w:eastAsia="Times New Roman" w:cstheme="minorHAnsi"/>
        </w:rPr>
        <w:t>efforts</w:t>
      </w:r>
      <w:r w:rsidR="00502DB3" w:rsidRPr="002A5C29">
        <w:rPr>
          <w:rFonts w:eastAsia="Times New Roman" w:cstheme="minorHAnsi"/>
        </w:rPr>
        <w:t xml:space="preserve"> to </w:t>
      </w:r>
      <w:r w:rsidRPr="002A5C29">
        <w:rPr>
          <w:rFonts w:eastAsia="Times New Roman" w:cstheme="minorHAnsi"/>
        </w:rPr>
        <w:t>enhanc</w:t>
      </w:r>
      <w:r w:rsidR="00502DB3" w:rsidRPr="002A5C29">
        <w:rPr>
          <w:rFonts w:eastAsia="Times New Roman" w:cstheme="minorHAnsi"/>
        </w:rPr>
        <w:t>e</w:t>
      </w:r>
      <w:r w:rsidRPr="002A5C29">
        <w:rPr>
          <w:rFonts w:eastAsia="Times New Roman" w:cstheme="minorHAnsi"/>
        </w:rPr>
        <w:t xml:space="preserve"> product consistency and </w:t>
      </w:r>
      <w:r w:rsidR="00502DB3" w:rsidRPr="002A5C29">
        <w:rPr>
          <w:rFonts w:eastAsia="Times New Roman" w:cstheme="minorHAnsi"/>
        </w:rPr>
        <w:t>deliver</w:t>
      </w:r>
      <w:r w:rsidRPr="002A5C29">
        <w:rPr>
          <w:rFonts w:eastAsia="Times New Roman" w:cstheme="minorHAnsi"/>
        </w:rPr>
        <w:t xml:space="preserve"> a more cohesive travel experience for passengers in both Business and Economy Class.</w:t>
      </w:r>
      <w:r w:rsidRPr="00D243A9">
        <w:rPr>
          <w:rFonts w:eastAsia="Times New Roman" w:cstheme="minorHAnsi"/>
        </w:rPr>
        <w:t xml:space="preserve"> </w:t>
      </w:r>
    </w:p>
    <w:p w14:paraId="429B78FC" w14:textId="77777777" w:rsidR="00F9383E" w:rsidRPr="00D243A9" w:rsidRDefault="00F9383E" w:rsidP="00D243A9">
      <w:pPr>
        <w:spacing w:after="0" w:line="240" w:lineRule="auto"/>
        <w:jc w:val="both"/>
        <w:rPr>
          <w:rFonts w:eastAsia="Times New Roman" w:cstheme="minorHAnsi"/>
          <w:b/>
          <w:bCs/>
        </w:rPr>
      </w:pPr>
    </w:p>
    <w:p w14:paraId="7C9122DA" w14:textId="1D42688E" w:rsidR="00B44017" w:rsidRPr="00D243A9" w:rsidRDefault="0075538F" w:rsidP="00D243A9">
      <w:pPr>
        <w:spacing w:after="0" w:line="240" w:lineRule="auto"/>
        <w:jc w:val="both"/>
        <w:rPr>
          <w:rFonts w:cstheme="minorHAnsi"/>
        </w:rPr>
      </w:pPr>
      <w:r w:rsidRPr="002A5C29">
        <w:rPr>
          <w:rFonts w:cstheme="minorHAnsi"/>
        </w:rPr>
        <w:lastRenderedPageBreak/>
        <w:t xml:space="preserve">The year concluded with a strong presence at the Dubai Airshow, where new aircraft orders were announced, including </w:t>
      </w:r>
      <w:r w:rsidR="00CD633E">
        <w:rPr>
          <w:rFonts w:cstheme="minorHAnsi"/>
          <w:b/>
          <w:bCs/>
        </w:rPr>
        <w:t>1</w:t>
      </w:r>
      <w:r w:rsidRPr="002A5C29">
        <w:rPr>
          <w:rFonts w:cstheme="minorHAnsi"/>
          <w:b/>
          <w:bCs/>
        </w:rPr>
        <w:t xml:space="preserve">50 </w:t>
      </w:r>
      <w:r w:rsidRPr="002A5C29">
        <w:rPr>
          <w:rFonts w:cstheme="minorHAnsi"/>
        </w:rPr>
        <w:t>Airbus A321neos and</w:t>
      </w:r>
      <w:r w:rsidRPr="002A5C29">
        <w:rPr>
          <w:rFonts w:cstheme="minorHAnsi"/>
          <w:b/>
          <w:bCs/>
        </w:rPr>
        <w:t xml:space="preserve"> </w:t>
      </w:r>
      <w:r w:rsidR="00CD633E">
        <w:rPr>
          <w:rFonts w:cstheme="minorHAnsi"/>
          <w:b/>
          <w:bCs/>
        </w:rPr>
        <w:t>75</w:t>
      </w:r>
      <w:r w:rsidRPr="002A5C29">
        <w:rPr>
          <w:rFonts w:cstheme="minorHAnsi"/>
        </w:rPr>
        <w:t xml:space="preserve"> Boeing 737 MAX aircraft. This strategic addition diversifies the </w:t>
      </w:r>
      <w:r w:rsidR="00A2668C" w:rsidRPr="002A5C29">
        <w:rPr>
          <w:rFonts w:cstheme="minorHAnsi"/>
        </w:rPr>
        <w:t>carrier’s</w:t>
      </w:r>
      <w:r w:rsidRPr="002A5C29">
        <w:rPr>
          <w:rFonts w:cstheme="minorHAnsi"/>
        </w:rPr>
        <w:t xml:space="preserve"> narrow-body fleet and strengthens its long-term strategy.</w:t>
      </w:r>
    </w:p>
    <w:p w14:paraId="6600D250" w14:textId="77777777" w:rsidR="0075538F" w:rsidRPr="00D243A9" w:rsidRDefault="0075538F" w:rsidP="00D243A9">
      <w:pPr>
        <w:spacing w:after="0" w:line="240" w:lineRule="auto"/>
        <w:jc w:val="both"/>
        <w:rPr>
          <w:rFonts w:eastAsia="Times New Roman" w:cstheme="minorHAnsi"/>
          <w:color w:val="212121"/>
        </w:rPr>
      </w:pPr>
    </w:p>
    <w:p w14:paraId="46D09DC0" w14:textId="065F075B" w:rsidR="00E8187A" w:rsidRPr="00D243A9" w:rsidRDefault="004C4468" w:rsidP="00D243A9">
      <w:pPr>
        <w:spacing w:line="240" w:lineRule="auto"/>
        <w:jc w:val="both"/>
        <w:rPr>
          <w:rFonts w:eastAsia="Times New Roman" w:cstheme="minorHAnsi"/>
          <w:color w:val="212121"/>
          <w:lang w:val="en-US"/>
        </w:rPr>
      </w:pPr>
      <w:r w:rsidRPr="002A5C29">
        <w:rPr>
          <w:rFonts w:eastAsia="Times New Roman" w:cstheme="minorHAnsi"/>
          <w:b/>
          <w:bCs/>
          <w:color w:val="212121"/>
        </w:rPr>
        <w:t>Sustainability:</w:t>
      </w:r>
      <w:r w:rsidR="00E8187A" w:rsidRPr="002A5C29">
        <w:rPr>
          <w:rFonts w:eastAsia="Times New Roman" w:cstheme="minorHAnsi"/>
          <w:b/>
          <w:bCs/>
          <w:color w:val="212121"/>
        </w:rPr>
        <w:t xml:space="preserve"> </w:t>
      </w:r>
      <w:r w:rsidR="00E8187A" w:rsidRPr="002A5C29">
        <w:rPr>
          <w:rFonts w:eastAsia="Times New Roman" w:cstheme="minorHAnsi"/>
          <w:color w:val="212121"/>
        </w:rPr>
        <w:t xml:space="preserve">The Boeing 737 MAX remains central to flydubai’s operational efficiency strategy, delivering </w:t>
      </w:r>
      <w:r w:rsidR="00E8187A" w:rsidRPr="002A5C29">
        <w:rPr>
          <w:rFonts w:eastAsia="Times New Roman" w:cstheme="minorHAnsi"/>
          <w:b/>
          <w:bCs/>
          <w:color w:val="212121"/>
        </w:rPr>
        <w:t>14%</w:t>
      </w:r>
      <w:r w:rsidR="00E8187A" w:rsidRPr="002A5C29">
        <w:rPr>
          <w:rFonts w:eastAsia="Times New Roman" w:cstheme="minorHAnsi"/>
          <w:color w:val="212121"/>
        </w:rPr>
        <w:t xml:space="preserve"> greater fuel efficiency than its predecessor. In 2025, flydubai launched a solar power initiative at its Campus to support the use of clean energy, which is expected to reduce </w:t>
      </w:r>
      <w:r w:rsidR="007E3DBF" w:rsidRPr="002A5C29">
        <w:rPr>
          <w:rFonts w:eastAsia="Times New Roman" w:cstheme="minorHAnsi"/>
          <w:color w:val="212121"/>
        </w:rPr>
        <w:t xml:space="preserve">annual carbon dioxide emissions by </w:t>
      </w:r>
      <w:r w:rsidR="007E3DBF" w:rsidRPr="002A5C29">
        <w:rPr>
          <w:rFonts w:eastAsia="Times New Roman" w:cstheme="minorHAnsi"/>
          <w:b/>
          <w:bCs/>
          <w:color w:val="212121"/>
        </w:rPr>
        <w:t>1,211 tonnes</w:t>
      </w:r>
      <w:r w:rsidR="00E8187A" w:rsidRPr="002A5C29">
        <w:rPr>
          <w:rFonts w:eastAsia="Times New Roman" w:cstheme="minorHAnsi"/>
          <w:color w:val="212121"/>
        </w:rPr>
        <w:t>.</w:t>
      </w:r>
    </w:p>
    <w:p w14:paraId="6CA1513F" w14:textId="7217BF63" w:rsidR="0075538F" w:rsidRPr="00D243A9" w:rsidRDefault="00E8187A" w:rsidP="00D243A9">
      <w:pPr>
        <w:spacing w:line="240" w:lineRule="auto"/>
        <w:jc w:val="both"/>
        <w:rPr>
          <w:rFonts w:eastAsia="Times New Roman" w:cstheme="minorHAnsi"/>
          <w:color w:val="212121"/>
        </w:rPr>
      </w:pPr>
      <w:r w:rsidRPr="00D243A9">
        <w:rPr>
          <w:rFonts w:eastAsia="Times New Roman" w:cstheme="minorHAnsi"/>
          <w:color w:val="212121"/>
        </w:rPr>
        <w:t>In November 2025, the airline signed the Buckingham Palace Declaration, joining United for Wildlife’s Transport Taskforce to help combat illegal wildlife trafficking. This step reinforces flydubai’s</w:t>
      </w:r>
      <w:r w:rsidR="001E0F29" w:rsidRPr="00D243A9">
        <w:rPr>
          <w:rFonts w:eastAsia="Times New Roman" w:cstheme="minorHAnsi"/>
          <w:color w:val="212121"/>
        </w:rPr>
        <w:t xml:space="preserve"> </w:t>
      </w:r>
      <w:r w:rsidRPr="00D243A9">
        <w:rPr>
          <w:rFonts w:eastAsia="Times New Roman" w:cstheme="minorHAnsi"/>
          <w:color w:val="212121"/>
        </w:rPr>
        <w:t>commitment to upholding international regulations.</w:t>
      </w:r>
    </w:p>
    <w:p w14:paraId="4312013F" w14:textId="7850D736" w:rsidR="005A21B4" w:rsidRPr="00D243A9" w:rsidRDefault="00B44017" w:rsidP="00D243A9">
      <w:pPr>
        <w:spacing w:line="240" w:lineRule="auto"/>
        <w:jc w:val="both"/>
        <w:rPr>
          <w:rFonts w:eastAsia="Times New Roman" w:cstheme="minorHAnsi"/>
          <w:color w:val="212121"/>
        </w:rPr>
      </w:pPr>
      <w:r w:rsidRPr="00C44E86">
        <w:rPr>
          <w:rFonts w:eastAsia="Times New Roman" w:cstheme="minorHAnsi"/>
          <w:b/>
          <w:bCs/>
          <w:color w:val="212121"/>
        </w:rPr>
        <w:t>Our customer experience:</w:t>
      </w:r>
      <w:r w:rsidR="002E1EBD" w:rsidRPr="00D243A9">
        <w:rPr>
          <w:rFonts w:eastAsia="Times New Roman" w:cstheme="minorHAnsi"/>
          <w:color w:val="212121"/>
        </w:rPr>
        <w:t xml:space="preserve"> </w:t>
      </w:r>
      <w:r w:rsidR="005A21B4" w:rsidRPr="00D243A9">
        <w:rPr>
          <w:rFonts w:eastAsia="Times New Roman" w:cstheme="minorHAnsi"/>
          <w:color w:val="212121"/>
          <w:lang w:val="en-US"/>
        </w:rPr>
        <w:t xml:space="preserve">In November 2025, the carrier enhanced its Economy Class </w:t>
      </w:r>
      <w:r w:rsidR="000A38EF">
        <w:rPr>
          <w:rFonts w:eastAsia="Times New Roman" w:cstheme="minorHAnsi"/>
          <w:color w:val="212121"/>
          <w:lang w:val="en-US"/>
        </w:rPr>
        <w:t xml:space="preserve">offering </w:t>
      </w:r>
      <w:r w:rsidR="005A21B4" w:rsidRPr="00D243A9">
        <w:rPr>
          <w:rFonts w:eastAsia="Times New Roman" w:cstheme="minorHAnsi"/>
          <w:color w:val="212121"/>
          <w:lang w:val="en-US"/>
        </w:rPr>
        <w:t xml:space="preserve">across all flights, introducing meals </w:t>
      </w:r>
      <w:r w:rsidR="005A21B4" w:rsidRPr="001F27C0">
        <w:rPr>
          <w:rFonts w:eastAsia="Times New Roman" w:cstheme="minorHAnsi"/>
          <w:lang w:val="en-US"/>
        </w:rPr>
        <w:t xml:space="preserve">and </w:t>
      </w:r>
      <w:r w:rsidR="0091034C" w:rsidRPr="001F27C0">
        <w:rPr>
          <w:rFonts w:eastAsia="Times New Roman" w:cstheme="minorHAnsi"/>
          <w:lang w:val="en-US"/>
        </w:rPr>
        <w:t>inflight</w:t>
      </w:r>
      <w:r w:rsidR="005A21B4" w:rsidRPr="001F27C0">
        <w:rPr>
          <w:rFonts w:eastAsia="Times New Roman" w:cstheme="minorHAnsi"/>
          <w:lang w:val="en-US"/>
        </w:rPr>
        <w:t xml:space="preserve"> </w:t>
      </w:r>
      <w:r w:rsidR="005A21B4" w:rsidRPr="00D243A9">
        <w:rPr>
          <w:rFonts w:eastAsia="Times New Roman" w:cstheme="minorHAnsi"/>
          <w:color w:val="212121"/>
          <w:lang w:val="en-US"/>
        </w:rPr>
        <w:t>entertainment for all Economy Class fares. This milestone marks a significant evolution of the airline’s business model, underscoring its commitment to putting customers first and responding to dynamic market needs.</w:t>
      </w:r>
    </w:p>
    <w:p w14:paraId="26A3F562" w14:textId="5CECEB92" w:rsidR="00DF74F8" w:rsidRPr="002A5C29" w:rsidRDefault="005A21B4" w:rsidP="00D243A9">
      <w:pPr>
        <w:spacing w:line="240" w:lineRule="auto"/>
        <w:rPr>
          <w:rFonts w:eastAsia="Times New Roman" w:cstheme="minorHAnsi"/>
          <w:color w:val="212121"/>
          <w:lang w:val="en-US"/>
        </w:rPr>
      </w:pPr>
      <w:r w:rsidRPr="00D243A9">
        <w:rPr>
          <w:rFonts w:eastAsia="Times New Roman" w:cstheme="minorHAnsi"/>
          <w:color w:val="212121"/>
          <w:lang w:val="en-US"/>
        </w:rPr>
        <w:t>flydubai also signed an agreement to introduce complimentary</w:t>
      </w:r>
      <w:r w:rsidR="00FC6889">
        <w:rPr>
          <w:rFonts w:eastAsia="Times New Roman" w:cstheme="minorHAnsi"/>
          <w:color w:val="212121"/>
          <w:lang w:val="en-US"/>
        </w:rPr>
        <w:t>,</w:t>
      </w:r>
      <w:r w:rsidRPr="00D243A9">
        <w:rPr>
          <w:rFonts w:eastAsia="Times New Roman" w:cstheme="minorHAnsi"/>
          <w:color w:val="212121"/>
          <w:lang w:val="en-US"/>
        </w:rPr>
        <w:t xml:space="preserve"> high-speed Starlink </w:t>
      </w:r>
      <w:r w:rsidR="00DE74C6">
        <w:rPr>
          <w:rFonts w:eastAsia="Times New Roman" w:cstheme="minorHAnsi"/>
          <w:color w:val="212121"/>
          <w:lang w:val="en-US"/>
        </w:rPr>
        <w:t>inflight</w:t>
      </w:r>
      <w:r w:rsidR="00CB3598" w:rsidRPr="00D243A9">
        <w:rPr>
          <w:rFonts w:eastAsia="Times New Roman" w:cstheme="minorHAnsi"/>
          <w:color w:val="212121"/>
          <w:lang w:val="en-US"/>
        </w:rPr>
        <w:t xml:space="preserve"> connectivity</w:t>
      </w:r>
      <w:r w:rsidRPr="00D243A9">
        <w:rPr>
          <w:rFonts w:eastAsia="Times New Roman" w:cstheme="minorHAnsi"/>
          <w:color w:val="212121"/>
          <w:lang w:val="en-US"/>
        </w:rPr>
        <w:t xml:space="preserve"> </w:t>
      </w:r>
      <w:r w:rsidRPr="002A5C29">
        <w:rPr>
          <w:rFonts w:eastAsia="Times New Roman" w:cstheme="minorHAnsi"/>
          <w:color w:val="212121"/>
          <w:lang w:val="en-US"/>
        </w:rPr>
        <w:t>across its fleet from 2026, further elevating the onboard experience.</w:t>
      </w:r>
    </w:p>
    <w:p w14:paraId="00FEA095" w14:textId="5B507F5B" w:rsidR="009C0CFD" w:rsidRPr="00D243A9" w:rsidRDefault="00A94F41" w:rsidP="00D243A9">
      <w:pPr>
        <w:spacing w:line="240" w:lineRule="auto"/>
        <w:jc w:val="both"/>
        <w:rPr>
          <w:rFonts w:eastAsia="Times New Roman" w:cstheme="minorHAnsi"/>
          <w:color w:val="212121"/>
        </w:rPr>
      </w:pPr>
      <w:r w:rsidRPr="007421BA">
        <w:rPr>
          <w:rFonts w:eastAsia="Times New Roman" w:cstheme="minorHAnsi"/>
          <w:b/>
          <w:bCs/>
          <w:color w:val="212121"/>
        </w:rPr>
        <w:t>Our</w:t>
      </w:r>
      <w:r w:rsidR="006553D8" w:rsidRPr="007421BA">
        <w:rPr>
          <w:rFonts w:eastAsia="Times New Roman" w:cstheme="minorHAnsi"/>
          <w:b/>
          <w:bCs/>
          <w:color w:val="212121"/>
        </w:rPr>
        <w:t xml:space="preserve"> partnership</w:t>
      </w:r>
      <w:r w:rsidR="00B65605" w:rsidRPr="007421BA">
        <w:rPr>
          <w:rFonts w:eastAsia="Times New Roman" w:cstheme="minorHAnsi"/>
          <w:b/>
          <w:bCs/>
          <w:color w:val="212121"/>
        </w:rPr>
        <w:t>s</w:t>
      </w:r>
      <w:r w:rsidR="00F14AD1" w:rsidRPr="007421BA">
        <w:rPr>
          <w:rFonts w:eastAsia="Times New Roman" w:cstheme="minorHAnsi"/>
          <w:b/>
          <w:bCs/>
          <w:color w:val="212121"/>
        </w:rPr>
        <w:t>:</w:t>
      </w:r>
      <w:r w:rsidR="00F14AD1" w:rsidRPr="002A5C29">
        <w:rPr>
          <w:rFonts w:eastAsia="Times New Roman" w:cstheme="minorHAnsi"/>
          <w:b/>
          <w:bCs/>
          <w:color w:val="212121"/>
        </w:rPr>
        <w:t xml:space="preserve"> </w:t>
      </w:r>
      <w:r w:rsidR="009C0CFD" w:rsidRPr="002A5C29">
        <w:rPr>
          <w:rFonts w:eastAsia="Times New Roman" w:cstheme="minorHAnsi"/>
          <w:color w:val="212121"/>
        </w:rPr>
        <w:t xml:space="preserve">The strategic partnership between Emirates and flydubai enabled more than </w:t>
      </w:r>
      <w:r w:rsidR="009C0CFD" w:rsidRPr="002A5C29">
        <w:rPr>
          <w:rFonts w:eastAsia="Times New Roman" w:cstheme="minorHAnsi"/>
          <w:b/>
          <w:bCs/>
          <w:color w:val="212121"/>
        </w:rPr>
        <w:t>2.5</w:t>
      </w:r>
      <w:r w:rsidR="009C0CFD" w:rsidRPr="002A5C29">
        <w:rPr>
          <w:rFonts w:eastAsia="Times New Roman" w:cstheme="minorHAnsi"/>
          <w:color w:val="212121"/>
        </w:rPr>
        <w:t xml:space="preserve"> million passengers to enjoy seamless connectivity across a joint network of </w:t>
      </w:r>
      <w:r w:rsidR="009C0CFD" w:rsidRPr="002A5C29">
        <w:rPr>
          <w:rFonts w:eastAsia="Times New Roman" w:cstheme="minorHAnsi"/>
          <w:b/>
          <w:bCs/>
          <w:color w:val="212121"/>
        </w:rPr>
        <w:t>243</w:t>
      </w:r>
      <w:r w:rsidR="009C0CFD" w:rsidRPr="002A5C29">
        <w:rPr>
          <w:rFonts w:eastAsia="Times New Roman" w:cstheme="minorHAnsi"/>
          <w:color w:val="212121"/>
        </w:rPr>
        <w:t xml:space="preserve"> destinations in</w:t>
      </w:r>
      <w:r w:rsidR="009C0CFD" w:rsidRPr="002A5C29">
        <w:rPr>
          <w:rFonts w:eastAsia="Times New Roman" w:cstheme="minorHAnsi"/>
          <w:b/>
          <w:bCs/>
          <w:color w:val="212121"/>
        </w:rPr>
        <w:t xml:space="preserve"> 103</w:t>
      </w:r>
      <w:r w:rsidR="009C0CFD" w:rsidRPr="002A5C29">
        <w:rPr>
          <w:rFonts w:eastAsia="Times New Roman" w:cstheme="minorHAnsi"/>
          <w:color w:val="212121"/>
        </w:rPr>
        <w:t xml:space="preserve"> countries via</w:t>
      </w:r>
      <w:r w:rsidR="009C0CFD" w:rsidRPr="00D243A9">
        <w:rPr>
          <w:rFonts w:eastAsia="Times New Roman" w:cstheme="minorHAnsi"/>
          <w:color w:val="212121"/>
        </w:rPr>
        <w:t xml:space="preserve"> Dubai’s global aviation hub in 2025.</w:t>
      </w:r>
    </w:p>
    <w:p w14:paraId="561346AD" w14:textId="25730C66" w:rsidR="009C0CFD" w:rsidRPr="00D243A9" w:rsidRDefault="009C0CFD" w:rsidP="00D243A9">
      <w:pPr>
        <w:spacing w:line="240" w:lineRule="auto"/>
        <w:jc w:val="both"/>
        <w:rPr>
          <w:rFonts w:eastAsia="Times New Roman" w:cstheme="minorHAnsi"/>
          <w:color w:val="212121"/>
        </w:rPr>
      </w:pPr>
      <w:r w:rsidRPr="00730A8F">
        <w:rPr>
          <w:rFonts w:eastAsia="Times New Roman" w:cstheme="minorHAnsi"/>
          <w:color w:val="212121"/>
        </w:rPr>
        <w:t xml:space="preserve">During the year, the carrier signed </w:t>
      </w:r>
      <w:r w:rsidR="00730A8F" w:rsidRPr="000F67F6">
        <w:rPr>
          <w:rFonts w:eastAsia="Times New Roman" w:cstheme="minorHAnsi"/>
          <w:b/>
          <w:bCs/>
        </w:rPr>
        <w:t>11</w:t>
      </w:r>
      <w:r w:rsidRPr="000F67F6">
        <w:rPr>
          <w:rFonts w:eastAsia="Times New Roman" w:cstheme="minorHAnsi"/>
        </w:rPr>
        <w:t xml:space="preserve"> </w:t>
      </w:r>
      <w:r w:rsidRPr="00730A8F">
        <w:rPr>
          <w:rFonts w:eastAsia="Times New Roman" w:cstheme="minorHAnsi"/>
          <w:color w:val="212121"/>
        </w:rPr>
        <w:t xml:space="preserve">new interline agreements, expanding its portfolio to </w:t>
      </w:r>
      <w:r w:rsidR="0011446D" w:rsidRPr="000F67F6">
        <w:rPr>
          <w:rFonts w:eastAsia="Times New Roman" w:cstheme="minorHAnsi"/>
          <w:b/>
          <w:bCs/>
        </w:rPr>
        <w:t>42</w:t>
      </w:r>
      <w:r w:rsidRPr="0011446D">
        <w:rPr>
          <w:rFonts w:eastAsia="Times New Roman" w:cstheme="minorHAnsi"/>
          <w:color w:val="FF0000"/>
        </w:rPr>
        <w:t xml:space="preserve"> </w:t>
      </w:r>
      <w:r w:rsidRPr="00730A8F">
        <w:rPr>
          <w:rFonts w:eastAsia="Times New Roman" w:cstheme="minorHAnsi"/>
          <w:color w:val="212121"/>
        </w:rPr>
        <w:t xml:space="preserve">interline partners and providing customers with access to more than </w:t>
      </w:r>
      <w:r w:rsidRPr="000F67F6">
        <w:rPr>
          <w:rFonts w:eastAsia="Times New Roman" w:cstheme="minorHAnsi"/>
          <w:b/>
          <w:bCs/>
        </w:rPr>
        <w:t>300</w:t>
      </w:r>
      <w:r w:rsidRPr="000F67F6">
        <w:rPr>
          <w:rFonts w:eastAsia="Times New Roman" w:cstheme="minorHAnsi"/>
        </w:rPr>
        <w:t xml:space="preserve"> </w:t>
      </w:r>
      <w:r w:rsidRPr="00730A8F">
        <w:rPr>
          <w:rFonts w:eastAsia="Times New Roman" w:cstheme="minorHAnsi"/>
          <w:color w:val="212121"/>
        </w:rPr>
        <w:t xml:space="preserve">destinations across the combined flydubai and partner networks, in addition to its </w:t>
      </w:r>
      <w:r w:rsidRPr="00730A8F">
        <w:rPr>
          <w:rFonts w:eastAsia="Times New Roman" w:cstheme="minorHAnsi"/>
          <w:b/>
          <w:bCs/>
          <w:color w:val="212121"/>
        </w:rPr>
        <w:t xml:space="preserve">three </w:t>
      </w:r>
      <w:r w:rsidRPr="00730A8F">
        <w:rPr>
          <w:rFonts w:eastAsia="Times New Roman" w:cstheme="minorHAnsi"/>
          <w:color w:val="212121"/>
        </w:rPr>
        <w:t>codeshare agreements with Air Canada, Emirates and United Airlines.</w:t>
      </w:r>
    </w:p>
    <w:p w14:paraId="56909886" w14:textId="01671F90" w:rsidR="00E57628" w:rsidRDefault="00A94F41" w:rsidP="00D243A9">
      <w:pPr>
        <w:spacing w:after="0" w:line="240" w:lineRule="auto"/>
        <w:jc w:val="both"/>
        <w:rPr>
          <w:rFonts w:cstheme="minorHAnsi"/>
        </w:rPr>
      </w:pPr>
      <w:r w:rsidRPr="002A5C29">
        <w:rPr>
          <w:rFonts w:eastAsia="Times New Roman" w:cstheme="minorHAnsi"/>
          <w:b/>
          <w:bCs/>
          <w:color w:val="212121"/>
        </w:rPr>
        <w:t>Our</w:t>
      </w:r>
      <w:r w:rsidR="00CE2876" w:rsidRPr="002A5C29">
        <w:rPr>
          <w:rFonts w:eastAsia="Times New Roman" w:cstheme="minorHAnsi"/>
          <w:b/>
          <w:bCs/>
          <w:color w:val="212121"/>
        </w:rPr>
        <w:t xml:space="preserve"> workforce</w:t>
      </w:r>
      <w:r w:rsidR="006553D8" w:rsidRPr="002A5C29">
        <w:rPr>
          <w:rFonts w:eastAsia="Times New Roman" w:cstheme="minorHAnsi"/>
          <w:b/>
          <w:bCs/>
          <w:color w:val="212121"/>
        </w:rPr>
        <w:t>:</w:t>
      </w:r>
      <w:r w:rsidR="00E57628" w:rsidRPr="002A5C29">
        <w:rPr>
          <w:rFonts w:eastAsia="Times New Roman" w:cstheme="minorHAnsi"/>
          <w:b/>
          <w:bCs/>
          <w:color w:val="212121"/>
        </w:rPr>
        <w:t xml:space="preserve"> </w:t>
      </w:r>
      <w:r w:rsidR="00E57628" w:rsidRPr="002A5C29">
        <w:rPr>
          <w:rFonts w:cstheme="minorHAnsi"/>
        </w:rPr>
        <w:t xml:space="preserve">The airline’s continued recruitment drive delivered an </w:t>
      </w:r>
      <w:r w:rsidR="00E57628" w:rsidRPr="002A5C29">
        <w:rPr>
          <w:rFonts w:cstheme="minorHAnsi"/>
          <w:b/>
          <w:bCs/>
        </w:rPr>
        <w:t>11%</w:t>
      </w:r>
      <w:r w:rsidR="00E57628" w:rsidRPr="002A5C29">
        <w:rPr>
          <w:rFonts w:cstheme="minorHAnsi"/>
        </w:rPr>
        <w:t xml:space="preserve"> increase in headcount, bringing its total workforce to </w:t>
      </w:r>
      <w:r w:rsidR="00E57628" w:rsidRPr="002A5C29">
        <w:rPr>
          <w:rFonts w:cstheme="minorHAnsi"/>
          <w:b/>
          <w:bCs/>
        </w:rPr>
        <w:t>6,763</w:t>
      </w:r>
      <w:r w:rsidR="00E57628" w:rsidRPr="002A5C29">
        <w:rPr>
          <w:rFonts w:cstheme="minorHAnsi"/>
        </w:rPr>
        <w:t xml:space="preserve"> employees.</w:t>
      </w:r>
    </w:p>
    <w:p w14:paraId="176802B1" w14:textId="77777777" w:rsidR="00D243A9" w:rsidRPr="00D243A9" w:rsidRDefault="00D243A9" w:rsidP="00D243A9">
      <w:pPr>
        <w:spacing w:after="0" w:line="240" w:lineRule="auto"/>
        <w:jc w:val="both"/>
        <w:rPr>
          <w:rFonts w:cstheme="minorHAnsi"/>
        </w:rPr>
      </w:pPr>
    </w:p>
    <w:p w14:paraId="34BBFD9A" w14:textId="5E6D0937" w:rsidR="00E57628" w:rsidRPr="00D243A9" w:rsidRDefault="00E57628" w:rsidP="00D243A9">
      <w:pPr>
        <w:pStyle w:val="xxmsonormal"/>
        <w:jc w:val="both"/>
        <w:rPr>
          <w:rFonts w:asciiTheme="minorHAnsi" w:hAnsiTheme="minorHAnsi" w:cstheme="minorHAnsi"/>
          <w:lang w:val="en-GB"/>
        </w:rPr>
      </w:pPr>
      <w:r w:rsidRPr="00D243A9">
        <w:rPr>
          <w:rFonts w:asciiTheme="minorHAnsi" w:hAnsiTheme="minorHAnsi" w:cstheme="minorHAnsi"/>
          <w:lang w:val="en-GB"/>
        </w:rPr>
        <w:t xml:space="preserve">flydubai also strengthened its in-house capabilities with the launch of its </w:t>
      </w:r>
      <w:r w:rsidR="00117DD7" w:rsidRPr="00D243A9">
        <w:rPr>
          <w:rFonts w:asciiTheme="minorHAnsi" w:hAnsiTheme="minorHAnsi" w:cstheme="minorHAnsi"/>
          <w:lang w:val="en-GB"/>
        </w:rPr>
        <w:t>Ab Initio Pilot Training Programme</w:t>
      </w:r>
      <w:r w:rsidR="00117DD7">
        <w:rPr>
          <w:rFonts w:asciiTheme="minorHAnsi" w:hAnsiTheme="minorHAnsi" w:cstheme="minorHAnsi"/>
          <w:lang w:val="en-GB"/>
        </w:rPr>
        <w:t xml:space="preserve"> and </w:t>
      </w:r>
      <w:r w:rsidRPr="00D243A9">
        <w:rPr>
          <w:rFonts w:asciiTheme="minorHAnsi" w:hAnsiTheme="minorHAnsi" w:cstheme="minorHAnsi"/>
          <w:lang w:val="en-GB"/>
        </w:rPr>
        <w:t>Aircraft Maintenance and Engineering Apprenticeship. These initiatives form part of the airline’s long-term workforce strategy to support the growing demands of its expanding fleet and network over the next decade.</w:t>
      </w:r>
    </w:p>
    <w:p w14:paraId="553AD4C3" w14:textId="77777777" w:rsidR="00E57628" w:rsidRPr="00D243A9" w:rsidRDefault="00E57628" w:rsidP="00D243A9">
      <w:pPr>
        <w:pStyle w:val="xxmsonormal"/>
        <w:jc w:val="both"/>
        <w:rPr>
          <w:rFonts w:asciiTheme="minorHAnsi" w:hAnsiTheme="minorHAnsi" w:cstheme="minorHAnsi"/>
          <w:lang w:val="en-GB"/>
        </w:rPr>
      </w:pPr>
    </w:p>
    <w:p w14:paraId="7192D8A7" w14:textId="5BCE3460" w:rsidR="00EC3806" w:rsidRPr="00D243A9" w:rsidRDefault="00336B86" w:rsidP="00D243A9">
      <w:pPr>
        <w:pStyle w:val="xxmsonormal"/>
        <w:jc w:val="both"/>
        <w:rPr>
          <w:rFonts w:asciiTheme="minorHAnsi" w:hAnsiTheme="minorHAnsi" w:cstheme="minorHAnsi"/>
        </w:rPr>
      </w:pPr>
      <w:r w:rsidRPr="00C44E86">
        <w:rPr>
          <w:rFonts w:asciiTheme="minorHAnsi" w:hAnsiTheme="minorHAnsi" w:cstheme="minorHAnsi"/>
          <w:b/>
          <w:bCs/>
          <w:lang w:val="en-GB"/>
        </w:rPr>
        <w:t>Industry recognition:</w:t>
      </w:r>
      <w:r w:rsidRPr="00D243A9">
        <w:rPr>
          <w:rFonts w:asciiTheme="minorHAnsi" w:hAnsiTheme="minorHAnsi" w:cstheme="minorHAnsi"/>
          <w:lang w:val="en-GB"/>
        </w:rPr>
        <w:t xml:space="preserve"> </w:t>
      </w:r>
      <w:r w:rsidR="00EC3806" w:rsidRPr="00D243A9">
        <w:rPr>
          <w:rFonts w:asciiTheme="minorHAnsi" w:hAnsiTheme="minorHAnsi" w:cstheme="minorHAnsi"/>
        </w:rPr>
        <w:t>flydubai received the “Trailblazer Award for Outstanding New Service Launch” and was named “Airline of the Year” for the second time at the Aviation Achievement Awards 2025.</w:t>
      </w:r>
      <w:r w:rsidR="009A2A44" w:rsidRPr="00D243A9">
        <w:rPr>
          <w:rFonts w:asciiTheme="minorHAnsi" w:hAnsiTheme="minorHAnsi" w:cstheme="minorHAnsi"/>
        </w:rPr>
        <w:t xml:space="preserve"> </w:t>
      </w:r>
      <w:r w:rsidR="00EC3806" w:rsidRPr="00D243A9">
        <w:rPr>
          <w:rFonts w:asciiTheme="minorHAnsi" w:hAnsiTheme="minorHAnsi" w:cstheme="minorHAnsi"/>
        </w:rPr>
        <w:t>The carrier was also awarded the Four-Star Major Airline rating by APEX and</w:t>
      </w:r>
      <w:r w:rsidR="00C35D53" w:rsidRPr="00D243A9">
        <w:rPr>
          <w:rFonts w:asciiTheme="minorHAnsi" w:hAnsiTheme="minorHAnsi" w:cstheme="minorHAnsi"/>
        </w:rPr>
        <w:t xml:space="preserve"> was</w:t>
      </w:r>
      <w:r w:rsidR="00EC3806" w:rsidRPr="00D243A9">
        <w:rPr>
          <w:rFonts w:asciiTheme="minorHAnsi" w:hAnsiTheme="minorHAnsi" w:cstheme="minorHAnsi"/>
        </w:rPr>
        <w:t xml:space="preserve"> recognised as the “Airline with the Best Connectivity in the Middle East” at the Business Traveller Middle East Awards</w:t>
      </w:r>
      <w:r w:rsidR="00A043FD">
        <w:rPr>
          <w:rFonts w:asciiTheme="minorHAnsi" w:hAnsiTheme="minorHAnsi" w:cstheme="minorHAnsi"/>
        </w:rPr>
        <w:t xml:space="preserve"> 2025.</w:t>
      </w:r>
    </w:p>
    <w:p w14:paraId="222E6D4A" w14:textId="03546922" w:rsidR="002A5C29" w:rsidRPr="00142195" w:rsidRDefault="00D62C9B" w:rsidP="00142195">
      <w:pPr>
        <w:spacing w:line="259" w:lineRule="auto"/>
        <w:rPr>
          <w:rFonts w:cstheme="minorHAnsi"/>
          <w:b/>
          <w:bCs/>
          <w:u w:val="single"/>
          <w:lang w:val="en-US"/>
        </w:rPr>
      </w:pPr>
      <w:r>
        <w:rPr>
          <w:rFonts w:cstheme="minorHAnsi"/>
          <w:b/>
          <w:bCs/>
          <w:u w:val="single"/>
        </w:rPr>
        <w:br w:type="page"/>
      </w:r>
    </w:p>
    <w:p w14:paraId="79228B8B" w14:textId="51F2446D" w:rsidR="0032430D" w:rsidRPr="00D243A9" w:rsidRDefault="0032430D" w:rsidP="00D243A9">
      <w:pPr>
        <w:pStyle w:val="xxmsonormal"/>
        <w:jc w:val="both"/>
        <w:rPr>
          <w:rFonts w:asciiTheme="minorHAnsi" w:hAnsiTheme="minorHAnsi" w:cstheme="minorHAnsi"/>
          <w:b/>
          <w:bCs/>
          <w:u w:val="single"/>
        </w:rPr>
      </w:pPr>
      <w:r w:rsidRPr="00D243A9">
        <w:rPr>
          <w:rFonts w:asciiTheme="minorHAnsi" w:hAnsiTheme="minorHAnsi" w:cstheme="minorHAnsi"/>
          <w:b/>
          <w:bCs/>
          <w:u w:val="single"/>
        </w:rPr>
        <w:lastRenderedPageBreak/>
        <w:t>Outlook statement for 202</w:t>
      </w:r>
      <w:r w:rsidR="00D01CFE" w:rsidRPr="00D243A9">
        <w:rPr>
          <w:rFonts w:asciiTheme="minorHAnsi" w:hAnsiTheme="minorHAnsi" w:cstheme="minorHAnsi"/>
          <w:b/>
          <w:bCs/>
          <w:u w:val="single"/>
        </w:rPr>
        <w:t>6</w:t>
      </w:r>
    </w:p>
    <w:p w14:paraId="79EB0E25" w14:textId="77777777" w:rsidR="00FE01EE" w:rsidRPr="00D243A9" w:rsidRDefault="00FE01EE" w:rsidP="00D243A9">
      <w:pPr>
        <w:spacing w:after="0" w:line="240" w:lineRule="auto"/>
        <w:rPr>
          <w:rFonts w:eastAsia="Times New Roman" w:cstheme="minorHAnsi"/>
          <w:b/>
          <w:bCs/>
          <w:color w:val="212121"/>
          <w:u w:val="single"/>
        </w:rPr>
      </w:pPr>
    </w:p>
    <w:p w14:paraId="6AE6531D" w14:textId="7259F398" w:rsidR="003A3C07" w:rsidRPr="002A5C29" w:rsidRDefault="00D1673C" w:rsidP="002A5C29">
      <w:pPr>
        <w:spacing w:line="240" w:lineRule="auto"/>
        <w:jc w:val="both"/>
        <w:rPr>
          <w:rFonts w:eastAsia="Times New Roman" w:cstheme="minorHAnsi"/>
          <w:b/>
          <w:bCs/>
          <w:color w:val="212121"/>
        </w:rPr>
      </w:pPr>
      <w:r w:rsidRPr="00D243A9">
        <w:rPr>
          <w:rFonts w:cstheme="minorHAnsi"/>
          <w:b/>
          <w:bCs/>
        </w:rPr>
        <w:t>Ghaith Al Ghaith, Chief Executive Officer at flydubai, commenting on the outlook for 202</w:t>
      </w:r>
      <w:r w:rsidR="004B2B1A">
        <w:rPr>
          <w:rFonts w:cstheme="minorHAnsi"/>
          <w:b/>
          <w:bCs/>
        </w:rPr>
        <w:t>6</w:t>
      </w:r>
      <w:r w:rsidRPr="00D243A9">
        <w:rPr>
          <w:rFonts w:cstheme="minorHAnsi"/>
          <w:b/>
          <w:bCs/>
        </w:rPr>
        <w:t>, said:</w:t>
      </w:r>
      <w:r w:rsidR="00FE674D" w:rsidRPr="00D243A9">
        <w:rPr>
          <w:rFonts w:cstheme="minorHAnsi"/>
          <w:b/>
          <w:bCs/>
        </w:rPr>
        <w:t xml:space="preserve"> </w:t>
      </w:r>
      <w:r w:rsidRPr="00D243A9">
        <w:rPr>
          <w:rFonts w:cstheme="minorHAnsi"/>
        </w:rPr>
        <w:t>“</w:t>
      </w:r>
      <w:r w:rsidR="003A3C07" w:rsidRPr="00D243A9">
        <w:rPr>
          <w:rFonts w:cstheme="minorHAnsi"/>
        </w:rPr>
        <w:t xml:space="preserve">As we look ahead to 2026, demand for travel remains healthy despite ongoing challenges. The fundamentals of our business are strong, and we are </w:t>
      </w:r>
      <w:r w:rsidR="006A1D1B">
        <w:rPr>
          <w:rFonts w:cstheme="minorHAnsi"/>
        </w:rPr>
        <w:t>well-positioned</w:t>
      </w:r>
      <w:r w:rsidR="003A3C07" w:rsidRPr="00D243A9">
        <w:rPr>
          <w:rFonts w:cstheme="minorHAnsi"/>
        </w:rPr>
        <w:t xml:space="preserve"> to meet this sustained appetite for both leisure and business travel across our network.</w:t>
      </w:r>
    </w:p>
    <w:p w14:paraId="668DF67B" w14:textId="5BEEB723" w:rsidR="003A3C07" w:rsidRPr="00D243A9" w:rsidRDefault="003A3C07" w:rsidP="00D243A9">
      <w:pPr>
        <w:spacing w:line="240" w:lineRule="auto"/>
        <w:jc w:val="both"/>
        <w:rPr>
          <w:rFonts w:cstheme="minorHAnsi"/>
        </w:rPr>
      </w:pPr>
      <w:r w:rsidRPr="00D243A9">
        <w:rPr>
          <w:rFonts w:cstheme="minorHAnsi"/>
        </w:rPr>
        <w:t xml:space="preserve">Our focus remains firmly on </w:t>
      </w:r>
      <w:r w:rsidR="00C87BB2">
        <w:rPr>
          <w:rFonts w:cstheme="minorHAnsi"/>
        </w:rPr>
        <w:t>laying the foundations for</w:t>
      </w:r>
      <w:r w:rsidRPr="00D243A9">
        <w:rPr>
          <w:rFonts w:cstheme="minorHAnsi"/>
        </w:rPr>
        <w:t xml:space="preserve"> future growth. We are prioritising investment in AI-driven technologies, enhancing our processes through greater </w:t>
      </w:r>
      <w:r w:rsidR="006A1D1B">
        <w:rPr>
          <w:rFonts w:cstheme="minorHAnsi"/>
        </w:rPr>
        <w:t>digitisation</w:t>
      </w:r>
      <w:r w:rsidRPr="00D243A9">
        <w:rPr>
          <w:rFonts w:cstheme="minorHAnsi"/>
        </w:rPr>
        <w:t xml:space="preserve"> and continuing to develop our people, while keeping </w:t>
      </w:r>
      <w:r w:rsidR="002E41E5">
        <w:rPr>
          <w:rFonts w:cstheme="minorHAnsi"/>
        </w:rPr>
        <w:t>our</w:t>
      </w:r>
      <w:r w:rsidRPr="00D243A9">
        <w:rPr>
          <w:rFonts w:cstheme="minorHAnsi"/>
        </w:rPr>
        <w:t xml:space="preserve"> </w:t>
      </w:r>
      <w:r w:rsidR="002E41E5">
        <w:rPr>
          <w:rFonts w:cstheme="minorHAnsi"/>
        </w:rPr>
        <w:t>customers</w:t>
      </w:r>
      <w:r w:rsidRPr="00D243A9">
        <w:rPr>
          <w:rFonts w:cstheme="minorHAnsi"/>
        </w:rPr>
        <w:t xml:space="preserve"> at the centre of everything we do.</w:t>
      </w:r>
    </w:p>
    <w:p w14:paraId="79D1C25F" w14:textId="683A2289" w:rsidR="003A3C07" w:rsidRPr="00D243A9" w:rsidRDefault="003A3C07" w:rsidP="00D243A9">
      <w:pPr>
        <w:spacing w:line="240" w:lineRule="auto"/>
        <w:jc w:val="both"/>
        <w:rPr>
          <w:rFonts w:cstheme="minorHAnsi"/>
        </w:rPr>
      </w:pPr>
      <w:r w:rsidRPr="00D243A9">
        <w:rPr>
          <w:rFonts w:cstheme="minorHAnsi"/>
        </w:rPr>
        <w:t xml:space="preserve">This year, we launched our Executive Management Programme and Management Training Programme to ensure our leaders are future-ready. We are also significantly expanding our training portfolio, including our Cadet Programmes for pilots, engineers and dispatchers, to build a strong pipeline of talent that will support our long-term growth. This is further strengthened by our Flight Training </w:t>
      </w:r>
      <w:r w:rsidR="00EA485B">
        <w:rPr>
          <w:rFonts w:cstheme="minorHAnsi"/>
        </w:rPr>
        <w:t>c</w:t>
      </w:r>
      <w:r w:rsidRPr="00D243A9">
        <w:rPr>
          <w:rFonts w:cstheme="minorHAnsi"/>
        </w:rPr>
        <w:t>entre, now equipped with four full-flight simulators, giving us greater control and flexibility over training schedules</w:t>
      </w:r>
      <w:r w:rsidR="00201929">
        <w:rPr>
          <w:rFonts w:cstheme="minorHAnsi"/>
        </w:rPr>
        <w:t xml:space="preserve"> for our pilots, and potentially</w:t>
      </w:r>
      <w:r w:rsidR="00DA7752">
        <w:rPr>
          <w:rFonts w:cstheme="minorHAnsi"/>
        </w:rPr>
        <w:t xml:space="preserve"> </w:t>
      </w:r>
      <w:r w:rsidR="00201929">
        <w:rPr>
          <w:rFonts w:cstheme="minorHAnsi"/>
        </w:rPr>
        <w:t>other airlines in the future</w:t>
      </w:r>
      <w:r w:rsidRPr="00D243A9">
        <w:rPr>
          <w:rFonts w:cstheme="minorHAnsi"/>
        </w:rPr>
        <w:t>.</w:t>
      </w:r>
      <w:r w:rsidR="001D1EE3" w:rsidRPr="00D243A9">
        <w:rPr>
          <w:rFonts w:cstheme="minorHAnsi"/>
        </w:rPr>
        <w:t xml:space="preserve"> </w:t>
      </w:r>
      <w:r w:rsidR="00780BBF" w:rsidRPr="00D243A9">
        <w:rPr>
          <w:rFonts w:cstheme="minorHAnsi"/>
        </w:rPr>
        <w:t>We are looking forward to inaugurating our new Aircraft Maintenance Centre at Dubai South,</w:t>
      </w:r>
      <w:r w:rsidR="00E8221C">
        <w:rPr>
          <w:rFonts w:cstheme="minorHAnsi"/>
        </w:rPr>
        <w:t xml:space="preserve"> which is</w:t>
      </w:r>
      <w:r w:rsidR="00780BBF" w:rsidRPr="00D243A9">
        <w:rPr>
          <w:rFonts w:cstheme="minorHAnsi"/>
        </w:rPr>
        <w:t xml:space="preserve"> set to complete construction in the last quarter of 2026</w:t>
      </w:r>
      <w:r w:rsidR="00E8221C">
        <w:rPr>
          <w:rFonts w:cstheme="minorHAnsi"/>
        </w:rPr>
        <w:t xml:space="preserve">. </w:t>
      </w:r>
      <w:r w:rsidR="00E8221C" w:rsidRPr="00D243A9">
        <w:rPr>
          <w:rFonts w:cstheme="minorHAnsi"/>
        </w:rPr>
        <w:t>The multimillion-dollar facility</w:t>
      </w:r>
      <w:r w:rsidR="00780BBF" w:rsidRPr="00D243A9">
        <w:rPr>
          <w:rFonts w:cstheme="minorHAnsi"/>
        </w:rPr>
        <w:t xml:space="preserve"> will ensure an increased level of control and</w:t>
      </w:r>
      <w:r w:rsidR="00416445">
        <w:rPr>
          <w:rFonts w:cstheme="minorHAnsi"/>
        </w:rPr>
        <w:t xml:space="preserve"> a</w:t>
      </w:r>
      <w:r w:rsidR="00780BBF" w:rsidRPr="00D243A9">
        <w:rPr>
          <w:rFonts w:cstheme="minorHAnsi"/>
        </w:rPr>
        <w:t xml:space="preserve"> </w:t>
      </w:r>
      <w:r w:rsidR="002D595D">
        <w:rPr>
          <w:rFonts w:cstheme="minorHAnsi"/>
        </w:rPr>
        <w:t>faster</w:t>
      </w:r>
      <w:r w:rsidR="00780BBF" w:rsidRPr="00D243A9">
        <w:rPr>
          <w:rFonts w:cstheme="minorHAnsi"/>
        </w:rPr>
        <w:t xml:space="preserve"> maintenance turnaround for the carrier’s growing fleet.</w:t>
      </w:r>
    </w:p>
    <w:p w14:paraId="3F369859" w14:textId="29ADCF06" w:rsidR="003A3C07" w:rsidRPr="00D243A9" w:rsidRDefault="003A3C07" w:rsidP="00D243A9">
      <w:pPr>
        <w:spacing w:line="240" w:lineRule="auto"/>
        <w:jc w:val="both"/>
        <w:rPr>
          <w:rFonts w:cstheme="minorHAnsi"/>
        </w:rPr>
      </w:pPr>
      <w:r w:rsidRPr="00D243A9">
        <w:rPr>
          <w:rFonts w:cstheme="minorHAnsi"/>
        </w:rPr>
        <w:t xml:space="preserve">We expect to take delivery of 12 aircraft in 2026, subject to manufacturer schedules. Seven of these will be Boeing 737 MAX 9 aircraft, increasing our Business Class capacity, and five will be Boeing 737 MAX 8 aircraft. These fuel-efficient aircraft support both our growth ambitions and our sustainability commitments. We will also add frequencies across selected routes and continue to evaluate new growth opportunities, including the launch of Bangkok later this year, </w:t>
      </w:r>
      <w:r w:rsidR="002560DC">
        <w:rPr>
          <w:rFonts w:cstheme="minorHAnsi"/>
        </w:rPr>
        <w:t>which will mark</w:t>
      </w:r>
      <w:r w:rsidRPr="00D243A9">
        <w:rPr>
          <w:rFonts w:cstheme="minorHAnsi"/>
        </w:rPr>
        <w:t xml:space="preserve"> an important gateway into Southeast Asia.</w:t>
      </w:r>
    </w:p>
    <w:p w14:paraId="43F63F16" w14:textId="2FC9F7D7" w:rsidR="00D1673C" w:rsidRPr="00D243A9" w:rsidRDefault="003A3C07" w:rsidP="00D243A9">
      <w:pPr>
        <w:spacing w:line="240" w:lineRule="auto"/>
        <w:jc w:val="both"/>
        <w:rPr>
          <w:rFonts w:cstheme="minorHAnsi"/>
        </w:rPr>
      </w:pPr>
      <w:r w:rsidRPr="00D243A9">
        <w:rPr>
          <w:rFonts w:cstheme="minorHAnsi"/>
        </w:rPr>
        <w:t xml:space="preserve">None of this would be possible without the dedication and professionalism of our </w:t>
      </w:r>
      <w:r w:rsidR="001952C5">
        <w:rPr>
          <w:rFonts w:cstheme="minorHAnsi"/>
        </w:rPr>
        <w:t>people</w:t>
      </w:r>
      <w:r w:rsidRPr="00D243A9">
        <w:rPr>
          <w:rFonts w:cstheme="minorHAnsi"/>
        </w:rPr>
        <w:t>. Their continued focus on operational efficiency, innovation, on-time performance and customer excellence positions us strongly for the year ahead and reinforces our confidence in flydubai’s continued trajectory of sustainable growth.”</w:t>
      </w:r>
    </w:p>
    <w:p w14:paraId="031F0C3A" w14:textId="6EEAF4C8" w:rsidR="006553D8" w:rsidRPr="00D243A9" w:rsidRDefault="002D4763" w:rsidP="006553D8">
      <w:pPr>
        <w:spacing w:after="0" w:line="240" w:lineRule="auto"/>
        <w:rPr>
          <w:rFonts w:eastAsia="Times New Roman" w:cstheme="minorHAnsi"/>
          <w:b/>
          <w:bCs/>
          <w:color w:val="212121"/>
          <w:u w:val="single"/>
        </w:rPr>
      </w:pPr>
      <w:r w:rsidRPr="00D243A9">
        <w:rPr>
          <w:rFonts w:eastAsia="Times New Roman" w:cstheme="minorHAnsi"/>
          <w:b/>
          <w:bCs/>
          <w:color w:val="212121"/>
          <w:u w:val="single"/>
        </w:rPr>
        <w:t>Full Year 202</w:t>
      </w:r>
      <w:r w:rsidR="00D01CFE" w:rsidRPr="00D243A9">
        <w:rPr>
          <w:rFonts w:eastAsia="Times New Roman" w:cstheme="minorHAnsi"/>
          <w:b/>
          <w:bCs/>
          <w:color w:val="212121"/>
          <w:u w:val="single"/>
        </w:rPr>
        <w:t>5</w:t>
      </w:r>
      <w:r w:rsidRPr="00D243A9">
        <w:rPr>
          <w:rFonts w:eastAsia="Times New Roman" w:cstheme="minorHAnsi"/>
          <w:b/>
          <w:bCs/>
          <w:color w:val="212121"/>
          <w:u w:val="single"/>
        </w:rPr>
        <w:t xml:space="preserve"> </w:t>
      </w:r>
      <w:r w:rsidR="00497DE8" w:rsidRPr="00D243A9">
        <w:rPr>
          <w:rFonts w:eastAsia="Times New Roman" w:cstheme="minorHAnsi"/>
          <w:b/>
          <w:bCs/>
          <w:color w:val="212121"/>
          <w:u w:val="single"/>
        </w:rPr>
        <w:t>P</w:t>
      </w:r>
      <w:r w:rsidRPr="00D243A9">
        <w:rPr>
          <w:rFonts w:eastAsia="Times New Roman" w:cstheme="minorHAnsi"/>
          <w:b/>
          <w:bCs/>
          <w:color w:val="212121"/>
          <w:u w:val="single"/>
        </w:rPr>
        <w:t>erformance</w:t>
      </w:r>
    </w:p>
    <w:p w14:paraId="5924AC04" w14:textId="77777777" w:rsidR="006553D8" w:rsidRPr="00D243A9" w:rsidRDefault="006553D8" w:rsidP="006553D8">
      <w:pPr>
        <w:spacing w:after="0" w:line="240" w:lineRule="auto"/>
        <w:rPr>
          <w:rFonts w:eastAsia="Times New Roman" w:cstheme="minorHAnsi"/>
          <w:color w:val="212121"/>
        </w:rPr>
      </w:pPr>
    </w:p>
    <w:tbl>
      <w:tblPr>
        <w:tblW w:w="9270" w:type="dxa"/>
        <w:tblInd w:w="-10" w:type="dxa"/>
        <w:tblCellMar>
          <w:left w:w="0" w:type="dxa"/>
          <w:right w:w="0" w:type="dxa"/>
        </w:tblCellMar>
        <w:tblLook w:val="04A0" w:firstRow="1" w:lastRow="0" w:firstColumn="1" w:lastColumn="0" w:noHBand="0" w:noVBand="1"/>
      </w:tblPr>
      <w:tblGrid>
        <w:gridCol w:w="4860"/>
        <w:gridCol w:w="4410"/>
      </w:tblGrid>
      <w:tr w:rsidR="006553D8" w:rsidRPr="00D243A9" w14:paraId="097AFF3A" w14:textId="77777777" w:rsidTr="00BF2104">
        <w:trPr>
          <w:trHeight w:val="564"/>
        </w:trPr>
        <w:tc>
          <w:tcPr>
            <w:tcW w:w="486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6EE7EFF7" w14:textId="77777777" w:rsidR="006553D8" w:rsidRPr="00D243A9" w:rsidRDefault="006553D8">
            <w:pPr>
              <w:spacing w:after="0" w:line="240" w:lineRule="auto"/>
              <w:rPr>
                <w:rFonts w:eastAsia="Times New Roman" w:cstheme="minorHAnsi"/>
                <w:color w:val="212121"/>
              </w:rPr>
            </w:pPr>
            <w:r w:rsidRPr="00D243A9">
              <w:rPr>
                <w:rFonts w:eastAsia="Times New Roman" w:cstheme="minorHAnsi"/>
                <w:b/>
                <w:bCs/>
                <w:color w:val="000000"/>
              </w:rPr>
              <w:t>Key performance figures for:</w:t>
            </w:r>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EDD7C2" w14:textId="7E10BBCD" w:rsidR="006553D8" w:rsidRPr="00D243A9" w:rsidRDefault="006553D8">
            <w:pPr>
              <w:spacing w:after="0" w:line="240" w:lineRule="auto"/>
              <w:jc w:val="center"/>
              <w:rPr>
                <w:rFonts w:eastAsia="Times New Roman" w:cstheme="minorHAnsi"/>
                <w:color w:val="212121"/>
              </w:rPr>
            </w:pPr>
            <w:r w:rsidRPr="00D243A9">
              <w:rPr>
                <w:rFonts w:eastAsia="Times New Roman" w:cstheme="minorHAnsi"/>
                <w:b/>
                <w:bCs/>
                <w:color w:val="000000"/>
              </w:rPr>
              <w:t>Reporting period for </w:t>
            </w:r>
            <w:r w:rsidRPr="00D243A9">
              <w:rPr>
                <w:rFonts w:eastAsia="Times New Roman" w:cstheme="minorHAnsi"/>
                <w:b/>
                <w:bCs/>
                <w:color w:val="000000"/>
              </w:rPr>
              <w:br/>
              <w:t>31-Dec-</w:t>
            </w:r>
            <w:r w:rsidR="00452DA8" w:rsidRPr="00D243A9">
              <w:rPr>
                <w:rFonts w:eastAsia="Times New Roman" w:cstheme="minorHAnsi"/>
                <w:b/>
                <w:bCs/>
                <w:color w:val="000000"/>
              </w:rPr>
              <w:t>2</w:t>
            </w:r>
            <w:r w:rsidR="00A347E0" w:rsidRPr="00D243A9">
              <w:rPr>
                <w:rFonts w:eastAsia="Times New Roman" w:cstheme="minorHAnsi"/>
                <w:b/>
                <w:bCs/>
                <w:color w:val="000000"/>
              </w:rPr>
              <w:t>5</w:t>
            </w:r>
          </w:p>
        </w:tc>
      </w:tr>
      <w:tr w:rsidR="00246DCD" w:rsidRPr="00D243A9" w14:paraId="12DCD249" w14:textId="77777777" w:rsidTr="00246DCD">
        <w:trPr>
          <w:trHeight w:val="360"/>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9E0E10" w14:textId="77777777" w:rsidR="00246DCD" w:rsidRPr="00D243A9" w:rsidRDefault="00246DCD" w:rsidP="00246DCD">
            <w:pPr>
              <w:spacing w:after="0" w:line="240" w:lineRule="auto"/>
              <w:rPr>
                <w:rFonts w:eastAsia="Times New Roman" w:cstheme="minorHAnsi"/>
                <w:color w:val="212121"/>
              </w:rPr>
            </w:pPr>
            <w:r w:rsidRPr="00D243A9">
              <w:rPr>
                <w:rFonts w:eastAsia="Times New Roman" w:cstheme="minorHAnsi"/>
                <w:color w:val="000000"/>
              </w:rPr>
              <w:t>Total annual revenue </w:t>
            </w:r>
          </w:p>
        </w:tc>
        <w:tc>
          <w:tcPr>
            <w:tcW w:w="4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8E6C48" w14:textId="483BDB86" w:rsidR="00246DCD" w:rsidRPr="00246DCD" w:rsidRDefault="00246DCD" w:rsidP="00246DCD">
            <w:pPr>
              <w:jc w:val="center"/>
              <w:rPr>
                <w:color w:val="FF0000"/>
                <w:highlight w:val="green"/>
              </w:rPr>
            </w:pPr>
            <w:r w:rsidRPr="00A0414B">
              <w:t>AED 13.6 billion (USD 3.7 billion) (6% increase compared to 2024)</w:t>
            </w:r>
          </w:p>
        </w:tc>
      </w:tr>
      <w:tr w:rsidR="00246DCD" w:rsidRPr="00D243A9" w14:paraId="7B1C7E79" w14:textId="77777777" w:rsidTr="00246DCD">
        <w:trPr>
          <w:trHeight w:val="360"/>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7C02FA" w14:textId="7C748F12" w:rsidR="00246DCD" w:rsidRPr="00D243A9" w:rsidRDefault="00246DCD" w:rsidP="00246DCD">
            <w:pPr>
              <w:spacing w:after="0" w:line="240" w:lineRule="auto"/>
              <w:rPr>
                <w:rFonts w:eastAsia="Times New Roman" w:cstheme="minorHAnsi"/>
                <w:color w:val="212121"/>
              </w:rPr>
            </w:pPr>
            <w:r w:rsidRPr="00D243A9">
              <w:rPr>
                <w:rFonts w:eastAsia="Times New Roman" w:cstheme="minorHAnsi"/>
                <w:color w:val="000000"/>
              </w:rPr>
              <w:t>Total annual profit before Tax</w:t>
            </w:r>
          </w:p>
        </w:tc>
        <w:tc>
          <w:tcPr>
            <w:tcW w:w="4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C8AFD18" w14:textId="089516FF" w:rsidR="00246DCD" w:rsidRPr="00246DCD" w:rsidRDefault="00246DCD" w:rsidP="00246DCD">
            <w:pPr>
              <w:spacing w:after="0" w:line="240" w:lineRule="auto"/>
              <w:jc w:val="center"/>
              <w:rPr>
                <w:rFonts w:eastAsia="Times New Roman" w:cstheme="minorHAnsi"/>
                <w:color w:val="FF0000"/>
              </w:rPr>
            </w:pPr>
            <w:r w:rsidRPr="00A0414B">
              <w:t xml:space="preserve">AED 2.2 billion (USD 591 million) </w:t>
            </w:r>
          </w:p>
        </w:tc>
      </w:tr>
      <w:tr w:rsidR="00246DCD" w:rsidRPr="00D243A9" w14:paraId="18310955" w14:textId="77777777" w:rsidTr="00246DCD">
        <w:trPr>
          <w:trHeight w:val="360"/>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B473B" w14:textId="035880EE" w:rsidR="00246DCD" w:rsidRPr="00D243A9" w:rsidRDefault="00246DCD" w:rsidP="00246DCD">
            <w:pPr>
              <w:spacing w:after="0" w:line="240" w:lineRule="auto"/>
              <w:rPr>
                <w:rFonts w:eastAsia="Times New Roman" w:cstheme="minorHAnsi"/>
                <w:color w:val="000000"/>
              </w:rPr>
            </w:pPr>
            <w:r w:rsidRPr="00D243A9">
              <w:rPr>
                <w:rFonts w:eastAsia="Times New Roman" w:cstheme="minorHAnsi"/>
                <w:color w:val="000000"/>
              </w:rPr>
              <w:t>Total annual profit after Tax</w:t>
            </w:r>
          </w:p>
        </w:tc>
        <w:tc>
          <w:tcPr>
            <w:tcW w:w="4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58869E" w14:textId="104EE40E" w:rsidR="00246DCD" w:rsidRPr="00246DCD" w:rsidRDefault="00246DCD" w:rsidP="00246DCD">
            <w:pPr>
              <w:spacing w:after="0" w:line="240" w:lineRule="auto"/>
              <w:jc w:val="center"/>
              <w:rPr>
                <w:rFonts w:eastAsia="Times New Roman" w:cstheme="minorHAnsi"/>
                <w:color w:val="FF0000"/>
              </w:rPr>
            </w:pPr>
            <w:r w:rsidRPr="00A0414B">
              <w:t>AED 1.9 billion (USD 531 million)</w:t>
            </w:r>
          </w:p>
        </w:tc>
      </w:tr>
      <w:tr w:rsidR="006553D8" w:rsidRPr="00D243A9" w14:paraId="7F5305A4" w14:textId="77777777" w:rsidTr="00BF2104">
        <w:trPr>
          <w:trHeight w:val="360"/>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CD26F" w14:textId="77777777" w:rsidR="006553D8" w:rsidRPr="00D243A9" w:rsidRDefault="006553D8">
            <w:pPr>
              <w:spacing w:after="0" w:line="240" w:lineRule="auto"/>
              <w:rPr>
                <w:rFonts w:eastAsia="Times New Roman" w:cstheme="minorHAnsi"/>
                <w:color w:val="212121"/>
              </w:rPr>
            </w:pPr>
            <w:r w:rsidRPr="00D243A9">
              <w:rPr>
                <w:rFonts w:eastAsia="Times New Roman" w:cstheme="minorHAnsi"/>
                <w:color w:val="000000"/>
              </w:rPr>
              <w:t>Total cash assets, including pre-delivery payments</w:t>
            </w:r>
          </w:p>
        </w:tc>
        <w:tc>
          <w:tcPr>
            <w:tcW w:w="4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91A425" w14:textId="36A4087D" w:rsidR="006553D8" w:rsidRPr="00D243A9" w:rsidRDefault="005E36D9" w:rsidP="005E36D9">
            <w:pPr>
              <w:spacing w:after="0" w:line="240" w:lineRule="auto"/>
              <w:jc w:val="center"/>
              <w:rPr>
                <w:rFonts w:eastAsia="Times New Roman" w:cstheme="minorHAnsi"/>
                <w:color w:val="212121"/>
              </w:rPr>
            </w:pPr>
            <w:r w:rsidRPr="00D243A9">
              <w:rPr>
                <w:rFonts w:eastAsia="Times New Roman" w:cstheme="minorHAnsi"/>
                <w:color w:val="212121"/>
              </w:rPr>
              <w:t>AED 5.6 billion (USD 1.5 billion)</w:t>
            </w:r>
          </w:p>
        </w:tc>
      </w:tr>
      <w:tr w:rsidR="006553D8" w:rsidRPr="00D243A9" w14:paraId="1C16EB56" w14:textId="77777777" w:rsidTr="00BF2104">
        <w:trPr>
          <w:trHeight w:val="360"/>
        </w:trPr>
        <w:tc>
          <w:tcPr>
            <w:tcW w:w="4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0C5B7E" w14:textId="77777777" w:rsidR="006553D8" w:rsidRPr="00D243A9" w:rsidRDefault="006553D8">
            <w:pPr>
              <w:spacing w:after="0" w:line="240" w:lineRule="auto"/>
              <w:rPr>
                <w:rFonts w:eastAsia="Times New Roman" w:cstheme="minorHAnsi"/>
                <w:color w:val="212121"/>
              </w:rPr>
            </w:pPr>
            <w:r w:rsidRPr="00D243A9">
              <w:rPr>
                <w:rFonts w:eastAsia="Times New Roman" w:cstheme="minorHAnsi"/>
                <w:color w:val="000000"/>
              </w:rPr>
              <w:lastRenderedPageBreak/>
              <w:t>RPKM</w:t>
            </w:r>
            <w:r w:rsidRPr="00D243A9">
              <w:rPr>
                <w:rStyle w:val="FootnoteReference"/>
                <w:rFonts w:eastAsia="Times New Roman" w:cstheme="minorHAnsi"/>
                <w:color w:val="000000"/>
              </w:rPr>
              <w:footnoteReference w:id="1"/>
            </w:r>
            <w:r w:rsidRPr="00D243A9">
              <w:rPr>
                <w:rFonts w:eastAsia="Times New Roman" w:cstheme="minorHAnsi"/>
                <w:color w:val="000000"/>
              </w:rPr>
              <w:t xml:space="preserve"> (% growth)</w:t>
            </w:r>
          </w:p>
        </w:tc>
        <w:tc>
          <w:tcPr>
            <w:tcW w:w="4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1EAE71" w14:textId="5D0FCB78" w:rsidR="006553D8" w:rsidRPr="00D243A9" w:rsidRDefault="00AB254C">
            <w:pPr>
              <w:spacing w:after="0" w:line="240" w:lineRule="auto"/>
              <w:jc w:val="center"/>
              <w:rPr>
                <w:rFonts w:eastAsia="Times New Roman" w:cstheme="minorHAnsi"/>
                <w:color w:val="212121"/>
              </w:rPr>
            </w:pPr>
            <w:r w:rsidRPr="00D243A9">
              <w:rPr>
                <w:rFonts w:eastAsia="Times New Roman" w:cstheme="minorHAnsi"/>
                <w:color w:val="212121"/>
              </w:rPr>
              <w:t>6%</w:t>
            </w:r>
          </w:p>
        </w:tc>
      </w:tr>
      <w:tr w:rsidR="006553D8" w:rsidRPr="00D243A9" w14:paraId="42E09122" w14:textId="77777777" w:rsidTr="00BF2104">
        <w:trPr>
          <w:trHeight w:val="360"/>
        </w:trPr>
        <w:tc>
          <w:tcPr>
            <w:tcW w:w="4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4F0441" w14:textId="77777777" w:rsidR="006553D8" w:rsidRPr="00D243A9" w:rsidRDefault="006553D8">
            <w:pPr>
              <w:spacing w:after="0" w:line="240" w:lineRule="auto"/>
              <w:rPr>
                <w:rFonts w:eastAsia="Times New Roman" w:cstheme="minorHAnsi"/>
                <w:color w:val="212121"/>
              </w:rPr>
            </w:pPr>
            <w:r w:rsidRPr="00D243A9">
              <w:rPr>
                <w:rFonts w:eastAsia="Times New Roman" w:cstheme="minorHAnsi"/>
                <w:color w:val="000000"/>
              </w:rPr>
              <w:t>ASKM</w:t>
            </w:r>
            <w:r w:rsidRPr="00D243A9">
              <w:rPr>
                <w:rStyle w:val="FootnoteReference"/>
                <w:rFonts w:eastAsia="Times New Roman" w:cstheme="minorHAnsi"/>
                <w:color w:val="000000"/>
              </w:rPr>
              <w:footnoteReference w:id="2"/>
            </w:r>
            <w:r w:rsidRPr="00D243A9">
              <w:rPr>
                <w:rFonts w:eastAsia="Times New Roman" w:cstheme="minorHAnsi"/>
                <w:color w:val="000000"/>
              </w:rPr>
              <w:t xml:space="preserve"> (million)</w:t>
            </w:r>
          </w:p>
        </w:tc>
        <w:tc>
          <w:tcPr>
            <w:tcW w:w="4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30C6E" w14:textId="3EF76FD7" w:rsidR="006553D8" w:rsidRPr="00D243A9" w:rsidRDefault="00AB254C" w:rsidP="006774AA">
            <w:pPr>
              <w:spacing w:after="0" w:line="240" w:lineRule="auto"/>
              <w:jc w:val="center"/>
              <w:rPr>
                <w:rFonts w:eastAsia="Times New Roman" w:cstheme="minorHAnsi"/>
                <w:color w:val="000000"/>
              </w:rPr>
            </w:pPr>
            <w:r w:rsidRPr="00D243A9">
              <w:rPr>
                <w:rFonts w:eastAsia="Times New Roman" w:cstheme="minorHAnsi"/>
                <w:color w:val="000000"/>
              </w:rPr>
              <w:t>47,148 (6% increase compared to 2024)</w:t>
            </w:r>
          </w:p>
        </w:tc>
      </w:tr>
      <w:tr w:rsidR="006553D8" w:rsidRPr="00D243A9" w14:paraId="39774433" w14:textId="77777777" w:rsidTr="00BF2104">
        <w:trPr>
          <w:trHeight w:val="360"/>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2C8F88" w14:textId="77777777" w:rsidR="006553D8" w:rsidRPr="00D243A9" w:rsidRDefault="006553D8">
            <w:pPr>
              <w:spacing w:after="0" w:line="240" w:lineRule="auto"/>
              <w:rPr>
                <w:rFonts w:eastAsia="Times New Roman" w:cstheme="minorHAnsi"/>
                <w:color w:val="212121"/>
              </w:rPr>
            </w:pPr>
            <w:r w:rsidRPr="00D243A9">
              <w:rPr>
                <w:rFonts w:eastAsia="Times New Roman" w:cstheme="minorHAnsi"/>
                <w:color w:val="000000"/>
              </w:rPr>
              <w:t>Passenger numbers</w:t>
            </w:r>
          </w:p>
        </w:tc>
        <w:tc>
          <w:tcPr>
            <w:tcW w:w="4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8B2781" w14:textId="7FCD6E6D" w:rsidR="006553D8" w:rsidRPr="00D243A9" w:rsidRDefault="00AB254C" w:rsidP="006774AA">
            <w:pPr>
              <w:spacing w:after="0" w:line="240" w:lineRule="auto"/>
              <w:jc w:val="center"/>
              <w:rPr>
                <w:rFonts w:eastAsia="Times New Roman" w:cstheme="minorHAnsi"/>
                <w:color w:val="000000"/>
              </w:rPr>
            </w:pPr>
            <w:r w:rsidRPr="001532B0">
              <w:rPr>
                <w:rFonts w:eastAsia="Times New Roman" w:cstheme="minorHAnsi"/>
              </w:rPr>
              <w:t>15.</w:t>
            </w:r>
            <w:r w:rsidR="00B8449E" w:rsidRPr="001532B0">
              <w:rPr>
                <w:rFonts w:eastAsia="Times New Roman" w:cstheme="minorHAnsi"/>
              </w:rPr>
              <w:t>7</w:t>
            </w:r>
            <w:r w:rsidRPr="001532B0">
              <w:rPr>
                <w:rFonts w:eastAsia="Times New Roman" w:cstheme="minorHAnsi"/>
              </w:rPr>
              <w:t xml:space="preserve"> </w:t>
            </w:r>
            <w:r w:rsidRPr="00D243A9">
              <w:rPr>
                <w:rFonts w:eastAsia="Times New Roman" w:cstheme="minorHAnsi"/>
                <w:color w:val="000000"/>
              </w:rPr>
              <w:t>million (2% increase compared to 2024)</w:t>
            </w:r>
          </w:p>
        </w:tc>
      </w:tr>
      <w:tr w:rsidR="00BF2104" w:rsidRPr="00D243A9" w14:paraId="32ACC00A" w14:textId="77777777" w:rsidTr="00BF2104">
        <w:trPr>
          <w:trHeight w:val="360"/>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58381A" w14:textId="03C1A289" w:rsidR="00BF2104" w:rsidRPr="00D243A9" w:rsidRDefault="00700EB1">
            <w:pPr>
              <w:spacing w:after="0" w:line="240" w:lineRule="auto"/>
              <w:rPr>
                <w:rFonts w:eastAsia="Times New Roman" w:cstheme="minorHAnsi"/>
                <w:color w:val="000000"/>
              </w:rPr>
            </w:pPr>
            <w:r w:rsidRPr="00D243A9">
              <w:rPr>
                <w:rFonts w:eastAsia="Times New Roman" w:cstheme="minorHAnsi"/>
              </w:rPr>
              <w:t>EBITDA</w:t>
            </w:r>
            <w:r w:rsidRPr="00D243A9">
              <w:rPr>
                <w:rStyle w:val="FootnoteReference"/>
                <w:rFonts w:eastAsia="Times New Roman" w:cstheme="minorHAnsi"/>
              </w:rPr>
              <w:t xml:space="preserve"> </w:t>
            </w:r>
            <w:r w:rsidRPr="00D243A9">
              <w:rPr>
                <w:rStyle w:val="FootnoteReference"/>
                <w:rFonts w:eastAsia="Times New Roman" w:cstheme="minorHAnsi"/>
              </w:rPr>
              <w:footnoteReference w:id="3"/>
            </w:r>
            <w:r w:rsidRPr="00D243A9">
              <w:rPr>
                <w:rFonts w:eastAsia="Times New Roman" w:cstheme="minorHAnsi"/>
              </w:rPr>
              <w:t xml:space="preserve"> </w:t>
            </w:r>
          </w:p>
        </w:tc>
        <w:tc>
          <w:tcPr>
            <w:tcW w:w="4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6D2837" w14:textId="4815038A" w:rsidR="00BF2104" w:rsidRPr="00D243A9" w:rsidRDefault="002E5692" w:rsidP="002E5692">
            <w:pPr>
              <w:spacing w:after="0" w:line="240" w:lineRule="auto"/>
              <w:jc w:val="center"/>
              <w:rPr>
                <w:rFonts w:eastAsia="Times New Roman" w:cstheme="minorHAnsi"/>
                <w:color w:val="000000"/>
              </w:rPr>
            </w:pPr>
            <w:r w:rsidRPr="00D243A9">
              <w:rPr>
                <w:rFonts w:eastAsia="Times New Roman" w:cstheme="minorHAnsi"/>
                <w:color w:val="212121"/>
              </w:rPr>
              <w:t>AED 4.0 billion (USD 1.1 billion)</w:t>
            </w:r>
          </w:p>
        </w:tc>
      </w:tr>
      <w:tr w:rsidR="00971F61" w:rsidRPr="00D243A9" w14:paraId="21AB5B8F" w14:textId="77777777" w:rsidTr="008D2F6A">
        <w:trPr>
          <w:trHeight w:val="360"/>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F38BC8" w14:textId="40826ABB" w:rsidR="00971F61" w:rsidRPr="00D243A9" w:rsidRDefault="00971F61" w:rsidP="00971F61">
            <w:pPr>
              <w:spacing w:after="0" w:line="240" w:lineRule="auto"/>
              <w:rPr>
                <w:rFonts w:eastAsia="Times New Roman" w:cstheme="minorHAnsi"/>
                <w:color w:val="000000"/>
              </w:rPr>
            </w:pPr>
            <w:r w:rsidRPr="00D243A9">
              <w:rPr>
                <w:rFonts w:cstheme="minorHAnsi"/>
              </w:rPr>
              <w:t>Cargo tonnage carried</w:t>
            </w:r>
          </w:p>
        </w:tc>
        <w:tc>
          <w:tcPr>
            <w:tcW w:w="4410" w:type="dxa"/>
            <w:tcBorders>
              <w:top w:val="nil"/>
              <w:left w:val="nil"/>
              <w:bottom w:val="single" w:sz="8" w:space="0" w:color="auto"/>
              <w:right w:val="single" w:sz="8" w:space="0" w:color="auto"/>
            </w:tcBorders>
            <w:tcMar>
              <w:top w:w="0" w:type="dxa"/>
              <w:left w:w="108" w:type="dxa"/>
              <w:bottom w:w="0" w:type="dxa"/>
              <w:right w:w="108" w:type="dxa"/>
            </w:tcMar>
          </w:tcPr>
          <w:p w14:paraId="2C465804" w14:textId="746C6918" w:rsidR="00971F61" w:rsidRPr="00D243A9" w:rsidRDefault="00AB254C" w:rsidP="00971F61">
            <w:pPr>
              <w:spacing w:after="0" w:line="240" w:lineRule="auto"/>
              <w:jc w:val="center"/>
              <w:rPr>
                <w:rFonts w:eastAsia="Times New Roman" w:cstheme="minorHAnsi"/>
                <w:color w:val="000000"/>
              </w:rPr>
            </w:pPr>
            <w:r w:rsidRPr="00D243A9">
              <w:rPr>
                <w:rFonts w:cstheme="minorHAnsi"/>
              </w:rPr>
              <w:t>60,400</w:t>
            </w:r>
          </w:p>
        </w:tc>
      </w:tr>
      <w:tr w:rsidR="006553D8" w:rsidRPr="00D243A9" w14:paraId="6064B1EC" w14:textId="77777777" w:rsidTr="00704A41">
        <w:trPr>
          <w:trHeight w:val="3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B97B4" w14:textId="77777777" w:rsidR="0061774C" w:rsidRPr="00D243A9" w:rsidRDefault="006553D8">
            <w:pPr>
              <w:spacing w:after="0" w:line="240" w:lineRule="auto"/>
              <w:rPr>
                <w:rFonts w:eastAsia="Times New Roman" w:cstheme="minorHAnsi"/>
                <w:color w:val="000000"/>
              </w:rPr>
            </w:pPr>
            <w:r w:rsidRPr="00D243A9">
              <w:rPr>
                <w:rFonts w:eastAsia="Times New Roman" w:cstheme="minorHAnsi"/>
                <w:color w:val="000000"/>
              </w:rPr>
              <w:t>Fuel costs </w:t>
            </w:r>
          </w:p>
          <w:p w14:paraId="2F80252E" w14:textId="703CE289" w:rsidR="006553D8" w:rsidRPr="00D243A9" w:rsidRDefault="006553D8">
            <w:pPr>
              <w:spacing w:after="0" w:line="240" w:lineRule="auto"/>
              <w:rPr>
                <w:rFonts w:eastAsia="Times New Roman" w:cstheme="minorHAnsi"/>
                <w:color w:val="212121"/>
              </w:rPr>
            </w:pPr>
            <w:r w:rsidRPr="00D243A9">
              <w:rPr>
                <w:rFonts w:eastAsia="Times New Roman" w:cstheme="minorHAnsi"/>
                <w:color w:val="000000"/>
              </w:rPr>
              <w:t>% Of total annual operating costs</w:t>
            </w:r>
          </w:p>
        </w:tc>
        <w:tc>
          <w:tcPr>
            <w:tcW w:w="4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1F2894" w14:textId="7FD5DBFD" w:rsidR="006553D8" w:rsidRPr="00D243A9" w:rsidRDefault="00AB254C">
            <w:pPr>
              <w:spacing w:after="0" w:line="240" w:lineRule="auto"/>
              <w:jc w:val="center"/>
              <w:rPr>
                <w:rFonts w:eastAsia="Times New Roman" w:cstheme="minorHAnsi"/>
                <w:color w:val="212121"/>
              </w:rPr>
            </w:pPr>
            <w:r w:rsidRPr="00D243A9">
              <w:rPr>
                <w:rFonts w:eastAsia="Times New Roman" w:cstheme="minorHAnsi"/>
                <w:color w:val="212121"/>
              </w:rPr>
              <w:t>2</w:t>
            </w:r>
            <w:r w:rsidR="000B1416">
              <w:rPr>
                <w:rFonts w:eastAsia="Times New Roman" w:cstheme="minorHAnsi"/>
                <w:color w:val="212121"/>
              </w:rPr>
              <w:t>5</w:t>
            </w:r>
            <w:r w:rsidRPr="00D243A9">
              <w:rPr>
                <w:rFonts w:eastAsia="Times New Roman" w:cstheme="minorHAnsi"/>
                <w:color w:val="212121"/>
              </w:rPr>
              <w:t>%</w:t>
            </w:r>
          </w:p>
        </w:tc>
      </w:tr>
      <w:tr w:rsidR="006553D8" w:rsidRPr="00D243A9" w14:paraId="4F9D9E7E" w14:textId="77777777" w:rsidTr="00BF2104">
        <w:trPr>
          <w:trHeight w:val="360"/>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A83C1" w14:textId="77777777" w:rsidR="006553D8" w:rsidRPr="00D243A9" w:rsidRDefault="006553D8">
            <w:pPr>
              <w:spacing w:after="0" w:line="240" w:lineRule="auto"/>
              <w:rPr>
                <w:rFonts w:eastAsia="Times New Roman" w:cstheme="minorHAnsi"/>
                <w:color w:val="212121"/>
              </w:rPr>
            </w:pPr>
            <w:r w:rsidRPr="00D243A9">
              <w:rPr>
                <w:rFonts w:eastAsia="Times New Roman" w:cstheme="minorHAnsi"/>
                <w:color w:val="000000"/>
              </w:rPr>
              <w:t>Fleet size</w:t>
            </w:r>
          </w:p>
        </w:tc>
        <w:tc>
          <w:tcPr>
            <w:tcW w:w="4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D2E7F" w14:textId="0BC2817A" w:rsidR="006553D8" w:rsidRPr="00D243A9" w:rsidRDefault="008033A9">
            <w:pPr>
              <w:spacing w:after="0" w:line="240" w:lineRule="auto"/>
              <w:jc w:val="center"/>
              <w:rPr>
                <w:rFonts w:eastAsia="Times New Roman" w:cstheme="minorHAnsi"/>
                <w:color w:val="212121"/>
              </w:rPr>
            </w:pPr>
            <w:r w:rsidRPr="00D243A9">
              <w:rPr>
                <w:rFonts w:eastAsia="Times New Roman" w:cstheme="minorHAnsi"/>
                <w:color w:val="212121"/>
              </w:rPr>
              <w:t>97</w:t>
            </w:r>
          </w:p>
        </w:tc>
      </w:tr>
      <w:tr w:rsidR="006553D8" w:rsidRPr="00D243A9" w14:paraId="1CF9C520" w14:textId="77777777" w:rsidTr="00BF2104">
        <w:trPr>
          <w:trHeight w:val="360"/>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D6383D" w14:textId="77777777" w:rsidR="006553D8" w:rsidRPr="00D243A9" w:rsidRDefault="006553D8">
            <w:pPr>
              <w:spacing w:after="0" w:line="240" w:lineRule="auto"/>
              <w:rPr>
                <w:rFonts w:eastAsia="Times New Roman" w:cstheme="minorHAnsi"/>
                <w:color w:val="212121"/>
              </w:rPr>
            </w:pPr>
            <w:r w:rsidRPr="00D243A9">
              <w:rPr>
                <w:rFonts w:eastAsia="Times New Roman" w:cstheme="minorHAnsi"/>
                <w:color w:val="000000"/>
              </w:rPr>
              <w:t>Average aircraft age</w:t>
            </w:r>
          </w:p>
        </w:tc>
        <w:tc>
          <w:tcPr>
            <w:tcW w:w="4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386EA6" w14:textId="429C4141" w:rsidR="006553D8" w:rsidRPr="00D243A9" w:rsidRDefault="008033A9">
            <w:pPr>
              <w:spacing w:after="0" w:line="240" w:lineRule="auto"/>
              <w:jc w:val="center"/>
              <w:rPr>
                <w:rFonts w:eastAsia="Times New Roman" w:cstheme="minorHAnsi"/>
                <w:color w:val="212121"/>
              </w:rPr>
            </w:pPr>
            <w:r w:rsidRPr="000625CD">
              <w:rPr>
                <w:rFonts w:eastAsia="Times New Roman" w:cstheme="minorHAnsi"/>
              </w:rPr>
              <w:t>5.</w:t>
            </w:r>
            <w:r w:rsidR="00E345C9" w:rsidRPr="000625CD">
              <w:rPr>
                <w:rFonts w:eastAsia="Times New Roman" w:cstheme="minorHAnsi"/>
              </w:rPr>
              <w:t>5</w:t>
            </w:r>
            <w:r w:rsidRPr="000625CD">
              <w:rPr>
                <w:rFonts w:eastAsia="Times New Roman" w:cstheme="minorHAnsi"/>
              </w:rPr>
              <w:t xml:space="preserve"> </w:t>
            </w:r>
            <w:r w:rsidRPr="00D243A9">
              <w:rPr>
                <w:rFonts w:eastAsia="Times New Roman" w:cstheme="minorHAnsi"/>
                <w:color w:val="212121"/>
              </w:rPr>
              <w:t>years</w:t>
            </w:r>
          </w:p>
        </w:tc>
      </w:tr>
      <w:tr w:rsidR="006553D8" w:rsidRPr="00D243A9" w14:paraId="6CE7B6FC" w14:textId="77777777" w:rsidTr="00BF2104">
        <w:trPr>
          <w:trHeight w:val="360"/>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0C28FA" w14:textId="77777777" w:rsidR="006553D8" w:rsidRPr="00D243A9" w:rsidRDefault="006553D8">
            <w:pPr>
              <w:spacing w:after="0" w:line="240" w:lineRule="auto"/>
              <w:rPr>
                <w:rFonts w:eastAsia="Times New Roman" w:cstheme="minorHAnsi"/>
                <w:color w:val="212121"/>
              </w:rPr>
            </w:pPr>
            <w:r w:rsidRPr="00D243A9">
              <w:rPr>
                <w:rFonts w:eastAsia="Times New Roman" w:cstheme="minorHAnsi"/>
                <w:color w:val="000000"/>
              </w:rPr>
              <w:t>Total number of departures</w:t>
            </w:r>
          </w:p>
        </w:tc>
        <w:tc>
          <w:tcPr>
            <w:tcW w:w="4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8CDC2F" w14:textId="452B121C" w:rsidR="006553D8" w:rsidRPr="00D243A9" w:rsidRDefault="0068153F">
            <w:pPr>
              <w:spacing w:after="0" w:line="240" w:lineRule="auto"/>
              <w:jc w:val="center"/>
              <w:rPr>
                <w:rFonts w:eastAsia="Times New Roman" w:cstheme="minorHAnsi"/>
                <w:color w:val="212121"/>
              </w:rPr>
            </w:pPr>
            <w:r w:rsidRPr="00D243A9">
              <w:rPr>
                <w:rFonts w:eastAsia="Times New Roman" w:cstheme="minorHAnsi"/>
                <w:color w:val="000000"/>
              </w:rPr>
              <w:t>126,604 (6% increase compared to 2024)</w:t>
            </w:r>
          </w:p>
        </w:tc>
      </w:tr>
      <w:tr w:rsidR="006553D8" w:rsidRPr="00D243A9" w14:paraId="45A4BA03" w14:textId="77777777" w:rsidTr="00BF2104">
        <w:trPr>
          <w:trHeight w:val="360"/>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63DF6E" w14:textId="77777777" w:rsidR="006553D8" w:rsidRPr="00D243A9" w:rsidRDefault="006553D8">
            <w:pPr>
              <w:spacing w:after="0" w:line="240" w:lineRule="auto"/>
              <w:rPr>
                <w:rFonts w:eastAsia="Times New Roman" w:cstheme="minorHAnsi"/>
                <w:color w:val="212121"/>
              </w:rPr>
            </w:pPr>
            <w:r w:rsidRPr="00D243A9">
              <w:rPr>
                <w:rFonts w:eastAsia="Times New Roman" w:cstheme="minorHAnsi"/>
                <w:color w:val="000000"/>
              </w:rPr>
              <w:t>Total number of employees</w:t>
            </w:r>
          </w:p>
        </w:tc>
        <w:tc>
          <w:tcPr>
            <w:tcW w:w="4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F386E" w14:textId="75BE5956" w:rsidR="006553D8" w:rsidRPr="00D243A9" w:rsidRDefault="0068153F">
            <w:pPr>
              <w:spacing w:after="0" w:line="240" w:lineRule="auto"/>
              <w:jc w:val="center"/>
              <w:rPr>
                <w:rFonts w:eastAsia="Times New Roman" w:cstheme="minorHAnsi"/>
                <w:color w:val="212121"/>
              </w:rPr>
            </w:pPr>
            <w:r w:rsidRPr="00D243A9">
              <w:rPr>
                <w:rFonts w:eastAsia="Times New Roman" w:cstheme="minorHAnsi"/>
                <w:color w:val="212121"/>
              </w:rPr>
              <w:t>6,763</w:t>
            </w:r>
          </w:p>
        </w:tc>
      </w:tr>
      <w:tr w:rsidR="006553D8" w:rsidRPr="00D243A9" w14:paraId="4FBAD9A8" w14:textId="77777777" w:rsidTr="00BF2104">
        <w:trPr>
          <w:trHeight w:val="360"/>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80EE10" w14:textId="77777777" w:rsidR="006553D8" w:rsidRPr="00D243A9" w:rsidRDefault="006553D8">
            <w:pPr>
              <w:spacing w:after="0" w:line="240" w:lineRule="auto"/>
              <w:rPr>
                <w:rFonts w:eastAsia="Times New Roman" w:cstheme="minorHAnsi"/>
                <w:color w:val="212121"/>
              </w:rPr>
            </w:pPr>
            <w:r w:rsidRPr="00D243A9">
              <w:rPr>
                <w:rFonts w:eastAsia="Times New Roman" w:cstheme="minorHAnsi"/>
                <w:color w:val="000000"/>
              </w:rPr>
              <w:t>Total number of destinations</w:t>
            </w:r>
          </w:p>
        </w:tc>
        <w:tc>
          <w:tcPr>
            <w:tcW w:w="4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9C801" w14:textId="2ED5CF5D" w:rsidR="006553D8" w:rsidRPr="00D243A9" w:rsidRDefault="0068153F">
            <w:pPr>
              <w:spacing w:after="0" w:line="240" w:lineRule="auto"/>
              <w:jc w:val="center"/>
              <w:rPr>
                <w:rFonts w:eastAsia="Times New Roman" w:cstheme="minorHAnsi"/>
                <w:color w:val="212121"/>
              </w:rPr>
            </w:pPr>
            <w:r w:rsidRPr="00D243A9">
              <w:rPr>
                <w:rFonts w:eastAsia="Times New Roman" w:cstheme="minorHAnsi"/>
                <w:color w:val="212121"/>
              </w:rPr>
              <w:t>140</w:t>
            </w:r>
          </w:p>
        </w:tc>
      </w:tr>
      <w:bookmarkEnd w:id="0"/>
    </w:tbl>
    <w:p w14:paraId="4E3CCF48" w14:textId="77777777" w:rsidR="006553D8" w:rsidRPr="00D243A9" w:rsidRDefault="006553D8" w:rsidP="006553D8">
      <w:pPr>
        <w:jc w:val="both"/>
        <w:rPr>
          <w:rFonts w:cstheme="minorHAnsi"/>
          <w:b/>
          <w:bCs/>
          <w:u w:val="single"/>
        </w:rPr>
      </w:pPr>
    </w:p>
    <w:p w14:paraId="674FCE42" w14:textId="7C103B9A" w:rsidR="0055347B" w:rsidRPr="00D243A9" w:rsidRDefault="006553D8" w:rsidP="009C0CFD">
      <w:pPr>
        <w:jc w:val="center"/>
        <w:rPr>
          <w:rFonts w:cstheme="minorHAnsi"/>
        </w:rPr>
      </w:pPr>
      <w:r w:rsidRPr="00D243A9">
        <w:rPr>
          <w:rFonts w:cstheme="minorHAnsi"/>
        </w:rPr>
        <w:t>***</w:t>
      </w:r>
    </w:p>
    <w:p w14:paraId="4BE87B91" w14:textId="77777777" w:rsidR="0055347B" w:rsidRPr="002A5C29" w:rsidRDefault="0055347B" w:rsidP="0055347B">
      <w:pPr>
        <w:spacing w:line="276" w:lineRule="auto"/>
        <w:ind w:left="-540" w:firstLine="540"/>
        <w:jc w:val="both"/>
        <w:rPr>
          <w:rFonts w:cstheme="minorHAnsi"/>
          <w:b/>
          <w:bCs/>
          <w:sz w:val="16"/>
          <w:szCs w:val="16"/>
        </w:rPr>
      </w:pPr>
      <w:r w:rsidRPr="002A5C29">
        <w:rPr>
          <w:rFonts w:cstheme="minorHAnsi"/>
          <w:b/>
          <w:bCs/>
          <w:sz w:val="16"/>
          <w:szCs w:val="16"/>
        </w:rPr>
        <w:t>About flydubai</w:t>
      </w:r>
    </w:p>
    <w:p w14:paraId="30D9581F" w14:textId="03228BF4" w:rsidR="0055347B" w:rsidRPr="002A5C29" w:rsidRDefault="0055347B" w:rsidP="0055347B">
      <w:pPr>
        <w:spacing w:line="276" w:lineRule="auto"/>
        <w:jc w:val="both"/>
        <w:rPr>
          <w:rFonts w:cstheme="minorHAnsi"/>
          <w:sz w:val="16"/>
          <w:szCs w:val="16"/>
        </w:rPr>
      </w:pPr>
      <w:r w:rsidRPr="002A5C29">
        <w:rPr>
          <w:rFonts w:cstheme="minorHAnsi"/>
          <w:sz w:val="16"/>
          <w:szCs w:val="16"/>
        </w:rPr>
        <w:t>From its home in Dubai, flydubai has created a network of more than 1</w:t>
      </w:r>
      <w:r w:rsidR="00D01CFE" w:rsidRPr="002A5C29">
        <w:rPr>
          <w:rFonts w:cstheme="minorHAnsi"/>
          <w:sz w:val="16"/>
          <w:szCs w:val="16"/>
        </w:rPr>
        <w:t>40</w:t>
      </w:r>
      <w:r w:rsidRPr="002A5C29">
        <w:rPr>
          <w:rFonts w:cstheme="minorHAnsi"/>
          <w:sz w:val="16"/>
          <w:szCs w:val="16"/>
        </w:rPr>
        <w:t xml:space="preserve"> destinations served by a fleet of </w:t>
      </w:r>
      <w:r w:rsidR="00D01CFE" w:rsidRPr="002A5C29">
        <w:rPr>
          <w:rFonts w:cstheme="minorHAnsi"/>
          <w:sz w:val="16"/>
          <w:szCs w:val="16"/>
        </w:rPr>
        <w:t>97</w:t>
      </w:r>
      <w:r w:rsidRPr="002A5C29">
        <w:rPr>
          <w:rFonts w:cstheme="minorHAnsi"/>
          <w:sz w:val="16"/>
          <w:szCs w:val="16"/>
        </w:rPr>
        <w:t> aircraft. Since commencing operations in June 2009, flydubai has been committed to removing barriers to travel, creating free flows of trade and tourism and enhancing connectivity between different cultures across its ever-expanding network.</w:t>
      </w:r>
    </w:p>
    <w:p w14:paraId="1D166D10" w14:textId="77777777" w:rsidR="0055347B" w:rsidRPr="002A5C29" w:rsidRDefault="0055347B" w:rsidP="0055347B">
      <w:pPr>
        <w:spacing w:line="276" w:lineRule="auto"/>
        <w:jc w:val="both"/>
        <w:rPr>
          <w:rFonts w:cstheme="minorHAnsi"/>
          <w:sz w:val="16"/>
          <w:szCs w:val="16"/>
        </w:rPr>
      </w:pPr>
      <w:r w:rsidRPr="002A5C29">
        <w:rPr>
          <w:rFonts w:cstheme="minorHAnsi"/>
          <w:sz w:val="16"/>
          <w:szCs w:val="16"/>
        </w:rPr>
        <w:t>flydubai has marked its journey with a number of milestones:</w:t>
      </w:r>
    </w:p>
    <w:p w14:paraId="0062C373" w14:textId="29FC2E17" w:rsidR="0055347B" w:rsidRPr="002A5C29" w:rsidRDefault="0055347B" w:rsidP="0055347B">
      <w:pPr>
        <w:spacing w:line="276" w:lineRule="auto"/>
        <w:jc w:val="both"/>
        <w:rPr>
          <w:rFonts w:cstheme="minorHAnsi"/>
          <w:sz w:val="16"/>
          <w:szCs w:val="16"/>
        </w:rPr>
      </w:pPr>
      <w:r w:rsidRPr="002A5C29">
        <w:rPr>
          <w:rFonts w:cstheme="minorHAnsi"/>
          <w:b/>
          <w:bCs/>
          <w:sz w:val="16"/>
          <w:szCs w:val="16"/>
        </w:rPr>
        <w:t>An expanding network:</w:t>
      </w:r>
      <w:r w:rsidRPr="002A5C29">
        <w:rPr>
          <w:rFonts w:cstheme="minorHAnsi"/>
          <w:sz w:val="16"/>
          <w:szCs w:val="16"/>
        </w:rPr>
        <w:t xml:space="preserve"> Created a network of 1</w:t>
      </w:r>
      <w:r w:rsidR="00D01CFE" w:rsidRPr="002A5C29">
        <w:rPr>
          <w:rFonts w:cstheme="minorHAnsi"/>
          <w:sz w:val="16"/>
          <w:szCs w:val="16"/>
        </w:rPr>
        <w:t>4</w:t>
      </w:r>
      <w:r w:rsidRPr="002A5C29">
        <w:rPr>
          <w:rFonts w:cstheme="minorHAnsi"/>
          <w:sz w:val="16"/>
          <w:szCs w:val="16"/>
        </w:rPr>
        <w:t>0 destinations in 5</w:t>
      </w:r>
      <w:r w:rsidR="00BA2246" w:rsidRPr="002A5C29">
        <w:rPr>
          <w:rFonts w:cstheme="minorHAnsi"/>
          <w:sz w:val="16"/>
          <w:szCs w:val="16"/>
        </w:rPr>
        <w:t>8</w:t>
      </w:r>
      <w:r w:rsidRPr="002A5C29">
        <w:rPr>
          <w:rFonts w:cstheme="minorHAnsi"/>
          <w:sz w:val="16"/>
          <w:szCs w:val="16"/>
        </w:rPr>
        <w:t> countries across Africa, Central Asia, the Caucasus, Central and South-East Europe, the GCC and the Middle East, South Asia and South-East Asia.</w:t>
      </w:r>
    </w:p>
    <w:p w14:paraId="67F0D4F0" w14:textId="14A5ED53" w:rsidR="0055347B" w:rsidRPr="00A23050" w:rsidRDefault="0055347B" w:rsidP="0055347B">
      <w:pPr>
        <w:spacing w:line="276" w:lineRule="auto"/>
        <w:jc w:val="both"/>
        <w:rPr>
          <w:rFonts w:cstheme="minorHAnsi"/>
          <w:sz w:val="16"/>
          <w:szCs w:val="16"/>
        </w:rPr>
      </w:pPr>
      <w:r w:rsidRPr="002A5C29">
        <w:rPr>
          <w:rFonts w:cstheme="minorHAnsi"/>
          <w:b/>
          <w:bCs/>
          <w:sz w:val="16"/>
          <w:szCs w:val="16"/>
        </w:rPr>
        <w:t>Serving underserved markets:</w:t>
      </w:r>
      <w:r w:rsidRPr="002A5C29">
        <w:rPr>
          <w:rFonts w:cstheme="minorHAnsi"/>
          <w:sz w:val="16"/>
          <w:szCs w:val="16"/>
        </w:rPr>
        <w:t xml:space="preserve"> Opened more than </w:t>
      </w:r>
      <w:r w:rsidR="00D01CFE" w:rsidRPr="002A5C29">
        <w:rPr>
          <w:rFonts w:cstheme="minorHAnsi"/>
          <w:sz w:val="16"/>
          <w:szCs w:val="16"/>
        </w:rPr>
        <w:t>100</w:t>
      </w:r>
      <w:r w:rsidRPr="002A5C29">
        <w:rPr>
          <w:rFonts w:cstheme="minorHAnsi"/>
          <w:sz w:val="16"/>
          <w:szCs w:val="16"/>
        </w:rPr>
        <w:t xml:space="preserve"> new routes that did not previously have direct air links to Dubai or were not served by a UAE national carrier from Dubai.</w:t>
      </w:r>
    </w:p>
    <w:p w14:paraId="1D25E3F1" w14:textId="40C11165" w:rsidR="0055347B" w:rsidRPr="00A23050" w:rsidRDefault="0055347B" w:rsidP="0055347B">
      <w:pPr>
        <w:spacing w:line="276" w:lineRule="auto"/>
        <w:jc w:val="both"/>
        <w:rPr>
          <w:rFonts w:cstheme="minorHAnsi"/>
          <w:sz w:val="16"/>
          <w:szCs w:val="16"/>
        </w:rPr>
      </w:pPr>
      <w:bookmarkStart w:id="4" w:name="_Hlk222395911"/>
      <w:r w:rsidRPr="002A5C29">
        <w:rPr>
          <w:rFonts w:cstheme="minorHAnsi"/>
          <w:b/>
          <w:bCs/>
          <w:sz w:val="16"/>
          <w:szCs w:val="16"/>
        </w:rPr>
        <w:t>An efficient single fleet-type</w:t>
      </w:r>
      <w:r w:rsidRPr="002A5C29">
        <w:rPr>
          <w:rFonts w:cstheme="minorHAnsi"/>
          <w:sz w:val="16"/>
          <w:szCs w:val="16"/>
        </w:rPr>
        <w:t xml:space="preserve">: Operates a single fleet-type of </w:t>
      </w:r>
      <w:r w:rsidR="00D01CFE" w:rsidRPr="002A5C29">
        <w:rPr>
          <w:rFonts w:cstheme="minorHAnsi"/>
          <w:sz w:val="16"/>
          <w:szCs w:val="16"/>
        </w:rPr>
        <w:t xml:space="preserve">97 </w:t>
      </w:r>
      <w:r w:rsidRPr="002A5C29">
        <w:rPr>
          <w:rFonts w:cstheme="minorHAnsi"/>
          <w:sz w:val="16"/>
          <w:szCs w:val="16"/>
        </w:rPr>
        <w:t>Boeing 737 aircraft and includes: 2</w:t>
      </w:r>
      <w:r w:rsidR="00D01CFE" w:rsidRPr="002A5C29">
        <w:rPr>
          <w:rFonts w:cstheme="minorHAnsi"/>
          <w:sz w:val="16"/>
          <w:szCs w:val="16"/>
        </w:rPr>
        <w:t>6</w:t>
      </w:r>
      <w:r w:rsidRPr="002A5C29">
        <w:rPr>
          <w:rFonts w:cstheme="minorHAnsi"/>
          <w:sz w:val="16"/>
          <w:szCs w:val="16"/>
        </w:rPr>
        <w:t xml:space="preserve"> Next-Generation Boeing 737-800, </w:t>
      </w:r>
      <w:r w:rsidR="00D01CFE" w:rsidRPr="002A5C29">
        <w:rPr>
          <w:rFonts w:cstheme="minorHAnsi"/>
          <w:sz w:val="16"/>
          <w:szCs w:val="16"/>
        </w:rPr>
        <w:t>68</w:t>
      </w:r>
      <w:r w:rsidRPr="002A5C29">
        <w:rPr>
          <w:rFonts w:cstheme="minorHAnsi"/>
          <w:sz w:val="16"/>
          <w:szCs w:val="16"/>
        </w:rPr>
        <w:t> Boeing 737 MAX 8 and 03 Boeing 737 MAX 9 aircraft.</w:t>
      </w:r>
    </w:p>
    <w:bookmarkEnd w:id="4"/>
    <w:p w14:paraId="51A653DD" w14:textId="4F95E700" w:rsidR="0055347B" w:rsidRPr="00A23050" w:rsidRDefault="0055347B" w:rsidP="0055347B">
      <w:pPr>
        <w:spacing w:line="276" w:lineRule="auto"/>
        <w:jc w:val="both"/>
        <w:rPr>
          <w:rFonts w:cstheme="minorHAnsi"/>
          <w:sz w:val="16"/>
          <w:szCs w:val="16"/>
        </w:rPr>
      </w:pPr>
      <w:r w:rsidRPr="00A23050">
        <w:rPr>
          <w:rFonts w:cstheme="minorHAnsi"/>
          <w:b/>
          <w:bCs/>
          <w:sz w:val="16"/>
          <w:szCs w:val="16"/>
        </w:rPr>
        <w:t>Enhancing connectivity:</w:t>
      </w:r>
      <w:r w:rsidRPr="00A23050">
        <w:rPr>
          <w:rFonts w:cstheme="minorHAnsi"/>
          <w:sz w:val="16"/>
          <w:szCs w:val="16"/>
        </w:rPr>
        <w:t xml:space="preserve"> Carried more than </w:t>
      </w:r>
      <w:r w:rsidR="002A5C29" w:rsidRPr="0079007B">
        <w:rPr>
          <w:rFonts w:cstheme="minorHAnsi"/>
          <w:sz w:val="16"/>
          <w:szCs w:val="16"/>
        </w:rPr>
        <w:t>137</w:t>
      </w:r>
      <w:r w:rsidRPr="0079007B">
        <w:rPr>
          <w:rFonts w:cstheme="minorHAnsi"/>
          <w:sz w:val="16"/>
          <w:szCs w:val="16"/>
        </w:rPr>
        <w:t xml:space="preserve"> </w:t>
      </w:r>
      <w:r w:rsidRPr="00A23050">
        <w:rPr>
          <w:rFonts w:cstheme="minorHAnsi"/>
          <w:sz w:val="16"/>
          <w:szCs w:val="16"/>
        </w:rPr>
        <w:t>million passengers since it began operations in 2009.</w:t>
      </w:r>
    </w:p>
    <w:p w14:paraId="74EC31C7" w14:textId="77777777" w:rsidR="0055347B" w:rsidRPr="00A23050" w:rsidRDefault="0055347B" w:rsidP="0055347B">
      <w:pPr>
        <w:spacing w:line="276" w:lineRule="auto"/>
        <w:jc w:val="both"/>
        <w:rPr>
          <w:rFonts w:cstheme="minorHAnsi"/>
          <w:sz w:val="16"/>
          <w:szCs w:val="16"/>
        </w:rPr>
      </w:pPr>
      <w:r w:rsidRPr="00A23050">
        <w:rPr>
          <w:rFonts w:cstheme="minorHAnsi"/>
          <w:sz w:val="16"/>
          <w:szCs w:val="16"/>
        </w:rPr>
        <w:t>For all our latest news, please visit the flydubai </w:t>
      </w:r>
      <w:hyperlink r:id="rId8" w:history="1">
        <w:r w:rsidRPr="00A23050">
          <w:rPr>
            <w:rStyle w:val="Hyperlink"/>
            <w:rFonts w:cstheme="minorHAnsi"/>
            <w:sz w:val="16"/>
            <w:szCs w:val="16"/>
          </w:rPr>
          <w:t>Newsroom</w:t>
        </w:r>
      </w:hyperlink>
      <w:r w:rsidRPr="00A23050">
        <w:rPr>
          <w:rFonts w:cstheme="minorHAnsi"/>
          <w:sz w:val="16"/>
          <w:szCs w:val="16"/>
        </w:rPr>
        <w:t>.</w:t>
      </w:r>
    </w:p>
    <w:p w14:paraId="0E32BF7B" w14:textId="77777777" w:rsidR="0055347B" w:rsidRPr="001801B1" w:rsidRDefault="0055347B" w:rsidP="001801B1">
      <w:pPr>
        <w:jc w:val="center"/>
        <w:rPr>
          <w:rFonts w:cstheme="minorHAnsi"/>
        </w:rPr>
      </w:pPr>
    </w:p>
    <w:sectPr w:rsidR="0055347B" w:rsidRPr="001801B1" w:rsidSect="00937E8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B712F" w14:textId="77777777" w:rsidR="00B57C33" w:rsidRDefault="00B57C33" w:rsidP="006553D8">
      <w:pPr>
        <w:spacing w:after="0" w:line="240" w:lineRule="auto"/>
      </w:pPr>
      <w:r>
        <w:separator/>
      </w:r>
    </w:p>
  </w:endnote>
  <w:endnote w:type="continuationSeparator" w:id="0">
    <w:p w14:paraId="6E42DF87" w14:textId="77777777" w:rsidR="00B57C33" w:rsidRDefault="00B57C33" w:rsidP="0065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E805C" w14:textId="77777777" w:rsidR="00B57C33" w:rsidRDefault="00B57C33" w:rsidP="006553D8">
      <w:pPr>
        <w:spacing w:after="0" w:line="240" w:lineRule="auto"/>
      </w:pPr>
      <w:r>
        <w:separator/>
      </w:r>
    </w:p>
  </w:footnote>
  <w:footnote w:type="continuationSeparator" w:id="0">
    <w:p w14:paraId="770770A4" w14:textId="77777777" w:rsidR="00B57C33" w:rsidRDefault="00B57C33" w:rsidP="006553D8">
      <w:pPr>
        <w:spacing w:after="0" w:line="240" w:lineRule="auto"/>
      </w:pPr>
      <w:r>
        <w:continuationSeparator/>
      </w:r>
    </w:p>
  </w:footnote>
  <w:footnote w:id="1">
    <w:p w14:paraId="0E823A14" w14:textId="77777777" w:rsidR="006553D8" w:rsidRDefault="006553D8" w:rsidP="006553D8">
      <w:pPr>
        <w:pStyle w:val="FootnoteText"/>
        <w:rPr>
          <w:rFonts w:cstheme="minorHAnsi"/>
        </w:rPr>
      </w:pPr>
      <w:r>
        <w:rPr>
          <w:rStyle w:val="FootnoteReference"/>
          <w:rFonts w:cstheme="minorHAnsi"/>
        </w:rPr>
        <w:footnoteRef/>
      </w:r>
      <w:r>
        <w:rPr>
          <w:rFonts w:cstheme="minorHAnsi"/>
        </w:rPr>
        <w:t xml:space="preserve"> </w:t>
      </w:r>
      <w:r>
        <w:rPr>
          <w:rFonts w:cstheme="minorHAnsi"/>
          <w:shd w:val="clear" w:color="auto" w:fill="FFFFFF"/>
        </w:rPr>
        <w:t>RPKM: Revenue Passenger Kilometre</w:t>
      </w:r>
    </w:p>
  </w:footnote>
  <w:footnote w:id="2">
    <w:p w14:paraId="34FACE55" w14:textId="77777777" w:rsidR="006553D8" w:rsidRDefault="006553D8" w:rsidP="006553D8">
      <w:pPr>
        <w:pStyle w:val="FootnoteText"/>
        <w:rPr>
          <w:rFonts w:cstheme="minorHAnsi"/>
        </w:rPr>
      </w:pPr>
      <w:r>
        <w:rPr>
          <w:rStyle w:val="FootnoteReference"/>
          <w:rFonts w:cstheme="minorHAnsi"/>
        </w:rPr>
        <w:footnoteRef/>
      </w:r>
      <w:r>
        <w:rPr>
          <w:rFonts w:cstheme="minorHAnsi"/>
        </w:rPr>
        <w:t xml:space="preserve"> </w:t>
      </w:r>
      <w:r>
        <w:rPr>
          <w:rFonts w:cstheme="minorHAnsi"/>
          <w:shd w:val="clear" w:color="auto" w:fill="FFFFFF"/>
        </w:rPr>
        <w:t>ASKM: Available Seat Kilometre</w:t>
      </w:r>
    </w:p>
  </w:footnote>
  <w:footnote w:id="3">
    <w:p w14:paraId="23CFF270" w14:textId="69FBC0A0" w:rsidR="00700EB1" w:rsidRDefault="00700EB1" w:rsidP="00700EB1">
      <w:pPr>
        <w:pStyle w:val="FootnoteText"/>
        <w:rPr>
          <w:rFonts w:cstheme="minorHAnsi"/>
        </w:rPr>
      </w:pPr>
      <w:r w:rsidRPr="005478A0">
        <w:rPr>
          <w:rStyle w:val="FootnoteReference"/>
          <w:rFonts w:cstheme="minorHAnsi"/>
        </w:rPr>
        <w:footnoteRef/>
      </w:r>
      <w:r w:rsidRPr="005478A0">
        <w:rPr>
          <w:rFonts w:cstheme="minorHAnsi"/>
        </w:rPr>
        <w:t xml:space="preserve"> </w:t>
      </w:r>
      <w:r w:rsidRPr="005478A0">
        <w:rPr>
          <w:rFonts w:cstheme="minorHAnsi"/>
          <w:shd w:val="clear" w:color="auto" w:fill="FFFFFF"/>
        </w:rPr>
        <w:t>EBITDA:</w:t>
      </w:r>
      <w:r w:rsidR="00D802C1" w:rsidRPr="005478A0">
        <w:rPr>
          <w:rFonts w:cstheme="minorHAnsi"/>
          <w:shd w:val="clear" w:color="auto" w:fill="FFFFFF"/>
        </w:rPr>
        <w:t xml:space="preserve"> </w:t>
      </w:r>
      <w:r w:rsidR="00D802C1">
        <w:rPr>
          <w:rFonts w:cstheme="minorHAnsi"/>
          <w:shd w:val="clear" w:color="auto" w:fill="FFFFFF"/>
        </w:rPr>
        <w:t>E</w:t>
      </w:r>
      <w:r w:rsidR="00D802C1" w:rsidRPr="00D670C0">
        <w:rPr>
          <w:rFonts w:cstheme="minorHAnsi"/>
          <w:shd w:val="clear" w:color="auto" w:fill="FFFFFF"/>
        </w:rPr>
        <w:t>arnings</w:t>
      </w:r>
      <w:r w:rsidR="00D670C0" w:rsidRPr="00D670C0">
        <w:rPr>
          <w:rFonts w:cstheme="minorHAnsi"/>
          <w:shd w:val="clear" w:color="auto" w:fill="FFFFFF"/>
        </w:rPr>
        <w:t xml:space="preserve"> </w:t>
      </w:r>
      <w:r w:rsidR="00DC0A09">
        <w:rPr>
          <w:rFonts w:cstheme="minorHAnsi"/>
          <w:shd w:val="clear" w:color="auto" w:fill="FFFFFF"/>
        </w:rPr>
        <w:t>B</w:t>
      </w:r>
      <w:r w:rsidR="00D670C0" w:rsidRPr="00D670C0">
        <w:rPr>
          <w:rFonts w:cstheme="minorHAnsi"/>
          <w:shd w:val="clear" w:color="auto" w:fill="FFFFFF"/>
        </w:rPr>
        <w:t xml:space="preserve">efore </w:t>
      </w:r>
      <w:r w:rsidR="00DC0A09">
        <w:rPr>
          <w:rFonts w:cstheme="minorHAnsi"/>
          <w:shd w:val="clear" w:color="auto" w:fill="FFFFFF"/>
        </w:rPr>
        <w:t>In</w:t>
      </w:r>
      <w:r w:rsidR="00D670C0" w:rsidRPr="00D670C0">
        <w:rPr>
          <w:rFonts w:cstheme="minorHAnsi"/>
          <w:shd w:val="clear" w:color="auto" w:fill="FFFFFF"/>
        </w:rPr>
        <w:t xml:space="preserve">terest, </w:t>
      </w:r>
      <w:r w:rsidR="00DC0A09">
        <w:rPr>
          <w:rFonts w:cstheme="minorHAnsi"/>
          <w:shd w:val="clear" w:color="auto" w:fill="FFFFFF"/>
        </w:rPr>
        <w:t>T</w:t>
      </w:r>
      <w:r w:rsidR="00D670C0" w:rsidRPr="00D670C0">
        <w:rPr>
          <w:rFonts w:cstheme="minorHAnsi"/>
          <w:shd w:val="clear" w:color="auto" w:fill="FFFFFF"/>
        </w:rPr>
        <w:t xml:space="preserve">axes, </w:t>
      </w:r>
      <w:r w:rsidR="00DC0A09">
        <w:rPr>
          <w:rFonts w:cstheme="minorHAnsi"/>
          <w:shd w:val="clear" w:color="auto" w:fill="FFFFFF"/>
        </w:rPr>
        <w:t>D</w:t>
      </w:r>
      <w:r w:rsidR="00D670C0" w:rsidRPr="00D670C0">
        <w:rPr>
          <w:rFonts w:cstheme="minorHAnsi"/>
          <w:shd w:val="clear" w:color="auto" w:fill="FFFFFF"/>
        </w:rPr>
        <w:t>epreciation</w:t>
      </w:r>
      <w:r w:rsidR="001A1902">
        <w:rPr>
          <w:rFonts w:cstheme="minorHAnsi"/>
          <w:shd w:val="clear" w:color="auto" w:fill="FFFFFF"/>
        </w:rPr>
        <w:t xml:space="preserve"> and</w:t>
      </w:r>
      <w:r w:rsidR="00D670C0" w:rsidRPr="00D670C0">
        <w:rPr>
          <w:rFonts w:cstheme="minorHAnsi"/>
          <w:shd w:val="clear" w:color="auto" w:fill="FFFFFF"/>
        </w:rPr>
        <w:t xml:space="preserve"> </w:t>
      </w:r>
      <w:r w:rsidR="00DC0A09">
        <w:rPr>
          <w:rFonts w:cstheme="minorHAnsi"/>
          <w:shd w:val="clear" w:color="auto" w:fill="FFFFFF"/>
        </w:rPr>
        <w:t>A</w:t>
      </w:r>
      <w:r w:rsidR="00D670C0" w:rsidRPr="00D670C0">
        <w:rPr>
          <w:rFonts w:cstheme="minorHAnsi"/>
          <w:shd w:val="clear" w:color="auto" w:fill="FFFFFF"/>
        </w:rPr>
        <w:t xml:space="preserve">mortisation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B101" w14:textId="35232E29" w:rsidR="006553D8" w:rsidRDefault="006553D8">
    <w:pPr>
      <w:pStyle w:val="Header"/>
    </w:pPr>
    <w:r>
      <w:rPr>
        <w:noProof/>
      </w:rPr>
      <w:drawing>
        <wp:anchor distT="0" distB="0" distL="114300" distR="114300" simplePos="0" relativeHeight="251659264" behindDoc="0" locked="0" layoutInCell="1" allowOverlap="1" wp14:anchorId="21AEB350" wp14:editId="023D842D">
          <wp:simplePos x="0" y="0"/>
          <wp:positionH relativeFrom="column">
            <wp:posOffset>0</wp:posOffset>
          </wp:positionH>
          <wp:positionV relativeFrom="paragraph">
            <wp:posOffset>171450</wp:posOffset>
          </wp:positionV>
          <wp:extent cx="5943600" cy="791210"/>
          <wp:effectExtent l="0" t="0" r="0" b="8890"/>
          <wp:wrapSquare wrapText="bothSides"/>
          <wp:docPr id="1" name="Picture 1"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91210"/>
                  </a:xfrm>
                  <a:prstGeom prst="rect">
                    <a:avLst/>
                  </a:prstGeom>
                </pic:spPr>
              </pic:pic>
            </a:graphicData>
          </a:graphic>
        </wp:anchor>
      </w:drawing>
    </w:r>
  </w:p>
  <w:p w14:paraId="51BC1309" w14:textId="77777777" w:rsidR="006553D8" w:rsidRDefault="0065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708"/>
    <w:multiLevelType w:val="multilevel"/>
    <w:tmpl w:val="CB16A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C8218E"/>
    <w:multiLevelType w:val="multilevel"/>
    <w:tmpl w:val="16A65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4B2951"/>
    <w:multiLevelType w:val="multilevel"/>
    <w:tmpl w:val="75E40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25301A"/>
    <w:multiLevelType w:val="hybridMultilevel"/>
    <w:tmpl w:val="04128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7C16F37"/>
    <w:multiLevelType w:val="hybridMultilevel"/>
    <w:tmpl w:val="E0C23218"/>
    <w:lvl w:ilvl="0" w:tplc="110082BA">
      <w:numFmt w:val="bullet"/>
      <w:lvlText w:val="•"/>
      <w:lvlJc w:val="left"/>
      <w:pPr>
        <w:ind w:left="1080" w:hanging="72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48531686">
    <w:abstractNumId w:val="4"/>
  </w:num>
  <w:num w:numId="2" w16cid:durableId="1629506320">
    <w:abstractNumId w:val="1"/>
  </w:num>
  <w:num w:numId="3" w16cid:durableId="1751275306">
    <w:abstractNumId w:val="2"/>
  </w:num>
  <w:num w:numId="4" w16cid:durableId="2105346233">
    <w:abstractNumId w:val="0"/>
  </w:num>
  <w:num w:numId="5" w16cid:durableId="348987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D8"/>
    <w:rsid w:val="00003EE5"/>
    <w:rsid w:val="0000767F"/>
    <w:rsid w:val="00010C7C"/>
    <w:rsid w:val="000111A1"/>
    <w:rsid w:val="000173B7"/>
    <w:rsid w:val="00021329"/>
    <w:rsid w:val="0002147A"/>
    <w:rsid w:val="00021C30"/>
    <w:rsid w:val="00022441"/>
    <w:rsid w:val="00022D0F"/>
    <w:rsid w:val="00023E52"/>
    <w:rsid w:val="0003010B"/>
    <w:rsid w:val="00031AA5"/>
    <w:rsid w:val="00031CEE"/>
    <w:rsid w:val="000322FE"/>
    <w:rsid w:val="00034B7E"/>
    <w:rsid w:val="0003788D"/>
    <w:rsid w:val="00037A3F"/>
    <w:rsid w:val="00040343"/>
    <w:rsid w:val="00040E43"/>
    <w:rsid w:val="00041176"/>
    <w:rsid w:val="00042AAC"/>
    <w:rsid w:val="00043BDB"/>
    <w:rsid w:val="00043D5E"/>
    <w:rsid w:val="00046016"/>
    <w:rsid w:val="000461B0"/>
    <w:rsid w:val="00050AD8"/>
    <w:rsid w:val="00050D2D"/>
    <w:rsid w:val="00052919"/>
    <w:rsid w:val="00054420"/>
    <w:rsid w:val="000611EF"/>
    <w:rsid w:val="00061523"/>
    <w:rsid w:val="00061D56"/>
    <w:rsid w:val="000625CD"/>
    <w:rsid w:val="000639C9"/>
    <w:rsid w:val="000676F4"/>
    <w:rsid w:val="0006799C"/>
    <w:rsid w:val="000714A5"/>
    <w:rsid w:val="00073131"/>
    <w:rsid w:val="00073E4E"/>
    <w:rsid w:val="00074ECE"/>
    <w:rsid w:val="00075E5F"/>
    <w:rsid w:val="00076151"/>
    <w:rsid w:val="00081664"/>
    <w:rsid w:val="00082244"/>
    <w:rsid w:val="00083BE6"/>
    <w:rsid w:val="00083E0D"/>
    <w:rsid w:val="00085097"/>
    <w:rsid w:val="00087063"/>
    <w:rsid w:val="00090374"/>
    <w:rsid w:val="00091381"/>
    <w:rsid w:val="000915D2"/>
    <w:rsid w:val="000938B9"/>
    <w:rsid w:val="00096AF1"/>
    <w:rsid w:val="00096C49"/>
    <w:rsid w:val="00096E7B"/>
    <w:rsid w:val="00097604"/>
    <w:rsid w:val="000A174A"/>
    <w:rsid w:val="000A3599"/>
    <w:rsid w:val="000A38EF"/>
    <w:rsid w:val="000A6A9B"/>
    <w:rsid w:val="000B0245"/>
    <w:rsid w:val="000B1416"/>
    <w:rsid w:val="000B3425"/>
    <w:rsid w:val="000C0075"/>
    <w:rsid w:val="000C0B40"/>
    <w:rsid w:val="000C24E6"/>
    <w:rsid w:val="000C3068"/>
    <w:rsid w:val="000C700D"/>
    <w:rsid w:val="000D0C72"/>
    <w:rsid w:val="000D13D8"/>
    <w:rsid w:val="000D5D40"/>
    <w:rsid w:val="000D60CA"/>
    <w:rsid w:val="000D6919"/>
    <w:rsid w:val="000D72EB"/>
    <w:rsid w:val="000E00BE"/>
    <w:rsid w:val="000E37F4"/>
    <w:rsid w:val="000E7A8D"/>
    <w:rsid w:val="000F1222"/>
    <w:rsid w:val="000F297B"/>
    <w:rsid w:val="000F5CE0"/>
    <w:rsid w:val="000F67F6"/>
    <w:rsid w:val="000F68D2"/>
    <w:rsid w:val="00100355"/>
    <w:rsid w:val="00105C54"/>
    <w:rsid w:val="0011446D"/>
    <w:rsid w:val="00117664"/>
    <w:rsid w:val="00117DD7"/>
    <w:rsid w:val="00124396"/>
    <w:rsid w:val="00124719"/>
    <w:rsid w:val="00124A5A"/>
    <w:rsid w:val="001256CE"/>
    <w:rsid w:val="00127FC9"/>
    <w:rsid w:val="00134F45"/>
    <w:rsid w:val="0013727C"/>
    <w:rsid w:val="00137881"/>
    <w:rsid w:val="00140E52"/>
    <w:rsid w:val="00140FA9"/>
    <w:rsid w:val="00142195"/>
    <w:rsid w:val="00142BF3"/>
    <w:rsid w:val="0014321D"/>
    <w:rsid w:val="00144918"/>
    <w:rsid w:val="001532B0"/>
    <w:rsid w:val="0016097B"/>
    <w:rsid w:val="00160C96"/>
    <w:rsid w:val="001612C5"/>
    <w:rsid w:val="00162AD5"/>
    <w:rsid w:val="00165EF2"/>
    <w:rsid w:val="00170635"/>
    <w:rsid w:val="00173326"/>
    <w:rsid w:val="00174279"/>
    <w:rsid w:val="00176D6E"/>
    <w:rsid w:val="001801B1"/>
    <w:rsid w:val="001814F3"/>
    <w:rsid w:val="00187FE0"/>
    <w:rsid w:val="00191408"/>
    <w:rsid w:val="00193755"/>
    <w:rsid w:val="00194768"/>
    <w:rsid w:val="001952C5"/>
    <w:rsid w:val="001960F7"/>
    <w:rsid w:val="001A1902"/>
    <w:rsid w:val="001A3B4E"/>
    <w:rsid w:val="001A57D8"/>
    <w:rsid w:val="001A5ED1"/>
    <w:rsid w:val="001A5EF2"/>
    <w:rsid w:val="001A7372"/>
    <w:rsid w:val="001B25DF"/>
    <w:rsid w:val="001B352D"/>
    <w:rsid w:val="001B4016"/>
    <w:rsid w:val="001B553B"/>
    <w:rsid w:val="001B731B"/>
    <w:rsid w:val="001C1496"/>
    <w:rsid w:val="001C44B6"/>
    <w:rsid w:val="001C5F6E"/>
    <w:rsid w:val="001D0CCB"/>
    <w:rsid w:val="001D1EE3"/>
    <w:rsid w:val="001D1F3A"/>
    <w:rsid w:val="001D2577"/>
    <w:rsid w:val="001E0C19"/>
    <w:rsid w:val="001E0EA6"/>
    <w:rsid w:val="001E0F29"/>
    <w:rsid w:val="001E1DC5"/>
    <w:rsid w:val="001E26E6"/>
    <w:rsid w:val="001E2AAF"/>
    <w:rsid w:val="001E58C8"/>
    <w:rsid w:val="001F27C0"/>
    <w:rsid w:val="001F7397"/>
    <w:rsid w:val="00201929"/>
    <w:rsid w:val="00202072"/>
    <w:rsid w:val="0020556F"/>
    <w:rsid w:val="00212680"/>
    <w:rsid w:val="00212F02"/>
    <w:rsid w:val="00217F86"/>
    <w:rsid w:val="00220E50"/>
    <w:rsid w:val="00222218"/>
    <w:rsid w:val="002236D3"/>
    <w:rsid w:val="0022694A"/>
    <w:rsid w:val="00227436"/>
    <w:rsid w:val="002304A8"/>
    <w:rsid w:val="00230B8E"/>
    <w:rsid w:val="002342C4"/>
    <w:rsid w:val="0023642D"/>
    <w:rsid w:val="002379A1"/>
    <w:rsid w:val="00240380"/>
    <w:rsid w:val="002406E3"/>
    <w:rsid w:val="00240FE1"/>
    <w:rsid w:val="00241005"/>
    <w:rsid w:val="002439B6"/>
    <w:rsid w:val="00243A43"/>
    <w:rsid w:val="00243CEE"/>
    <w:rsid w:val="002442F0"/>
    <w:rsid w:val="0024513D"/>
    <w:rsid w:val="002452A2"/>
    <w:rsid w:val="00246DCD"/>
    <w:rsid w:val="00246F61"/>
    <w:rsid w:val="00247652"/>
    <w:rsid w:val="00250BF7"/>
    <w:rsid w:val="002527AE"/>
    <w:rsid w:val="00252B4E"/>
    <w:rsid w:val="002551CF"/>
    <w:rsid w:val="002559CE"/>
    <w:rsid w:val="002560DC"/>
    <w:rsid w:val="002569E5"/>
    <w:rsid w:val="00256C2C"/>
    <w:rsid w:val="002644EB"/>
    <w:rsid w:val="00264C7A"/>
    <w:rsid w:val="00264E5C"/>
    <w:rsid w:val="002668F0"/>
    <w:rsid w:val="00270876"/>
    <w:rsid w:val="00270A98"/>
    <w:rsid w:val="0027233A"/>
    <w:rsid w:val="002729F0"/>
    <w:rsid w:val="002737C6"/>
    <w:rsid w:val="002807CC"/>
    <w:rsid w:val="002819CA"/>
    <w:rsid w:val="00282065"/>
    <w:rsid w:val="00286C28"/>
    <w:rsid w:val="00290466"/>
    <w:rsid w:val="00291083"/>
    <w:rsid w:val="00295B63"/>
    <w:rsid w:val="00297F67"/>
    <w:rsid w:val="002A4643"/>
    <w:rsid w:val="002A5C29"/>
    <w:rsid w:val="002B77F9"/>
    <w:rsid w:val="002B7B0C"/>
    <w:rsid w:val="002C083F"/>
    <w:rsid w:val="002C2DCC"/>
    <w:rsid w:val="002C31F9"/>
    <w:rsid w:val="002C7B9A"/>
    <w:rsid w:val="002C7F60"/>
    <w:rsid w:val="002D25E4"/>
    <w:rsid w:val="002D4763"/>
    <w:rsid w:val="002D5605"/>
    <w:rsid w:val="002D595D"/>
    <w:rsid w:val="002D7241"/>
    <w:rsid w:val="002D77EA"/>
    <w:rsid w:val="002E17F9"/>
    <w:rsid w:val="002E1EBD"/>
    <w:rsid w:val="002E41E5"/>
    <w:rsid w:val="002E51B9"/>
    <w:rsid w:val="002E5692"/>
    <w:rsid w:val="002E6447"/>
    <w:rsid w:val="002E7AB6"/>
    <w:rsid w:val="002E7B10"/>
    <w:rsid w:val="002F4166"/>
    <w:rsid w:val="002F664E"/>
    <w:rsid w:val="002F6A6F"/>
    <w:rsid w:val="002F6B98"/>
    <w:rsid w:val="002F785E"/>
    <w:rsid w:val="00302E7F"/>
    <w:rsid w:val="00303034"/>
    <w:rsid w:val="003106FF"/>
    <w:rsid w:val="00310E97"/>
    <w:rsid w:val="0031104F"/>
    <w:rsid w:val="00311890"/>
    <w:rsid w:val="0032158E"/>
    <w:rsid w:val="00324083"/>
    <w:rsid w:val="0032430D"/>
    <w:rsid w:val="00326272"/>
    <w:rsid w:val="00331520"/>
    <w:rsid w:val="00331A1C"/>
    <w:rsid w:val="00333676"/>
    <w:rsid w:val="00333EC2"/>
    <w:rsid w:val="003346D7"/>
    <w:rsid w:val="00334B95"/>
    <w:rsid w:val="00336B86"/>
    <w:rsid w:val="00340A7D"/>
    <w:rsid w:val="00344B89"/>
    <w:rsid w:val="00347429"/>
    <w:rsid w:val="00352E73"/>
    <w:rsid w:val="0035317C"/>
    <w:rsid w:val="00357A78"/>
    <w:rsid w:val="0036004E"/>
    <w:rsid w:val="0036014B"/>
    <w:rsid w:val="00360F13"/>
    <w:rsid w:val="003668F6"/>
    <w:rsid w:val="00370AE1"/>
    <w:rsid w:val="00371690"/>
    <w:rsid w:val="00371C8A"/>
    <w:rsid w:val="003724EA"/>
    <w:rsid w:val="003742D3"/>
    <w:rsid w:val="00374D18"/>
    <w:rsid w:val="003813BE"/>
    <w:rsid w:val="00383337"/>
    <w:rsid w:val="00383A7C"/>
    <w:rsid w:val="00386294"/>
    <w:rsid w:val="00387575"/>
    <w:rsid w:val="003904D9"/>
    <w:rsid w:val="003917F4"/>
    <w:rsid w:val="00391FFA"/>
    <w:rsid w:val="00395BDE"/>
    <w:rsid w:val="003964E6"/>
    <w:rsid w:val="003A07AE"/>
    <w:rsid w:val="003A3C07"/>
    <w:rsid w:val="003A55A4"/>
    <w:rsid w:val="003A5AAD"/>
    <w:rsid w:val="003A78CC"/>
    <w:rsid w:val="003B3075"/>
    <w:rsid w:val="003B4E97"/>
    <w:rsid w:val="003B675D"/>
    <w:rsid w:val="003C19DE"/>
    <w:rsid w:val="003C3833"/>
    <w:rsid w:val="003C3EBE"/>
    <w:rsid w:val="003D55A3"/>
    <w:rsid w:val="003D7A9C"/>
    <w:rsid w:val="003D7D08"/>
    <w:rsid w:val="003D7FC9"/>
    <w:rsid w:val="003E6BE6"/>
    <w:rsid w:val="003F0A27"/>
    <w:rsid w:val="004015C7"/>
    <w:rsid w:val="00401937"/>
    <w:rsid w:val="0040302D"/>
    <w:rsid w:val="00405935"/>
    <w:rsid w:val="00410D66"/>
    <w:rsid w:val="00413123"/>
    <w:rsid w:val="00416445"/>
    <w:rsid w:val="00417752"/>
    <w:rsid w:val="00421A0A"/>
    <w:rsid w:val="004267B4"/>
    <w:rsid w:val="00426853"/>
    <w:rsid w:val="00433172"/>
    <w:rsid w:val="004331C0"/>
    <w:rsid w:val="00433D92"/>
    <w:rsid w:val="00434BC8"/>
    <w:rsid w:val="00435B5D"/>
    <w:rsid w:val="00435D41"/>
    <w:rsid w:val="00436DB1"/>
    <w:rsid w:val="00437769"/>
    <w:rsid w:val="00437A41"/>
    <w:rsid w:val="0044082A"/>
    <w:rsid w:val="004430F5"/>
    <w:rsid w:val="00450B57"/>
    <w:rsid w:val="004511FE"/>
    <w:rsid w:val="00452085"/>
    <w:rsid w:val="00452DA8"/>
    <w:rsid w:val="00454889"/>
    <w:rsid w:val="00460871"/>
    <w:rsid w:val="00463374"/>
    <w:rsid w:val="00463866"/>
    <w:rsid w:val="00465694"/>
    <w:rsid w:val="00466478"/>
    <w:rsid w:val="00467A94"/>
    <w:rsid w:val="00467CEB"/>
    <w:rsid w:val="00477118"/>
    <w:rsid w:val="00480472"/>
    <w:rsid w:val="00483763"/>
    <w:rsid w:val="00486427"/>
    <w:rsid w:val="00486630"/>
    <w:rsid w:val="00487C7D"/>
    <w:rsid w:val="0049260F"/>
    <w:rsid w:val="00494DF5"/>
    <w:rsid w:val="00497DE8"/>
    <w:rsid w:val="004A20DE"/>
    <w:rsid w:val="004A253D"/>
    <w:rsid w:val="004A4FCD"/>
    <w:rsid w:val="004A5A07"/>
    <w:rsid w:val="004A6355"/>
    <w:rsid w:val="004A7D70"/>
    <w:rsid w:val="004B2B1A"/>
    <w:rsid w:val="004B2B68"/>
    <w:rsid w:val="004B3523"/>
    <w:rsid w:val="004B372A"/>
    <w:rsid w:val="004B3B40"/>
    <w:rsid w:val="004B4D02"/>
    <w:rsid w:val="004B5FC0"/>
    <w:rsid w:val="004C256A"/>
    <w:rsid w:val="004C2576"/>
    <w:rsid w:val="004C4468"/>
    <w:rsid w:val="004C56F4"/>
    <w:rsid w:val="004C592E"/>
    <w:rsid w:val="004C6DEF"/>
    <w:rsid w:val="004C6F87"/>
    <w:rsid w:val="004D0D51"/>
    <w:rsid w:val="004D4C88"/>
    <w:rsid w:val="004D608C"/>
    <w:rsid w:val="004E016F"/>
    <w:rsid w:val="004E3404"/>
    <w:rsid w:val="004E34E9"/>
    <w:rsid w:val="004E4E0F"/>
    <w:rsid w:val="004E505E"/>
    <w:rsid w:val="004E588C"/>
    <w:rsid w:val="004E68CF"/>
    <w:rsid w:val="004F0EB4"/>
    <w:rsid w:val="004F4781"/>
    <w:rsid w:val="004F6021"/>
    <w:rsid w:val="004F650E"/>
    <w:rsid w:val="004F6B68"/>
    <w:rsid w:val="004F7AAE"/>
    <w:rsid w:val="00500B59"/>
    <w:rsid w:val="00501127"/>
    <w:rsid w:val="00502DB3"/>
    <w:rsid w:val="00504AC9"/>
    <w:rsid w:val="00506A75"/>
    <w:rsid w:val="0051248E"/>
    <w:rsid w:val="005131E5"/>
    <w:rsid w:val="00522207"/>
    <w:rsid w:val="00522672"/>
    <w:rsid w:val="005228B7"/>
    <w:rsid w:val="005302F4"/>
    <w:rsid w:val="00530A26"/>
    <w:rsid w:val="005346A6"/>
    <w:rsid w:val="00535E98"/>
    <w:rsid w:val="00536EB2"/>
    <w:rsid w:val="00542376"/>
    <w:rsid w:val="0054285F"/>
    <w:rsid w:val="005476AF"/>
    <w:rsid w:val="0054781C"/>
    <w:rsid w:val="005478A0"/>
    <w:rsid w:val="0055167B"/>
    <w:rsid w:val="00552DD1"/>
    <w:rsid w:val="005530F7"/>
    <w:rsid w:val="0055347B"/>
    <w:rsid w:val="00553885"/>
    <w:rsid w:val="005549B4"/>
    <w:rsid w:val="00556B5D"/>
    <w:rsid w:val="00560035"/>
    <w:rsid w:val="00560268"/>
    <w:rsid w:val="0056556C"/>
    <w:rsid w:val="00567F56"/>
    <w:rsid w:val="00571E01"/>
    <w:rsid w:val="00571F05"/>
    <w:rsid w:val="005734DA"/>
    <w:rsid w:val="00585F10"/>
    <w:rsid w:val="005902D3"/>
    <w:rsid w:val="00590935"/>
    <w:rsid w:val="00593361"/>
    <w:rsid w:val="00594888"/>
    <w:rsid w:val="00595E73"/>
    <w:rsid w:val="0059636A"/>
    <w:rsid w:val="0059721A"/>
    <w:rsid w:val="005A0572"/>
    <w:rsid w:val="005A171A"/>
    <w:rsid w:val="005A21B4"/>
    <w:rsid w:val="005A57FE"/>
    <w:rsid w:val="005A5B73"/>
    <w:rsid w:val="005B1DE8"/>
    <w:rsid w:val="005B4816"/>
    <w:rsid w:val="005B5CF3"/>
    <w:rsid w:val="005B609A"/>
    <w:rsid w:val="005C0312"/>
    <w:rsid w:val="005C30E5"/>
    <w:rsid w:val="005C4AF6"/>
    <w:rsid w:val="005D4645"/>
    <w:rsid w:val="005D657F"/>
    <w:rsid w:val="005E04A3"/>
    <w:rsid w:val="005E36D9"/>
    <w:rsid w:val="005E3E66"/>
    <w:rsid w:val="005E43C3"/>
    <w:rsid w:val="005E4FB1"/>
    <w:rsid w:val="005E5476"/>
    <w:rsid w:val="005E7AC2"/>
    <w:rsid w:val="005F1ABB"/>
    <w:rsid w:val="005F1F7B"/>
    <w:rsid w:val="005F2243"/>
    <w:rsid w:val="005F328F"/>
    <w:rsid w:val="005F52D7"/>
    <w:rsid w:val="00602160"/>
    <w:rsid w:val="00602C0D"/>
    <w:rsid w:val="00606649"/>
    <w:rsid w:val="00607156"/>
    <w:rsid w:val="0061202D"/>
    <w:rsid w:val="006128A9"/>
    <w:rsid w:val="00616D5D"/>
    <w:rsid w:val="00617660"/>
    <w:rsid w:val="0061774C"/>
    <w:rsid w:val="00617812"/>
    <w:rsid w:val="00622299"/>
    <w:rsid w:val="00625F61"/>
    <w:rsid w:val="00626EC0"/>
    <w:rsid w:val="00633032"/>
    <w:rsid w:val="00634F2B"/>
    <w:rsid w:val="00636D53"/>
    <w:rsid w:val="0063742B"/>
    <w:rsid w:val="006376A1"/>
    <w:rsid w:val="00640643"/>
    <w:rsid w:val="00643AB4"/>
    <w:rsid w:val="00643F7D"/>
    <w:rsid w:val="00645C0B"/>
    <w:rsid w:val="00650BB7"/>
    <w:rsid w:val="00654298"/>
    <w:rsid w:val="006553D8"/>
    <w:rsid w:val="0065649C"/>
    <w:rsid w:val="006569BE"/>
    <w:rsid w:val="00661645"/>
    <w:rsid w:val="00662181"/>
    <w:rsid w:val="006646BA"/>
    <w:rsid w:val="00665828"/>
    <w:rsid w:val="006675CC"/>
    <w:rsid w:val="006755D3"/>
    <w:rsid w:val="006769C7"/>
    <w:rsid w:val="006774AA"/>
    <w:rsid w:val="0068153F"/>
    <w:rsid w:val="00682C6B"/>
    <w:rsid w:val="006835EF"/>
    <w:rsid w:val="006844E0"/>
    <w:rsid w:val="00684D56"/>
    <w:rsid w:val="00691C90"/>
    <w:rsid w:val="00694E56"/>
    <w:rsid w:val="006A1D1B"/>
    <w:rsid w:val="006A2E1E"/>
    <w:rsid w:val="006A2F73"/>
    <w:rsid w:val="006A30B2"/>
    <w:rsid w:val="006A3FC1"/>
    <w:rsid w:val="006A492E"/>
    <w:rsid w:val="006A4DF5"/>
    <w:rsid w:val="006A6566"/>
    <w:rsid w:val="006A74DF"/>
    <w:rsid w:val="006B0454"/>
    <w:rsid w:val="006B1FF5"/>
    <w:rsid w:val="006B23EE"/>
    <w:rsid w:val="006B2C6F"/>
    <w:rsid w:val="006B438E"/>
    <w:rsid w:val="006B561E"/>
    <w:rsid w:val="006C2668"/>
    <w:rsid w:val="006C28B4"/>
    <w:rsid w:val="006C3BF8"/>
    <w:rsid w:val="006C3EFD"/>
    <w:rsid w:val="006C5089"/>
    <w:rsid w:val="006C5BCC"/>
    <w:rsid w:val="006C5D6C"/>
    <w:rsid w:val="006C68EB"/>
    <w:rsid w:val="006D245A"/>
    <w:rsid w:val="006D395A"/>
    <w:rsid w:val="006D3E78"/>
    <w:rsid w:val="006D558F"/>
    <w:rsid w:val="006D5BC0"/>
    <w:rsid w:val="006D5D3E"/>
    <w:rsid w:val="006D6B72"/>
    <w:rsid w:val="006D7F71"/>
    <w:rsid w:val="006E54EE"/>
    <w:rsid w:val="006E710A"/>
    <w:rsid w:val="006E73E4"/>
    <w:rsid w:val="006F1FA5"/>
    <w:rsid w:val="006F60F3"/>
    <w:rsid w:val="006F621A"/>
    <w:rsid w:val="006F6572"/>
    <w:rsid w:val="006F776A"/>
    <w:rsid w:val="0070010B"/>
    <w:rsid w:val="00700EB1"/>
    <w:rsid w:val="0070177A"/>
    <w:rsid w:val="00704565"/>
    <w:rsid w:val="00704A41"/>
    <w:rsid w:val="00705DA8"/>
    <w:rsid w:val="00706A21"/>
    <w:rsid w:val="00706BAE"/>
    <w:rsid w:val="00707360"/>
    <w:rsid w:val="007101A0"/>
    <w:rsid w:val="00711412"/>
    <w:rsid w:val="00713E73"/>
    <w:rsid w:val="0071535E"/>
    <w:rsid w:val="007155BD"/>
    <w:rsid w:val="0071597B"/>
    <w:rsid w:val="00717ED1"/>
    <w:rsid w:val="007222E7"/>
    <w:rsid w:val="00722465"/>
    <w:rsid w:val="007243C4"/>
    <w:rsid w:val="00725E51"/>
    <w:rsid w:val="00730923"/>
    <w:rsid w:val="00730A8F"/>
    <w:rsid w:val="00733391"/>
    <w:rsid w:val="00737723"/>
    <w:rsid w:val="0074030C"/>
    <w:rsid w:val="007421BA"/>
    <w:rsid w:val="007430BB"/>
    <w:rsid w:val="00745874"/>
    <w:rsid w:val="00751389"/>
    <w:rsid w:val="00753115"/>
    <w:rsid w:val="0075538F"/>
    <w:rsid w:val="00755A96"/>
    <w:rsid w:val="007628BB"/>
    <w:rsid w:val="0076305A"/>
    <w:rsid w:val="0076457A"/>
    <w:rsid w:val="00767BA9"/>
    <w:rsid w:val="00767C5F"/>
    <w:rsid w:val="0077330D"/>
    <w:rsid w:val="0077538D"/>
    <w:rsid w:val="00780BBF"/>
    <w:rsid w:val="00784E38"/>
    <w:rsid w:val="007876E7"/>
    <w:rsid w:val="007878AC"/>
    <w:rsid w:val="0079007B"/>
    <w:rsid w:val="00790AA3"/>
    <w:rsid w:val="007935D5"/>
    <w:rsid w:val="007A3676"/>
    <w:rsid w:val="007B1BC7"/>
    <w:rsid w:val="007B36F2"/>
    <w:rsid w:val="007B4EAA"/>
    <w:rsid w:val="007B4F80"/>
    <w:rsid w:val="007B4FFE"/>
    <w:rsid w:val="007B5063"/>
    <w:rsid w:val="007B6134"/>
    <w:rsid w:val="007B638C"/>
    <w:rsid w:val="007B65B6"/>
    <w:rsid w:val="007C0B38"/>
    <w:rsid w:val="007C1C19"/>
    <w:rsid w:val="007C5889"/>
    <w:rsid w:val="007D0991"/>
    <w:rsid w:val="007D7FCB"/>
    <w:rsid w:val="007E3D2B"/>
    <w:rsid w:val="007E3DBF"/>
    <w:rsid w:val="007E4C2E"/>
    <w:rsid w:val="007F08FD"/>
    <w:rsid w:val="007F7042"/>
    <w:rsid w:val="00801407"/>
    <w:rsid w:val="0080326C"/>
    <w:rsid w:val="008033A9"/>
    <w:rsid w:val="00803790"/>
    <w:rsid w:val="008162E2"/>
    <w:rsid w:val="00821F5B"/>
    <w:rsid w:val="00822F08"/>
    <w:rsid w:val="0082345F"/>
    <w:rsid w:val="00827341"/>
    <w:rsid w:val="008315FC"/>
    <w:rsid w:val="008329BE"/>
    <w:rsid w:val="00844230"/>
    <w:rsid w:val="00845664"/>
    <w:rsid w:val="00845EDA"/>
    <w:rsid w:val="00850C22"/>
    <w:rsid w:val="00850ECF"/>
    <w:rsid w:val="008512E4"/>
    <w:rsid w:val="00851A03"/>
    <w:rsid w:val="00851A31"/>
    <w:rsid w:val="00852810"/>
    <w:rsid w:val="00853660"/>
    <w:rsid w:val="0085416B"/>
    <w:rsid w:val="00854F2A"/>
    <w:rsid w:val="00865915"/>
    <w:rsid w:val="008674DF"/>
    <w:rsid w:val="00877ECA"/>
    <w:rsid w:val="008801A7"/>
    <w:rsid w:val="00881EBD"/>
    <w:rsid w:val="008868E5"/>
    <w:rsid w:val="008954EF"/>
    <w:rsid w:val="00896DC8"/>
    <w:rsid w:val="00897497"/>
    <w:rsid w:val="008A001A"/>
    <w:rsid w:val="008A0394"/>
    <w:rsid w:val="008A5E18"/>
    <w:rsid w:val="008A63C1"/>
    <w:rsid w:val="008A63D1"/>
    <w:rsid w:val="008A690A"/>
    <w:rsid w:val="008B0AE8"/>
    <w:rsid w:val="008B5107"/>
    <w:rsid w:val="008C0B6D"/>
    <w:rsid w:val="008C3F58"/>
    <w:rsid w:val="008C4803"/>
    <w:rsid w:val="008C48CD"/>
    <w:rsid w:val="008C4A13"/>
    <w:rsid w:val="008C5CF9"/>
    <w:rsid w:val="008C6E01"/>
    <w:rsid w:val="008C7135"/>
    <w:rsid w:val="008C75B5"/>
    <w:rsid w:val="008D0895"/>
    <w:rsid w:val="008D2786"/>
    <w:rsid w:val="008D346D"/>
    <w:rsid w:val="008D355E"/>
    <w:rsid w:val="008D4CFA"/>
    <w:rsid w:val="008D5CBD"/>
    <w:rsid w:val="008D7BDC"/>
    <w:rsid w:val="008E17B9"/>
    <w:rsid w:val="008E2EC5"/>
    <w:rsid w:val="008E2F02"/>
    <w:rsid w:val="008E47AD"/>
    <w:rsid w:val="008E5350"/>
    <w:rsid w:val="008E7FC1"/>
    <w:rsid w:val="008F0008"/>
    <w:rsid w:val="008F1A79"/>
    <w:rsid w:val="008F37BA"/>
    <w:rsid w:val="008F4EBC"/>
    <w:rsid w:val="00901DCD"/>
    <w:rsid w:val="00902039"/>
    <w:rsid w:val="00902D9E"/>
    <w:rsid w:val="0091034C"/>
    <w:rsid w:val="0091131A"/>
    <w:rsid w:val="009131F3"/>
    <w:rsid w:val="00913409"/>
    <w:rsid w:val="00914829"/>
    <w:rsid w:val="00914D32"/>
    <w:rsid w:val="009240FC"/>
    <w:rsid w:val="009247D7"/>
    <w:rsid w:val="009256E0"/>
    <w:rsid w:val="0093173F"/>
    <w:rsid w:val="009339ED"/>
    <w:rsid w:val="009345C5"/>
    <w:rsid w:val="009347BA"/>
    <w:rsid w:val="0093763C"/>
    <w:rsid w:val="00937E8C"/>
    <w:rsid w:val="00951628"/>
    <w:rsid w:val="00951FA8"/>
    <w:rsid w:val="00952F2A"/>
    <w:rsid w:val="00956E65"/>
    <w:rsid w:val="00960B83"/>
    <w:rsid w:val="00966850"/>
    <w:rsid w:val="00971B8E"/>
    <w:rsid w:val="00971F61"/>
    <w:rsid w:val="00973A49"/>
    <w:rsid w:val="009774D2"/>
    <w:rsid w:val="00982811"/>
    <w:rsid w:val="00983AB3"/>
    <w:rsid w:val="00985331"/>
    <w:rsid w:val="00986384"/>
    <w:rsid w:val="00991161"/>
    <w:rsid w:val="00993FFA"/>
    <w:rsid w:val="00994AA1"/>
    <w:rsid w:val="00994E77"/>
    <w:rsid w:val="00995050"/>
    <w:rsid w:val="009972D2"/>
    <w:rsid w:val="00997E63"/>
    <w:rsid w:val="009A1120"/>
    <w:rsid w:val="009A2A44"/>
    <w:rsid w:val="009A6840"/>
    <w:rsid w:val="009A7DE4"/>
    <w:rsid w:val="009B11D3"/>
    <w:rsid w:val="009B334C"/>
    <w:rsid w:val="009B3BF9"/>
    <w:rsid w:val="009B79EB"/>
    <w:rsid w:val="009C0CFD"/>
    <w:rsid w:val="009C4019"/>
    <w:rsid w:val="009C40DE"/>
    <w:rsid w:val="009C4E7D"/>
    <w:rsid w:val="009C6ABF"/>
    <w:rsid w:val="009C6D1F"/>
    <w:rsid w:val="009D0AA0"/>
    <w:rsid w:val="009D1657"/>
    <w:rsid w:val="009D1E23"/>
    <w:rsid w:val="009D5CC6"/>
    <w:rsid w:val="009D6D81"/>
    <w:rsid w:val="009E04B5"/>
    <w:rsid w:val="009E068C"/>
    <w:rsid w:val="009E2A26"/>
    <w:rsid w:val="009E3613"/>
    <w:rsid w:val="009E4518"/>
    <w:rsid w:val="009E5222"/>
    <w:rsid w:val="009E5916"/>
    <w:rsid w:val="009E5F32"/>
    <w:rsid w:val="009E6946"/>
    <w:rsid w:val="009F0B32"/>
    <w:rsid w:val="009F1A3F"/>
    <w:rsid w:val="009F65EA"/>
    <w:rsid w:val="00A001C0"/>
    <w:rsid w:val="00A010CA"/>
    <w:rsid w:val="00A011CC"/>
    <w:rsid w:val="00A0217B"/>
    <w:rsid w:val="00A03826"/>
    <w:rsid w:val="00A0414B"/>
    <w:rsid w:val="00A043FD"/>
    <w:rsid w:val="00A04E83"/>
    <w:rsid w:val="00A05873"/>
    <w:rsid w:val="00A05996"/>
    <w:rsid w:val="00A06EBE"/>
    <w:rsid w:val="00A14454"/>
    <w:rsid w:val="00A23F71"/>
    <w:rsid w:val="00A2668C"/>
    <w:rsid w:val="00A276BE"/>
    <w:rsid w:val="00A300D7"/>
    <w:rsid w:val="00A3038A"/>
    <w:rsid w:val="00A30836"/>
    <w:rsid w:val="00A31AE9"/>
    <w:rsid w:val="00A32275"/>
    <w:rsid w:val="00A33395"/>
    <w:rsid w:val="00A347E0"/>
    <w:rsid w:val="00A354C7"/>
    <w:rsid w:val="00A35940"/>
    <w:rsid w:val="00A41C19"/>
    <w:rsid w:val="00A42CD8"/>
    <w:rsid w:val="00A5096D"/>
    <w:rsid w:val="00A5099B"/>
    <w:rsid w:val="00A510D5"/>
    <w:rsid w:val="00A53644"/>
    <w:rsid w:val="00A55239"/>
    <w:rsid w:val="00A60E55"/>
    <w:rsid w:val="00A63475"/>
    <w:rsid w:val="00A63971"/>
    <w:rsid w:val="00A64951"/>
    <w:rsid w:val="00A64FE3"/>
    <w:rsid w:val="00A6745A"/>
    <w:rsid w:val="00A708AF"/>
    <w:rsid w:val="00A73A92"/>
    <w:rsid w:val="00A73FB4"/>
    <w:rsid w:val="00A74E51"/>
    <w:rsid w:val="00A77184"/>
    <w:rsid w:val="00A7719A"/>
    <w:rsid w:val="00A77281"/>
    <w:rsid w:val="00A82E21"/>
    <w:rsid w:val="00A84BB6"/>
    <w:rsid w:val="00A909F9"/>
    <w:rsid w:val="00A9141D"/>
    <w:rsid w:val="00A9403D"/>
    <w:rsid w:val="00A945EF"/>
    <w:rsid w:val="00A94F41"/>
    <w:rsid w:val="00A95187"/>
    <w:rsid w:val="00A9751C"/>
    <w:rsid w:val="00AA3F4A"/>
    <w:rsid w:val="00AA48F1"/>
    <w:rsid w:val="00AA5282"/>
    <w:rsid w:val="00AA79F5"/>
    <w:rsid w:val="00AB1D40"/>
    <w:rsid w:val="00AB254C"/>
    <w:rsid w:val="00AB6C6D"/>
    <w:rsid w:val="00AB7088"/>
    <w:rsid w:val="00AB77A3"/>
    <w:rsid w:val="00AC01AA"/>
    <w:rsid w:val="00AC1CD4"/>
    <w:rsid w:val="00AC3991"/>
    <w:rsid w:val="00AC3E58"/>
    <w:rsid w:val="00AC4F4E"/>
    <w:rsid w:val="00AD5520"/>
    <w:rsid w:val="00AD6F05"/>
    <w:rsid w:val="00AE06F1"/>
    <w:rsid w:val="00AE221C"/>
    <w:rsid w:val="00AE2EBB"/>
    <w:rsid w:val="00AE35F9"/>
    <w:rsid w:val="00AE3675"/>
    <w:rsid w:val="00AE3F7E"/>
    <w:rsid w:val="00AE5795"/>
    <w:rsid w:val="00AE63D0"/>
    <w:rsid w:val="00AF074E"/>
    <w:rsid w:val="00AF0FC0"/>
    <w:rsid w:val="00AF3773"/>
    <w:rsid w:val="00B020DD"/>
    <w:rsid w:val="00B0538F"/>
    <w:rsid w:val="00B116DE"/>
    <w:rsid w:val="00B11A1F"/>
    <w:rsid w:val="00B14385"/>
    <w:rsid w:val="00B1533B"/>
    <w:rsid w:val="00B172AF"/>
    <w:rsid w:val="00B21180"/>
    <w:rsid w:val="00B25784"/>
    <w:rsid w:val="00B2602F"/>
    <w:rsid w:val="00B31309"/>
    <w:rsid w:val="00B34B5C"/>
    <w:rsid w:val="00B365D2"/>
    <w:rsid w:val="00B36FC3"/>
    <w:rsid w:val="00B42496"/>
    <w:rsid w:val="00B433BC"/>
    <w:rsid w:val="00B43BA1"/>
    <w:rsid w:val="00B44017"/>
    <w:rsid w:val="00B449F1"/>
    <w:rsid w:val="00B47B81"/>
    <w:rsid w:val="00B50EB8"/>
    <w:rsid w:val="00B5217D"/>
    <w:rsid w:val="00B52636"/>
    <w:rsid w:val="00B531B4"/>
    <w:rsid w:val="00B53C12"/>
    <w:rsid w:val="00B53D1F"/>
    <w:rsid w:val="00B53F67"/>
    <w:rsid w:val="00B54CC6"/>
    <w:rsid w:val="00B553B9"/>
    <w:rsid w:val="00B57C33"/>
    <w:rsid w:val="00B60861"/>
    <w:rsid w:val="00B628C3"/>
    <w:rsid w:val="00B62EF2"/>
    <w:rsid w:val="00B635D7"/>
    <w:rsid w:val="00B65605"/>
    <w:rsid w:val="00B70F1C"/>
    <w:rsid w:val="00B7117F"/>
    <w:rsid w:val="00B71B32"/>
    <w:rsid w:val="00B71F33"/>
    <w:rsid w:val="00B723E2"/>
    <w:rsid w:val="00B75396"/>
    <w:rsid w:val="00B75566"/>
    <w:rsid w:val="00B8068E"/>
    <w:rsid w:val="00B821F6"/>
    <w:rsid w:val="00B824F2"/>
    <w:rsid w:val="00B836FB"/>
    <w:rsid w:val="00B8449E"/>
    <w:rsid w:val="00B847F4"/>
    <w:rsid w:val="00B8554B"/>
    <w:rsid w:val="00B91A53"/>
    <w:rsid w:val="00B95319"/>
    <w:rsid w:val="00BA1AA8"/>
    <w:rsid w:val="00BA2246"/>
    <w:rsid w:val="00BA25C6"/>
    <w:rsid w:val="00BA2A31"/>
    <w:rsid w:val="00BA33AC"/>
    <w:rsid w:val="00BA6FE4"/>
    <w:rsid w:val="00BA7E73"/>
    <w:rsid w:val="00BB2C90"/>
    <w:rsid w:val="00BB4A3D"/>
    <w:rsid w:val="00BB4B57"/>
    <w:rsid w:val="00BB79E5"/>
    <w:rsid w:val="00BB7B86"/>
    <w:rsid w:val="00BC262B"/>
    <w:rsid w:val="00BC3A6F"/>
    <w:rsid w:val="00BD3BC9"/>
    <w:rsid w:val="00BD6BF2"/>
    <w:rsid w:val="00BD78D0"/>
    <w:rsid w:val="00BD7B42"/>
    <w:rsid w:val="00BE2199"/>
    <w:rsid w:val="00BE2C78"/>
    <w:rsid w:val="00BE383C"/>
    <w:rsid w:val="00BE3C1B"/>
    <w:rsid w:val="00BE4E52"/>
    <w:rsid w:val="00BF08FC"/>
    <w:rsid w:val="00BF1FC1"/>
    <w:rsid w:val="00BF2104"/>
    <w:rsid w:val="00BF6873"/>
    <w:rsid w:val="00C00672"/>
    <w:rsid w:val="00C007E2"/>
    <w:rsid w:val="00C04CD9"/>
    <w:rsid w:val="00C168C1"/>
    <w:rsid w:val="00C20756"/>
    <w:rsid w:val="00C22624"/>
    <w:rsid w:val="00C22A8B"/>
    <w:rsid w:val="00C237ED"/>
    <w:rsid w:val="00C25831"/>
    <w:rsid w:val="00C30886"/>
    <w:rsid w:val="00C32423"/>
    <w:rsid w:val="00C3427A"/>
    <w:rsid w:val="00C35D44"/>
    <w:rsid w:val="00C35D53"/>
    <w:rsid w:val="00C36CEF"/>
    <w:rsid w:val="00C40168"/>
    <w:rsid w:val="00C44513"/>
    <w:rsid w:val="00C44E86"/>
    <w:rsid w:val="00C451A4"/>
    <w:rsid w:val="00C45C87"/>
    <w:rsid w:val="00C4710E"/>
    <w:rsid w:val="00C50736"/>
    <w:rsid w:val="00C50B2A"/>
    <w:rsid w:val="00C536F2"/>
    <w:rsid w:val="00C569F0"/>
    <w:rsid w:val="00C62B83"/>
    <w:rsid w:val="00C63AA8"/>
    <w:rsid w:val="00C6495B"/>
    <w:rsid w:val="00C72D97"/>
    <w:rsid w:val="00C73FE5"/>
    <w:rsid w:val="00C7405F"/>
    <w:rsid w:val="00C7582E"/>
    <w:rsid w:val="00C769A4"/>
    <w:rsid w:val="00C8190E"/>
    <w:rsid w:val="00C81B78"/>
    <w:rsid w:val="00C831E5"/>
    <w:rsid w:val="00C8341D"/>
    <w:rsid w:val="00C8572F"/>
    <w:rsid w:val="00C87BB2"/>
    <w:rsid w:val="00CA02F9"/>
    <w:rsid w:val="00CA06FA"/>
    <w:rsid w:val="00CA2D5F"/>
    <w:rsid w:val="00CA3405"/>
    <w:rsid w:val="00CA3410"/>
    <w:rsid w:val="00CA4A29"/>
    <w:rsid w:val="00CA5A5A"/>
    <w:rsid w:val="00CA627A"/>
    <w:rsid w:val="00CA7573"/>
    <w:rsid w:val="00CB0292"/>
    <w:rsid w:val="00CB1F9D"/>
    <w:rsid w:val="00CB2347"/>
    <w:rsid w:val="00CB3598"/>
    <w:rsid w:val="00CB4ED2"/>
    <w:rsid w:val="00CC24F6"/>
    <w:rsid w:val="00CC2582"/>
    <w:rsid w:val="00CC2CC4"/>
    <w:rsid w:val="00CC4CB3"/>
    <w:rsid w:val="00CC5F78"/>
    <w:rsid w:val="00CD12FB"/>
    <w:rsid w:val="00CD4AB6"/>
    <w:rsid w:val="00CD633E"/>
    <w:rsid w:val="00CD7725"/>
    <w:rsid w:val="00CE18FD"/>
    <w:rsid w:val="00CE2876"/>
    <w:rsid w:val="00CE3335"/>
    <w:rsid w:val="00CE36AF"/>
    <w:rsid w:val="00CE5AB1"/>
    <w:rsid w:val="00CE682C"/>
    <w:rsid w:val="00CF3067"/>
    <w:rsid w:val="00CF653E"/>
    <w:rsid w:val="00CF7875"/>
    <w:rsid w:val="00CF7887"/>
    <w:rsid w:val="00D01CFE"/>
    <w:rsid w:val="00D03D70"/>
    <w:rsid w:val="00D06BA2"/>
    <w:rsid w:val="00D14C9F"/>
    <w:rsid w:val="00D1673C"/>
    <w:rsid w:val="00D216DA"/>
    <w:rsid w:val="00D23551"/>
    <w:rsid w:val="00D243A9"/>
    <w:rsid w:val="00D24CC0"/>
    <w:rsid w:val="00D30414"/>
    <w:rsid w:val="00D30549"/>
    <w:rsid w:val="00D31DE5"/>
    <w:rsid w:val="00D33BE2"/>
    <w:rsid w:val="00D40818"/>
    <w:rsid w:val="00D422C6"/>
    <w:rsid w:val="00D45891"/>
    <w:rsid w:val="00D45D26"/>
    <w:rsid w:val="00D507DB"/>
    <w:rsid w:val="00D53B41"/>
    <w:rsid w:val="00D54576"/>
    <w:rsid w:val="00D569FE"/>
    <w:rsid w:val="00D62C9B"/>
    <w:rsid w:val="00D64B05"/>
    <w:rsid w:val="00D670C0"/>
    <w:rsid w:val="00D67638"/>
    <w:rsid w:val="00D678F0"/>
    <w:rsid w:val="00D71AF0"/>
    <w:rsid w:val="00D7357E"/>
    <w:rsid w:val="00D74B2A"/>
    <w:rsid w:val="00D802C1"/>
    <w:rsid w:val="00D8056E"/>
    <w:rsid w:val="00D80B52"/>
    <w:rsid w:val="00D80B5D"/>
    <w:rsid w:val="00D80B9D"/>
    <w:rsid w:val="00D83E6B"/>
    <w:rsid w:val="00D856C5"/>
    <w:rsid w:val="00D96046"/>
    <w:rsid w:val="00D9618F"/>
    <w:rsid w:val="00D96A6E"/>
    <w:rsid w:val="00DA4967"/>
    <w:rsid w:val="00DA58EA"/>
    <w:rsid w:val="00DA7752"/>
    <w:rsid w:val="00DB25DA"/>
    <w:rsid w:val="00DB2E82"/>
    <w:rsid w:val="00DB4017"/>
    <w:rsid w:val="00DB672A"/>
    <w:rsid w:val="00DB7C14"/>
    <w:rsid w:val="00DC0A09"/>
    <w:rsid w:val="00DC1BDF"/>
    <w:rsid w:val="00DC2154"/>
    <w:rsid w:val="00DC346F"/>
    <w:rsid w:val="00DC3515"/>
    <w:rsid w:val="00DC3FC3"/>
    <w:rsid w:val="00DC55DB"/>
    <w:rsid w:val="00DD111B"/>
    <w:rsid w:val="00DD3189"/>
    <w:rsid w:val="00DD4451"/>
    <w:rsid w:val="00DE74C6"/>
    <w:rsid w:val="00DE78FD"/>
    <w:rsid w:val="00DF2254"/>
    <w:rsid w:val="00DF24AB"/>
    <w:rsid w:val="00DF34F9"/>
    <w:rsid w:val="00DF3D9B"/>
    <w:rsid w:val="00DF4A9E"/>
    <w:rsid w:val="00DF4F54"/>
    <w:rsid w:val="00DF5D4C"/>
    <w:rsid w:val="00DF74F8"/>
    <w:rsid w:val="00DF7DE6"/>
    <w:rsid w:val="00E013AD"/>
    <w:rsid w:val="00E02AC3"/>
    <w:rsid w:val="00E0411B"/>
    <w:rsid w:val="00E110BB"/>
    <w:rsid w:val="00E1431C"/>
    <w:rsid w:val="00E16585"/>
    <w:rsid w:val="00E165AC"/>
    <w:rsid w:val="00E16E86"/>
    <w:rsid w:val="00E2568F"/>
    <w:rsid w:val="00E26EC4"/>
    <w:rsid w:val="00E31707"/>
    <w:rsid w:val="00E34230"/>
    <w:rsid w:val="00E345C9"/>
    <w:rsid w:val="00E36229"/>
    <w:rsid w:val="00E3717E"/>
    <w:rsid w:val="00E42777"/>
    <w:rsid w:val="00E442AF"/>
    <w:rsid w:val="00E45512"/>
    <w:rsid w:val="00E46E9B"/>
    <w:rsid w:val="00E5177F"/>
    <w:rsid w:val="00E522BF"/>
    <w:rsid w:val="00E5369E"/>
    <w:rsid w:val="00E53B91"/>
    <w:rsid w:val="00E5695B"/>
    <w:rsid w:val="00E57628"/>
    <w:rsid w:val="00E60035"/>
    <w:rsid w:val="00E64AC1"/>
    <w:rsid w:val="00E668FB"/>
    <w:rsid w:val="00E6773F"/>
    <w:rsid w:val="00E67E18"/>
    <w:rsid w:val="00E72904"/>
    <w:rsid w:val="00E76CEA"/>
    <w:rsid w:val="00E80510"/>
    <w:rsid w:val="00E81139"/>
    <w:rsid w:val="00E8187A"/>
    <w:rsid w:val="00E8221C"/>
    <w:rsid w:val="00E82822"/>
    <w:rsid w:val="00E83E06"/>
    <w:rsid w:val="00E909BC"/>
    <w:rsid w:val="00E90F3B"/>
    <w:rsid w:val="00E93877"/>
    <w:rsid w:val="00E93FD3"/>
    <w:rsid w:val="00E94051"/>
    <w:rsid w:val="00E948E5"/>
    <w:rsid w:val="00E96616"/>
    <w:rsid w:val="00E96CE6"/>
    <w:rsid w:val="00E97B08"/>
    <w:rsid w:val="00EA05CA"/>
    <w:rsid w:val="00EA0AFC"/>
    <w:rsid w:val="00EA19D6"/>
    <w:rsid w:val="00EA47B2"/>
    <w:rsid w:val="00EA485B"/>
    <w:rsid w:val="00EA49ED"/>
    <w:rsid w:val="00EB4383"/>
    <w:rsid w:val="00EB6F9E"/>
    <w:rsid w:val="00EC0B74"/>
    <w:rsid w:val="00EC2169"/>
    <w:rsid w:val="00EC3806"/>
    <w:rsid w:val="00EC533E"/>
    <w:rsid w:val="00ED1592"/>
    <w:rsid w:val="00ED2261"/>
    <w:rsid w:val="00EE6457"/>
    <w:rsid w:val="00EE7B2A"/>
    <w:rsid w:val="00EE7F60"/>
    <w:rsid w:val="00EF346D"/>
    <w:rsid w:val="00EF60D4"/>
    <w:rsid w:val="00EF6E81"/>
    <w:rsid w:val="00EF78EF"/>
    <w:rsid w:val="00F0096F"/>
    <w:rsid w:val="00F02126"/>
    <w:rsid w:val="00F04DB1"/>
    <w:rsid w:val="00F0576D"/>
    <w:rsid w:val="00F05BA6"/>
    <w:rsid w:val="00F072E7"/>
    <w:rsid w:val="00F07C52"/>
    <w:rsid w:val="00F14AD1"/>
    <w:rsid w:val="00F15CB3"/>
    <w:rsid w:val="00F161DA"/>
    <w:rsid w:val="00F16900"/>
    <w:rsid w:val="00F16924"/>
    <w:rsid w:val="00F169CF"/>
    <w:rsid w:val="00F21699"/>
    <w:rsid w:val="00F217C0"/>
    <w:rsid w:val="00F24D54"/>
    <w:rsid w:val="00F254B0"/>
    <w:rsid w:val="00F26153"/>
    <w:rsid w:val="00F26244"/>
    <w:rsid w:val="00F26EF8"/>
    <w:rsid w:val="00F3227C"/>
    <w:rsid w:val="00F338BC"/>
    <w:rsid w:val="00F371FF"/>
    <w:rsid w:val="00F41D74"/>
    <w:rsid w:val="00F469E1"/>
    <w:rsid w:val="00F51845"/>
    <w:rsid w:val="00F545CB"/>
    <w:rsid w:val="00F561C1"/>
    <w:rsid w:val="00F56273"/>
    <w:rsid w:val="00F600E7"/>
    <w:rsid w:val="00F60327"/>
    <w:rsid w:val="00F60A0F"/>
    <w:rsid w:val="00F6403F"/>
    <w:rsid w:val="00F64BFE"/>
    <w:rsid w:val="00F64CC0"/>
    <w:rsid w:val="00F64D0B"/>
    <w:rsid w:val="00F64F55"/>
    <w:rsid w:val="00F717B3"/>
    <w:rsid w:val="00F77041"/>
    <w:rsid w:val="00F775FB"/>
    <w:rsid w:val="00F778BD"/>
    <w:rsid w:val="00F814BC"/>
    <w:rsid w:val="00F8268C"/>
    <w:rsid w:val="00F82714"/>
    <w:rsid w:val="00F82CB3"/>
    <w:rsid w:val="00F84035"/>
    <w:rsid w:val="00F8588B"/>
    <w:rsid w:val="00F85E90"/>
    <w:rsid w:val="00F87557"/>
    <w:rsid w:val="00F908D0"/>
    <w:rsid w:val="00F9383E"/>
    <w:rsid w:val="00F97084"/>
    <w:rsid w:val="00FB4AA1"/>
    <w:rsid w:val="00FB7057"/>
    <w:rsid w:val="00FC0D96"/>
    <w:rsid w:val="00FC34C0"/>
    <w:rsid w:val="00FC34E9"/>
    <w:rsid w:val="00FC428B"/>
    <w:rsid w:val="00FC4774"/>
    <w:rsid w:val="00FC5779"/>
    <w:rsid w:val="00FC6889"/>
    <w:rsid w:val="00FC6D1A"/>
    <w:rsid w:val="00FD02CC"/>
    <w:rsid w:val="00FD0346"/>
    <w:rsid w:val="00FD1218"/>
    <w:rsid w:val="00FD2214"/>
    <w:rsid w:val="00FD5856"/>
    <w:rsid w:val="00FD6C43"/>
    <w:rsid w:val="00FE01EE"/>
    <w:rsid w:val="00FE3D8E"/>
    <w:rsid w:val="00FE40B3"/>
    <w:rsid w:val="00FE53FA"/>
    <w:rsid w:val="00FE674D"/>
    <w:rsid w:val="00FF14F5"/>
    <w:rsid w:val="00FF1582"/>
    <w:rsid w:val="00FF1755"/>
    <w:rsid w:val="00FF661F"/>
    <w:rsid w:val="00FF76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35D1B"/>
  <w15:chartTrackingRefBased/>
  <w15:docId w15:val="{AB6ACFDF-8242-479B-B37E-50FA4A63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3D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3D8"/>
  </w:style>
  <w:style w:type="paragraph" w:styleId="Footer">
    <w:name w:val="footer"/>
    <w:basedOn w:val="Normal"/>
    <w:link w:val="FooterChar"/>
    <w:uiPriority w:val="99"/>
    <w:unhideWhenUsed/>
    <w:rsid w:val="00655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3D8"/>
  </w:style>
  <w:style w:type="character" w:styleId="Hyperlink">
    <w:name w:val="Hyperlink"/>
    <w:basedOn w:val="DefaultParagraphFont"/>
    <w:uiPriority w:val="99"/>
    <w:unhideWhenUsed/>
    <w:rsid w:val="006553D8"/>
    <w:rPr>
      <w:color w:val="0563C1" w:themeColor="hyperlink"/>
      <w:u w:val="single"/>
    </w:rPr>
  </w:style>
  <w:style w:type="paragraph" w:styleId="FootnoteText">
    <w:name w:val="footnote text"/>
    <w:basedOn w:val="Normal"/>
    <w:link w:val="FootnoteTextChar"/>
    <w:uiPriority w:val="99"/>
    <w:semiHidden/>
    <w:unhideWhenUsed/>
    <w:rsid w:val="006553D8"/>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553D8"/>
    <w:rPr>
      <w:sz w:val="20"/>
      <w:szCs w:val="20"/>
      <w:lang w:val="en-US"/>
    </w:rPr>
  </w:style>
  <w:style w:type="paragraph" w:customStyle="1" w:styleId="xxmsonormal">
    <w:name w:val="x_x_msonormal"/>
    <w:basedOn w:val="Normal"/>
    <w:rsid w:val="006553D8"/>
    <w:pPr>
      <w:spacing w:after="0" w:line="240" w:lineRule="auto"/>
    </w:pPr>
    <w:rPr>
      <w:rFonts w:ascii="Calibri" w:hAnsi="Calibri" w:cs="Calibri"/>
      <w:lang w:val="en-US"/>
    </w:rPr>
  </w:style>
  <w:style w:type="character" w:styleId="FootnoteReference">
    <w:name w:val="footnote reference"/>
    <w:basedOn w:val="DefaultParagraphFont"/>
    <w:uiPriority w:val="99"/>
    <w:semiHidden/>
    <w:unhideWhenUsed/>
    <w:rsid w:val="006553D8"/>
    <w:rPr>
      <w:vertAlign w:val="superscript"/>
    </w:rPr>
  </w:style>
  <w:style w:type="character" w:styleId="UnresolvedMention">
    <w:name w:val="Unresolved Mention"/>
    <w:basedOn w:val="DefaultParagraphFont"/>
    <w:uiPriority w:val="99"/>
    <w:semiHidden/>
    <w:unhideWhenUsed/>
    <w:rsid w:val="00D40818"/>
    <w:rPr>
      <w:color w:val="605E5C"/>
      <w:shd w:val="clear" w:color="auto" w:fill="E1DFDD"/>
    </w:rPr>
  </w:style>
  <w:style w:type="paragraph" w:styleId="NormalWeb">
    <w:name w:val="Normal (Web)"/>
    <w:basedOn w:val="Normal"/>
    <w:uiPriority w:val="99"/>
    <w:semiHidden/>
    <w:unhideWhenUsed/>
    <w:rsid w:val="004C446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10D66"/>
    <w:rPr>
      <w:sz w:val="16"/>
      <w:szCs w:val="16"/>
    </w:rPr>
  </w:style>
  <w:style w:type="paragraph" w:styleId="CommentText">
    <w:name w:val="annotation text"/>
    <w:basedOn w:val="Normal"/>
    <w:link w:val="CommentTextChar"/>
    <w:uiPriority w:val="99"/>
    <w:semiHidden/>
    <w:unhideWhenUsed/>
    <w:rsid w:val="00410D66"/>
    <w:pPr>
      <w:spacing w:line="240" w:lineRule="auto"/>
    </w:pPr>
    <w:rPr>
      <w:sz w:val="20"/>
      <w:szCs w:val="20"/>
    </w:rPr>
  </w:style>
  <w:style w:type="character" w:customStyle="1" w:styleId="CommentTextChar">
    <w:name w:val="Comment Text Char"/>
    <w:basedOn w:val="DefaultParagraphFont"/>
    <w:link w:val="CommentText"/>
    <w:uiPriority w:val="99"/>
    <w:semiHidden/>
    <w:rsid w:val="00410D66"/>
    <w:rPr>
      <w:sz w:val="20"/>
      <w:szCs w:val="20"/>
    </w:rPr>
  </w:style>
  <w:style w:type="paragraph" w:styleId="CommentSubject">
    <w:name w:val="annotation subject"/>
    <w:basedOn w:val="CommentText"/>
    <w:next w:val="CommentText"/>
    <w:link w:val="CommentSubjectChar"/>
    <w:uiPriority w:val="99"/>
    <w:semiHidden/>
    <w:unhideWhenUsed/>
    <w:rsid w:val="00410D66"/>
    <w:rPr>
      <w:b/>
      <w:bCs/>
    </w:rPr>
  </w:style>
  <w:style w:type="character" w:customStyle="1" w:styleId="CommentSubjectChar">
    <w:name w:val="Comment Subject Char"/>
    <w:basedOn w:val="CommentTextChar"/>
    <w:link w:val="CommentSubject"/>
    <w:uiPriority w:val="99"/>
    <w:semiHidden/>
    <w:rsid w:val="00410D66"/>
    <w:rPr>
      <w:b/>
      <w:bCs/>
      <w:sz w:val="20"/>
      <w:szCs w:val="20"/>
    </w:rPr>
  </w:style>
  <w:style w:type="paragraph" w:styleId="ListParagraph">
    <w:name w:val="List Paragraph"/>
    <w:basedOn w:val="Normal"/>
    <w:uiPriority w:val="34"/>
    <w:qFormat/>
    <w:rsid w:val="00486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0751">
      <w:bodyDiv w:val="1"/>
      <w:marLeft w:val="0"/>
      <w:marRight w:val="0"/>
      <w:marTop w:val="0"/>
      <w:marBottom w:val="0"/>
      <w:divBdr>
        <w:top w:val="none" w:sz="0" w:space="0" w:color="auto"/>
        <w:left w:val="none" w:sz="0" w:space="0" w:color="auto"/>
        <w:bottom w:val="none" w:sz="0" w:space="0" w:color="auto"/>
        <w:right w:val="none" w:sz="0" w:space="0" w:color="auto"/>
      </w:divBdr>
    </w:div>
    <w:div w:id="89738889">
      <w:bodyDiv w:val="1"/>
      <w:marLeft w:val="0"/>
      <w:marRight w:val="0"/>
      <w:marTop w:val="0"/>
      <w:marBottom w:val="0"/>
      <w:divBdr>
        <w:top w:val="none" w:sz="0" w:space="0" w:color="auto"/>
        <w:left w:val="none" w:sz="0" w:space="0" w:color="auto"/>
        <w:bottom w:val="none" w:sz="0" w:space="0" w:color="auto"/>
        <w:right w:val="none" w:sz="0" w:space="0" w:color="auto"/>
      </w:divBdr>
    </w:div>
    <w:div w:id="97217087">
      <w:bodyDiv w:val="1"/>
      <w:marLeft w:val="0"/>
      <w:marRight w:val="0"/>
      <w:marTop w:val="0"/>
      <w:marBottom w:val="0"/>
      <w:divBdr>
        <w:top w:val="none" w:sz="0" w:space="0" w:color="auto"/>
        <w:left w:val="none" w:sz="0" w:space="0" w:color="auto"/>
        <w:bottom w:val="none" w:sz="0" w:space="0" w:color="auto"/>
        <w:right w:val="none" w:sz="0" w:space="0" w:color="auto"/>
      </w:divBdr>
    </w:div>
    <w:div w:id="168909670">
      <w:bodyDiv w:val="1"/>
      <w:marLeft w:val="0"/>
      <w:marRight w:val="0"/>
      <w:marTop w:val="0"/>
      <w:marBottom w:val="0"/>
      <w:divBdr>
        <w:top w:val="none" w:sz="0" w:space="0" w:color="auto"/>
        <w:left w:val="none" w:sz="0" w:space="0" w:color="auto"/>
        <w:bottom w:val="none" w:sz="0" w:space="0" w:color="auto"/>
        <w:right w:val="none" w:sz="0" w:space="0" w:color="auto"/>
      </w:divBdr>
    </w:div>
    <w:div w:id="182090294">
      <w:bodyDiv w:val="1"/>
      <w:marLeft w:val="0"/>
      <w:marRight w:val="0"/>
      <w:marTop w:val="0"/>
      <w:marBottom w:val="0"/>
      <w:divBdr>
        <w:top w:val="none" w:sz="0" w:space="0" w:color="auto"/>
        <w:left w:val="none" w:sz="0" w:space="0" w:color="auto"/>
        <w:bottom w:val="none" w:sz="0" w:space="0" w:color="auto"/>
        <w:right w:val="none" w:sz="0" w:space="0" w:color="auto"/>
      </w:divBdr>
    </w:div>
    <w:div w:id="183440795">
      <w:bodyDiv w:val="1"/>
      <w:marLeft w:val="0"/>
      <w:marRight w:val="0"/>
      <w:marTop w:val="0"/>
      <w:marBottom w:val="0"/>
      <w:divBdr>
        <w:top w:val="none" w:sz="0" w:space="0" w:color="auto"/>
        <w:left w:val="none" w:sz="0" w:space="0" w:color="auto"/>
        <w:bottom w:val="none" w:sz="0" w:space="0" w:color="auto"/>
        <w:right w:val="none" w:sz="0" w:space="0" w:color="auto"/>
      </w:divBdr>
    </w:div>
    <w:div w:id="311444666">
      <w:bodyDiv w:val="1"/>
      <w:marLeft w:val="0"/>
      <w:marRight w:val="0"/>
      <w:marTop w:val="0"/>
      <w:marBottom w:val="0"/>
      <w:divBdr>
        <w:top w:val="none" w:sz="0" w:space="0" w:color="auto"/>
        <w:left w:val="none" w:sz="0" w:space="0" w:color="auto"/>
        <w:bottom w:val="none" w:sz="0" w:space="0" w:color="auto"/>
        <w:right w:val="none" w:sz="0" w:space="0" w:color="auto"/>
      </w:divBdr>
    </w:div>
    <w:div w:id="436103026">
      <w:bodyDiv w:val="1"/>
      <w:marLeft w:val="0"/>
      <w:marRight w:val="0"/>
      <w:marTop w:val="0"/>
      <w:marBottom w:val="0"/>
      <w:divBdr>
        <w:top w:val="none" w:sz="0" w:space="0" w:color="auto"/>
        <w:left w:val="none" w:sz="0" w:space="0" w:color="auto"/>
        <w:bottom w:val="none" w:sz="0" w:space="0" w:color="auto"/>
        <w:right w:val="none" w:sz="0" w:space="0" w:color="auto"/>
      </w:divBdr>
    </w:div>
    <w:div w:id="567960135">
      <w:bodyDiv w:val="1"/>
      <w:marLeft w:val="0"/>
      <w:marRight w:val="0"/>
      <w:marTop w:val="0"/>
      <w:marBottom w:val="0"/>
      <w:divBdr>
        <w:top w:val="none" w:sz="0" w:space="0" w:color="auto"/>
        <w:left w:val="none" w:sz="0" w:space="0" w:color="auto"/>
        <w:bottom w:val="none" w:sz="0" w:space="0" w:color="auto"/>
        <w:right w:val="none" w:sz="0" w:space="0" w:color="auto"/>
      </w:divBdr>
    </w:div>
    <w:div w:id="648630484">
      <w:bodyDiv w:val="1"/>
      <w:marLeft w:val="0"/>
      <w:marRight w:val="0"/>
      <w:marTop w:val="0"/>
      <w:marBottom w:val="0"/>
      <w:divBdr>
        <w:top w:val="none" w:sz="0" w:space="0" w:color="auto"/>
        <w:left w:val="none" w:sz="0" w:space="0" w:color="auto"/>
        <w:bottom w:val="none" w:sz="0" w:space="0" w:color="auto"/>
        <w:right w:val="none" w:sz="0" w:space="0" w:color="auto"/>
      </w:divBdr>
    </w:div>
    <w:div w:id="673727489">
      <w:bodyDiv w:val="1"/>
      <w:marLeft w:val="0"/>
      <w:marRight w:val="0"/>
      <w:marTop w:val="0"/>
      <w:marBottom w:val="0"/>
      <w:divBdr>
        <w:top w:val="none" w:sz="0" w:space="0" w:color="auto"/>
        <w:left w:val="none" w:sz="0" w:space="0" w:color="auto"/>
        <w:bottom w:val="none" w:sz="0" w:space="0" w:color="auto"/>
        <w:right w:val="none" w:sz="0" w:space="0" w:color="auto"/>
      </w:divBdr>
    </w:div>
    <w:div w:id="758985956">
      <w:bodyDiv w:val="1"/>
      <w:marLeft w:val="0"/>
      <w:marRight w:val="0"/>
      <w:marTop w:val="0"/>
      <w:marBottom w:val="0"/>
      <w:divBdr>
        <w:top w:val="none" w:sz="0" w:space="0" w:color="auto"/>
        <w:left w:val="none" w:sz="0" w:space="0" w:color="auto"/>
        <w:bottom w:val="none" w:sz="0" w:space="0" w:color="auto"/>
        <w:right w:val="none" w:sz="0" w:space="0" w:color="auto"/>
      </w:divBdr>
    </w:div>
    <w:div w:id="864633075">
      <w:bodyDiv w:val="1"/>
      <w:marLeft w:val="0"/>
      <w:marRight w:val="0"/>
      <w:marTop w:val="0"/>
      <w:marBottom w:val="0"/>
      <w:divBdr>
        <w:top w:val="none" w:sz="0" w:space="0" w:color="auto"/>
        <w:left w:val="none" w:sz="0" w:space="0" w:color="auto"/>
        <w:bottom w:val="none" w:sz="0" w:space="0" w:color="auto"/>
        <w:right w:val="none" w:sz="0" w:space="0" w:color="auto"/>
      </w:divBdr>
    </w:div>
    <w:div w:id="960304552">
      <w:bodyDiv w:val="1"/>
      <w:marLeft w:val="0"/>
      <w:marRight w:val="0"/>
      <w:marTop w:val="0"/>
      <w:marBottom w:val="0"/>
      <w:divBdr>
        <w:top w:val="none" w:sz="0" w:space="0" w:color="auto"/>
        <w:left w:val="none" w:sz="0" w:space="0" w:color="auto"/>
        <w:bottom w:val="none" w:sz="0" w:space="0" w:color="auto"/>
        <w:right w:val="none" w:sz="0" w:space="0" w:color="auto"/>
      </w:divBdr>
    </w:div>
    <w:div w:id="965620378">
      <w:bodyDiv w:val="1"/>
      <w:marLeft w:val="0"/>
      <w:marRight w:val="0"/>
      <w:marTop w:val="0"/>
      <w:marBottom w:val="0"/>
      <w:divBdr>
        <w:top w:val="none" w:sz="0" w:space="0" w:color="auto"/>
        <w:left w:val="none" w:sz="0" w:space="0" w:color="auto"/>
        <w:bottom w:val="none" w:sz="0" w:space="0" w:color="auto"/>
        <w:right w:val="none" w:sz="0" w:space="0" w:color="auto"/>
      </w:divBdr>
    </w:div>
    <w:div w:id="1078677406">
      <w:bodyDiv w:val="1"/>
      <w:marLeft w:val="0"/>
      <w:marRight w:val="0"/>
      <w:marTop w:val="0"/>
      <w:marBottom w:val="0"/>
      <w:divBdr>
        <w:top w:val="none" w:sz="0" w:space="0" w:color="auto"/>
        <w:left w:val="none" w:sz="0" w:space="0" w:color="auto"/>
        <w:bottom w:val="none" w:sz="0" w:space="0" w:color="auto"/>
        <w:right w:val="none" w:sz="0" w:space="0" w:color="auto"/>
      </w:divBdr>
    </w:div>
    <w:div w:id="1172914161">
      <w:bodyDiv w:val="1"/>
      <w:marLeft w:val="0"/>
      <w:marRight w:val="0"/>
      <w:marTop w:val="0"/>
      <w:marBottom w:val="0"/>
      <w:divBdr>
        <w:top w:val="none" w:sz="0" w:space="0" w:color="auto"/>
        <w:left w:val="none" w:sz="0" w:space="0" w:color="auto"/>
        <w:bottom w:val="none" w:sz="0" w:space="0" w:color="auto"/>
        <w:right w:val="none" w:sz="0" w:space="0" w:color="auto"/>
      </w:divBdr>
    </w:div>
    <w:div w:id="1268658219">
      <w:bodyDiv w:val="1"/>
      <w:marLeft w:val="0"/>
      <w:marRight w:val="0"/>
      <w:marTop w:val="0"/>
      <w:marBottom w:val="0"/>
      <w:divBdr>
        <w:top w:val="none" w:sz="0" w:space="0" w:color="auto"/>
        <w:left w:val="none" w:sz="0" w:space="0" w:color="auto"/>
        <w:bottom w:val="none" w:sz="0" w:space="0" w:color="auto"/>
        <w:right w:val="none" w:sz="0" w:space="0" w:color="auto"/>
      </w:divBdr>
    </w:div>
    <w:div w:id="1294674901">
      <w:bodyDiv w:val="1"/>
      <w:marLeft w:val="0"/>
      <w:marRight w:val="0"/>
      <w:marTop w:val="0"/>
      <w:marBottom w:val="0"/>
      <w:divBdr>
        <w:top w:val="none" w:sz="0" w:space="0" w:color="auto"/>
        <w:left w:val="none" w:sz="0" w:space="0" w:color="auto"/>
        <w:bottom w:val="none" w:sz="0" w:space="0" w:color="auto"/>
        <w:right w:val="none" w:sz="0" w:space="0" w:color="auto"/>
      </w:divBdr>
    </w:div>
    <w:div w:id="1405449212">
      <w:bodyDiv w:val="1"/>
      <w:marLeft w:val="0"/>
      <w:marRight w:val="0"/>
      <w:marTop w:val="0"/>
      <w:marBottom w:val="0"/>
      <w:divBdr>
        <w:top w:val="none" w:sz="0" w:space="0" w:color="auto"/>
        <w:left w:val="none" w:sz="0" w:space="0" w:color="auto"/>
        <w:bottom w:val="none" w:sz="0" w:space="0" w:color="auto"/>
        <w:right w:val="none" w:sz="0" w:space="0" w:color="auto"/>
      </w:divBdr>
    </w:div>
    <w:div w:id="1418861245">
      <w:bodyDiv w:val="1"/>
      <w:marLeft w:val="0"/>
      <w:marRight w:val="0"/>
      <w:marTop w:val="0"/>
      <w:marBottom w:val="0"/>
      <w:divBdr>
        <w:top w:val="none" w:sz="0" w:space="0" w:color="auto"/>
        <w:left w:val="none" w:sz="0" w:space="0" w:color="auto"/>
        <w:bottom w:val="none" w:sz="0" w:space="0" w:color="auto"/>
        <w:right w:val="none" w:sz="0" w:space="0" w:color="auto"/>
      </w:divBdr>
    </w:div>
    <w:div w:id="1435780364">
      <w:bodyDiv w:val="1"/>
      <w:marLeft w:val="0"/>
      <w:marRight w:val="0"/>
      <w:marTop w:val="0"/>
      <w:marBottom w:val="0"/>
      <w:divBdr>
        <w:top w:val="none" w:sz="0" w:space="0" w:color="auto"/>
        <w:left w:val="none" w:sz="0" w:space="0" w:color="auto"/>
        <w:bottom w:val="none" w:sz="0" w:space="0" w:color="auto"/>
        <w:right w:val="none" w:sz="0" w:space="0" w:color="auto"/>
      </w:divBdr>
    </w:div>
    <w:div w:id="1554661978">
      <w:bodyDiv w:val="1"/>
      <w:marLeft w:val="0"/>
      <w:marRight w:val="0"/>
      <w:marTop w:val="0"/>
      <w:marBottom w:val="0"/>
      <w:divBdr>
        <w:top w:val="none" w:sz="0" w:space="0" w:color="auto"/>
        <w:left w:val="none" w:sz="0" w:space="0" w:color="auto"/>
        <w:bottom w:val="none" w:sz="0" w:space="0" w:color="auto"/>
        <w:right w:val="none" w:sz="0" w:space="0" w:color="auto"/>
      </w:divBdr>
    </w:div>
    <w:div w:id="1718813684">
      <w:bodyDiv w:val="1"/>
      <w:marLeft w:val="0"/>
      <w:marRight w:val="0"/>
      <w:marTop w:val="0"/>
      <w:marBottom w:val="0"/>
      <w:divBdr>
        <w:top w:val="none" w:sz="0" w:space="0" w:color="auto"/>
        <w:left w:val="none" w:sz="0" w:space="0" w:color="auto"/>
        <w:bottom w:val="none" w:sz="0" w:space="0" w:color="auto"/>
        <w:right w:val="none" w:sz="0" w:space="0" w:color="auto"/>
      </w:divBdr>
    </w:div>
    <w:div w:id="1818717713">
      <w:bodyDiv w:val="1"/>
      <w:marLeft w:val="0"/>
      <w:marRight w:val="0"/>
      <w:marTop w:val="0"/>
      <w:marBottom w:val="0"/>
      <w:divBdr>
        <w:top w:val="none" w:sz="0" w:space="0" w:color="auto"/>
        <w:left w:val="none" w:sz="0" w:space="0" w:color="auto"/>
        <w:bottom w:val="none" w:sz="0" w:space="0" w:color="auto"/>
        <w:right w:val="none" w:sz="0" w:space="0" w:color="auto"/>
      </w:divBdr>
    </w:div>
    <w:div w:id="1951281729">
      <w:bodyDiv w:val="1"/>
      <w:marLeft w:val="0"/>
      <w:marRight w:val="0"/>
      <w:marTop w:val="0"/>
      <w:marBottom w:val="0"/>
      <w:divBdr>
        <w:top w:val="none" w:sz="0" w:space="0" w:color="auto"/>
        <w:left w:val="none" w:sz="0" w:space="0" w:color="auto"/>
        <w:bottom w:val="none" w:sz="0" w:space="0" w:color="auto"/>
        <w:right w:val="none" w:sz="0" w:space="0" w:color="auto"/>
      </w:divBdr>
    </w:div>
    <w:div w:id="200705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flyduba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683F-B28F-4832-98C5-62DBE2FF707C}">
  <ds:schemaRefs>
    <ds:schemaRef ds:uri="http://schemas.openxmlformats.org/officeDocument/2006/bibliography"/>
  </ds:schemaRefs>
</ds:datastoreItem>
</file>

<file path=docMetadata/LabelInfo.xml><?xml version="1.0" encoding="utf-8"?>
<clbl:labelList xmlns:clbl="http://schemas.microsoft.com/office/2020/mipLabelMetadata">
  <clbl:label id="{72cbf049-d068-4d07-a9b1-920a5fbed7c9}" enabled="0" method="" siteId="{72cbf049-d068-4d07-a9b1-920a5fbed7c9}"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Hayashi</dc:creator>
  <cp:keywords/>
  <dc:description/>
  <cp:lastModifiedBy>Erika Hayashi</cp:lastModifiedBy>
  <cp:revision>6</cp:revision>
  <cp:lastPrinted>2025-02-24T06:47:00Z</cp:lastPrinted>
  <dcterms:created xsi:type="dcterms:W3CDTF">2026-02-26T04:56:00Z</dcterms:created>
  <dcterms:modified xsi:type="dcterms:W3CDTF">2026-02-26T06:39:00Z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1127d64b-0878-471b-bfcd-e91f7d6d9e9f</vt:lpwstr>
  </property>
</Properties>
</file>