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B8" w:rsidRPr="00887DB8" w:rsidRDefault="00887DB8" w:rsidP="00EB24B0">
      <w:pPr>
        <w:pBdr>
          <w:bottom w:val="single" w:sz="6" w:space="1" w:color="auto"/>
        </w:pBdr>
        <w:spacing w:after="0"/>
        <w:jc w:val="center"/>
        <w:rPr>
          <w:rFonts w:ascii="Arial" w:hAnsi="Arial" w:cs="Arial"/>
          <w:b/>
        </w:rPr>
      </w:pPr>
      <w:r w:rsidRPr="00887DB8">
        <w:rPr>
          <w:rFonts w:ascii="Arial" w:eastAsia="Times New Roman" w:hAnsi="Arial" w:cs="Arial"/>
          <w:noProof/>
          <w:sz w:val="24"/>
          <w:szCs w:val="24"/>
          <w:lang w:eastAsia="en-CA"/>
        </w:rPr>
        <w:drawing>
          <wp:inline distT="0" distB="0" distL="0" distR="0" wp14:anchorId="5573376F" wp14:editId="40228F11">
            <wp:extent cx="1104940" cy="798792"/>
            <wp:effectExtent l="0" t="0" r="0" b="1905"/>
            <wp:docPr id="1" name="Picture 1" descr="cid:3C7266B3-9581-4A0A-8F66-111547ADA370@argonaut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04296-F7D8-4490-894D-50229E3CB9C6" descr="cid:3C7266B3-9581-4A0A-8F66-111547ADA370@argonauts.loc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24366" cy="812835"/>
                    </a:xfrm>
                    <a:prstGeom prst="rect">
                      <a:avLst/>
                    </a:prstGeom>
                    <a:noFill/>
                    <a:ln>
                      <a:noFill/>
                    </a:ln>
                  </pic:spPr>
                </pic:pic>
              </a:graphicData>
            </a:graphic>
          </wp:inline>
        </w:drawing>
      </w:r>
    </w:p>
    <w:p w:rsidR="00887DB8" w:rsidRPr="00887DB8" w:rsidRDefault="00887DB8" w:rsidP="00EB24B0">
      <w:pPr>
        <w:pBdr>
          <w:bottom w:val="single" w:sz="6" w:space="1" w:color="auto"/>
        </w:pBdr>
        <w:spacing w:after="0"/>
        <w:jc w:val="center"/>
        <w:rPr>
          <w:rFonts w:ascii="Arial" w:hAnsi="Arial" w:cs="Arial"/>
          <w:b/>
        </w:rPr>
      </w:pPr>
    </w:p>
    <w:p w:rsidR="00990818" w:rsidRPr="00887DB8" w:rsidRDefault="00622DE0" w:rsidP="00EB24B0">
      <w:pPr>
        <w:pBdr>
          <w:bottom w:val="single" w:sz="6" w:space="1" w:color="auto"/>
        </w:pBdr>
        <w:spacing w:after="0"/>
        <w:jc w:val="center"/>
        <w:rPr>
          <w:rFonts w:ascii="Arial" w:hAnsi="Arial" w:cs="Arial"/>
          <w:b/>
          <w:sz w:val="32"/>
          <w:szCs w:val="32"/>
        </w:rPr>
      </w:pPr>
      <w:r w:rsidRPr="00887DB8">
        <w:rPr>
          <w:rFonts w:ascii="Arial" w:hAnsi="Arial" w:cs="Arial"/>
          <w:b/>
          <w:sz w:val="32"/>
          <w:szCs w:val="32"/>
        </w:rPr>
        <w:t>JIM POPP</w:t>
      </w:r>
      <w:r w:rsidR="00990818" w:rsidRPr="00887DB8">
        <w:rPr>
          <w:rFonts w:ascii="Arial" w:hAnsi="Arial" w:cs="Arial"/>
          <w:b/>
          <w:sz w:val="32"/>
          <w:szCs w:val="32"/>
        </w:rPr>
        <w:t xml:space="preserve"> BIO</w:t>
      </w:r>
    </w:p>
    <w:p w:rsidR="00887DB8" w:rsidRPr="00887DB8" w:rsidRDefault="00887DB8" w:rsidP="00EB24B0">
      <w:pPr>
        <w:pBdr>
          <w:bottom w:val="single" w:sz="6" w:space="1" w:color="auto"/>
        </w:pBdr>
        <w:spacing w:after="0"/>
        <w:jc w:val="center"/>
        <w:rPr>
          <w:rFonts w:ascii="Arial" w:hAnsi="Arial" w:cs="Arial"/>
          <w:b/>
        </w:rPr>
      </w:pPr>
    </w:p>
    <w:p w:rsidR="00990818" w:rsidRPr="00887DB8" w:rsidRDefault="00990818" w:rsidP="00EB24B0">
      <w:pPr>
        <w:spacing w:after="0"/>
        <w:rPr>
          <w:rFonts w:ascii="Arial" w:hAnsi="Arial" w:cs="Arial"/>
        </w:rPr>
      </w:pPr>
    </w:p>
    <w:p w:rsidR="00990818" w:rsidRPr="00887DB8" w:rsidRDefault="00B86CA7" w:rsidP="00EB24B0">
      <w:pPr>
        <w:spacing w:after="0"/>
        <w:rPr>
          <w:rFonts w:ascii="Arial" w:hAnsi="Arial" w:cs="Arial"/>
          <w:b/>
        </w:rPr>
      </w:pPr>
      <w:r w:rsidRPr="00887DB8">
        <w:rPr>
          <w:rFonts w:ascii="Arial" w:hAnsi="Arial" w:cs="Arial"/>
          <w:b/>
        </w:rPr>
        <w:t>CFL CAREER HIGHLIGHTS</w:t>
      </w:r>
      <w:r w:rsidR="008D2010" w:rsidRPr="00887DB8">
        <w:rPr>
          <w:rFonts w:ascii="Arial" w:hAnsi="Arial" w:cs="Arial"/>
          <w:b/>
        </w:rPr>
        <w:t>:</w:t>
      </w:r>
    </w:p>
    <w:p w:rsidR="00EB24B0" w:rsidRPr="00887DB8" w:rsidRDefault="00EB24B0" w:rsidP="00EB24B0">
      <w:pPr>
        <w:spacing w:after="0"/>
        <w:rPr>
          <w:rFonts w:ascii="Arial" w:hAnsi="Arial" w:cs="Arial"/>
          <w:b/>
        </w:rPr>
      </w:pPr>
    </w:p>
    <w:p w:rsidR="00AF3F44" w:rsidRPr="00887DB8" w:rsidRDefault="00AF3F44" w:rsidP="00C92669">
      <w:pPr>
        <w:pStyle w:val="ListParagraph"/>
        <w:numPr>
          <w:ilvl w:val="0"/>
          <w:numId w:val="1"/>
        </w:numPr>
        <w:spacing w:after="0"/>
        <w:rPr>
          <w:rFonts w:ascii="Arial" w:hAnsi="Arial" w:cs="Arial"/>
        </w:rPr>
      </w:pPr>
      <w:r w:rsidRPr="00887DB8">
        <w:rPr>
          <w:rFonts w:ascii="Arial" w:hAnsi="Arial" w:cs="Arial"/>
        </w:rPr>
        <w:t xml:space="preserve">254 regular season wins as a GM – second all-time to only Wally </w:t>
      </w:r>
      <w:proofErr w:type="spellStart"/>
      <w:r w:rsidRPr="00887DB8">
        <w:rPr>
          <w:rFonts w:ascii="Arial" w:hAnsi="Arial" w:cs="Arial"/>
        </w:rPr>
        <w:t>Buono</w:t>
      </w:r>
      <w:proofErr w:type="spellEnd"/>
      <w:r w:rsidRPr="00887DB8">
        <w:rPr>
          <w:rFonts w:ascii="Arial" w:hAnsi="Arial" w:cs="Arial"/>
        </w:rPr>
        <w:t xml:space="preserve"> (284)</w:t>
      </w:r>
    </w:p>
    <w:p w:rsidR="00DB039C" w:rsidRPr="00887DB8" w:rsidRDefault="007B4363" w:rsidP="00C92669">
      <w:pPr>
        <w:pStyle w:val="ListParagraph"/>
        <w:numPr>
          <w:ilvl w:val="0"/>
          <w:numId w:val="1"/>
        </w:numPr>
        <w:spacing w:after="0"/>
        <w:rPr>
          <w:rFonts w:ascii="Arial" w:hAnsi="Arial" w:cs="Arial"/>
        </w:rPr>
      </w:pPr>
      <w:r>
        <w:rPr>
          <w:rFonts w:ascii="Arial" w:hAnsi="Arial" w:cs="Arial"/>
        </w:rPr>
        <w:t>Four</w:t>
      </w:r>
      <w:r w:rsidR="00DB039C" w:rsidRPr="00887DB8">
        <w:rPr>
          <w:rFonts w:ascii="Arial" w:hAnsi="Arial" w:cs="Arial"/>
        </w:rPr>
        <w:t>-Time Grey Cup Champion (1995, 2002, 2009, 2010)</w:t>
      </w:r>
      <w:r w:rsidR="00310BB2">
        <w:rPr>
          <w:rFonts w:ascii="Arial" w:hAnsi="Arial" w:cs="Arial"/>
        </w:rPr>
        <w:t>.</w:t>
      </w:r>
    </w:p>
    <w:p w:rsidR="00DB039C" w:rsidRPr="00887DB8" w:rsidRDefault="00DB039C" w:rsidP="00C92669">
      <w:pPr>
        <w:pStyle w:val="ListParagraph"/>
        <w:numPr>
          <w:ilvl w:val="0"/>
          <w:numId w:val="1"/>
        </w:numPr>
        <w:spacing w:after="0"/>
        <w:rPr>
          <w:rFonts w:ascii="Arial" w:hAnsi="Arial" w:cs="Arial"/>
        </w:rPr>
      </w:pPr>
      <w:r w:rsidRPr="00887DB8">
        <w:rPr>
          <w:rFonts w:ascii="Arial" w:hAnsi="Arial" w:cs="Arial"/>
        </w:rPr>
        <w:t xml:space="preserve">10 Grey Cup </w:t>
      </w:r>
      <w:r w:rsidR="00B86CA7" w:rsidRPr="00887DB8">
        <w:rPr>
          <w:rFonts w:ascii="Arial" w:hAnsi="Arial" w:cs="Arial"/>
        </w:rPr>
        <w:t>appearances (1994, 1995, 2000, 2002, 2003, 2005, 2006, 2008, 2009 and 2010)</w:t>
      </w:r>
      <w:r w:rsidR="00310BB2">
        <w:rPr>
          <w:rFonts w:ascii="Arial" w:hAnsi="Arial" w:cs="Arial"/>
        </w:rPr>
        <w:t>, the most by a GM in CFL history.</w:t>
      </w:r>
    </w:p>
    <w:p w:rsidR="00B86CA7" w:rsidRPr="00887DB8" w:rsidRDefault="00B86CA7" w:rsidP="00C92669">
      <w:pPr>
        <w:pStyle w:val="ListParagraph"/>
        <w:numPr>
          <w:ilvl w:val="0"/>
          <w:numId w:val="1"/>
        </w:numPr>
        <w:spacing w:after="0"/>
        <w:rPr>
          <w:rFonts w:ascii="Arial" w:hAnsi="Arial" w:cs="Arial"/>
        </w:rPr>
      </w:pPr>
      <w:r w:rsidRPr="00887DB8">
        <w:rPr>
          <w:rFonts w:ascii="Arial" w:hAnsi="Arial" w:cs="Arial"/>
        </w:rPr>
        <w:t>11 first-place finishes</w:t>
      </w:r>
      <w:r w:rsidR="00310BB2">
        <w:rPr>
          <w:rFonts w:ascii="Arial" w:hAnsi="Arial" w:cs="Arial"/>
        </w:rPr>
        <w:t>.</w:t>
      </w:r>
    </w:p>
    <w:p w:rsidR="001E007A" w:rsidRPr="00887DB8" w:rsidRDefault="001E007A" w:rsidP="00C92669">
      <w:pPr>
        <w:pStyle w:val="ListParagraph"/>
        <w:numPr>
          <w:ilvl w:val="0"/>
          <w:numId w:val="1"/>
        </w:numPr>
        <w:spacing w:after="0"/>
        <w:rPr>
          <w:rFonts w:ascii="Arial" w:hAnsi="Arial" w:cs="Arial"/>
        </w:rPr>
      </w:pPr>
      <w:r w:rsidRPr="00887DB8">
        <w:rPr>
          <w:rFonts w:ascii="Arial" w:hAnsi="Arial" w:cs="Arial"/>
        </w:rPr>
        <w:t xml:space="preserve">As Baltimore Stallions’ GM, he appeared in two Grey Cups (1994, 1995) and won one (1995). </w:t>
      </w:r>
    </w:p>
    <w:p w:rsidR="001E007A" w:rsidRPr="00887DB8" w:rsidRDefault="001E007A" w:rsidP="00C92669">
      <w:pPr>
        <w:pStyle w:val="ListParagraph"/>
        <w:numPr>
          <w:ilvl w:val="0"/>
          <w:numId w:val="1"/>
        </w:numPr>
        <w:spacing w:after="0"/>
        <w:rPr>
          <w:rFonts w:ascii="Arial" w:hAnsi="Arial" w:cs="Arial"/>
        </w:rPr>
      </w:pPr>
      <w:r w:rsidRPr="00887DB8">
        <w:rPr>
          <w:rFonts w:ascii="Arial" w:hAnsi="Arial" w:cs="Arial"/>
        </w:rPr>
        <w:t xml:space="preserve">As the </w:t>
      </w:r>
      <w:proofErr w:type="spellStart"/>
      <w:r w:rsidRPr="00887DB8">
        <w:rPr>
          <w:rFonts w:ascii="Arial" w:hAnsi="Arial" w:cs="Arial"/>
        </w:rPr>
        <w:t>Alouettes</w:t>
      </w:r>
      <w:proofErr w:type="spellEnd"/>
      <w:r w:rsidRPr="00887DB8">
        <w:rPr>
          <w:rFonts w:ascii="Arial" w:hAnsi="Arial" w:cs="Arial"/>
        </w:rPr>
        <w:t>’ GM, he appeared in eight Grey Cups (2000, 2002, 2003, 2005, 2006, 2008, 2009 and 2010) and won three (2002, 2009, and 2010)</w:t>
      </w:r>
      <w:r w:rsidR="00310BB2">
        <w:rPr>
          <w:rFonts w:ascii="Arial" w:hAnsi="Arial" w:cs="Arial"/>
        </w:rPr>
        <w:t>.</w:t>
      </w:r>
    </w:p>
    <w:p w:rsidR="001E007A" w:rsidRPr="00887DB8" w:rsidRDefault="001E007A" w:rsidP="001E007A">
      <w:pPr>
        <w:pStyle w:val="ListParagraph"/>
        <w:numPr>
          <w:ilvl w:val="0"/>
          <w:numId w:val="1"/>
        </w:numPr>
        <w:spacing w:after="0"/>
        <w:rPr>
          <w:rFonts w:ascii="Arial" w:hAnsi="Arial" w:cs="Arial"/>
        </w:rPr>
      </w:pPr>
      <w:r w:rsidRPr="00887DB8">
        <w:rPr>
          <w:rFonts w:ascii="Arial" w:hAnsi="Arial" w:cs="Arial"/>
        </w:rPr>
        <w:t>Led the most successful expansion franchise in sports history (1994 expansion Baltimore Stallions played in the Grey Cup)</w:t>
      </w:r>
      <w:r w:rsidR="00310BB2">
        <w:rPr>
          <w:rFonts w:ascii="Arial" w:hAnsi="Arial" w:cs="Arial"/>
        </w:rPr>
        <w:t>.</w:t>
      </w:r>
      <w:bookmarkStart w:id="0" w:name="_GoBack"/>
      <w:bookmarkEnd w:id="0"/>
    </w:p>
    <w:p w:rsidR="001E007A" w:rsidRPr="00887DB8" w:rsidRDefault="001E007A" w:rsidP="001E007A">
      <w:pPr>
        <w:pStyle w:val="ListParagraph"/>
        <w:numPr>
          <w:ilvl w:val="0"/>
          <w:numId w:val="1"/>
        </w:numPr>
        <w:spacing w:after="0"/>
        <w:rPr>
          <w:rFonts w:ascii="Arial" w:hAnsi="Arial" w:cs="Arial"/>
        </w:rPr>
      </w:pPr>
      <w:r w:rsidRPr="00887DB8">
        <w:rPr>
          <w:rFonts w:ascii="Arial" w:hAnsi="Arial" w:cs="Arial"/>
        </w:rPr>
        <w:t>Led the only team in the CFL to ever win 18 games (1995 Baltimore Stallions, 15 regular season wins, two playoff wins and the Grey Cup).</w:t>
      </w:r>
    </w:p>
    <w:p w:rsidR="001E007A" w:rsidRPr="00887DB8" w:rsidRDefault="00DB039C" w:rsidP="00DB039C">
      <w:pPr>
        <w:pStyle w:val="ListParagraph"/>
        <w:numPr>
          <w:ilvl w:val="0"/>
          <w:numId w:val="1"/>
        </w:numPr>
        <w:spacing w:after="0"/>
        <w:rPr>
          <w:rFonts w:ascii="Arial" w:hAnsi="Arial" w:cs="Arial"/>
        </w:rPr>
      </w:pPr>
      <w:r w:rsidRPr="00887DB8">
        <w:rPr>
          <w:rFonts w:ascii="Arial" w:hAnsi="Arial" w:cs="Arial"/>
        </w:rPr>
        <w:t xml:space="preserve">Named the Sports Executive of the Year in 2011 after leading the </w:t>
      </w:r>
      <w:proofErr w:type="spellStart"/>
      <w:r w:rsidRPr="00887DB8">
        <w:rPr>
          <w:rFonts w:ascii="Arial" w:hAnsi="Arial" w:cs="Arial"/>
        </w:rPr>
        <w:t>Alouettes</w:t>
      </w:r>
      <w:proofErr w:type="spellEnd"/>
      <w:r w:rsidRPr="00887DB8">
        <w:rPr>
          <w:rFonts w:ascii="Arial" w:hAnsi="Arial" w:cs="Arial"/>
        </w:rPr>
        <w:t xml:space="preserve"> to back-to-back championships in 2009 and 2010 – the first team to win consecutive Grey Cups since the Argos accomplished the feat in 1996 and 1997.</w:t>
      </w:r>
    </w:p>
    <w:p w:rsidR="001374B3" w:rsidRPr="00887DB8" w:rsidRDefault="001374B3" w:rsidP="001374B3">
      <w:pPr>
        <w:spacing w:after="0"/>
        <w:rPr>
          <w:rFonts w:ascii="Arial" w:hAnsi="Arial" w:cs="Arial"/>
          <w:b/>
        </w:rPr>
      </w:pPr>
    </w:p>
    <w:p w:rsidR="00AF3F44" w:rsidRPr="00887DB8" w:rsidRDefault="00AF3F44" w:rsidP="00AF3F44">
      <w:pPr>
        <w:rPr>
          <w:rStyle w:val="Strong"/>
          <w:rFonts w:ascii="Arial" w:eastAsia="Times New Roman" w:hAnsi="Arial" w:cs="Arial"/>
          <w:color w:val="000000"/>
        </w:rPr>
      </w:pPr>
      <w:r w:rsidRPr="00887DB8">
        <w:rPr>
          <w:rStyle w:val="Strong"/>
          <w:rFonts w:ascii="Arial" w:eastAsia="Times New Roman" w:hAnsi="Arial" w:cs="Arial"/>
          <w:color w:val="000000"/>
        </w:rPr>
        <w:t>CFL STATS &amp; RECORDS:</w:t>
      </w:r>
    </w:p>
    <w:p w:rsidR="00AF3F44" w:rsidRPr="00887DB8" w:rsidRDefault="00AF3F44" w:rsidP="00AF3F44">
      <w:pPr>
        <w:spacing w:after="0"/>
        <w:rPr>
          <w:rFonts w:ascii="Arial" w:eastAsia="Times New Roman" w:hAnsi="Arial" w:cs="Arial"/>
          <w:color w:val="000000"/>
        </w:rPr>
      </w:pPr>
      <w:r w:rsidRPr="00887DB8">
        <w:rPr>
          <w:rStyle w:val="Strong"/>
          <w:rFonts w:ascii="Arial" w:eastAsia="Times New Roman" w:hAnsi="Arial" w:cs="Arial"/>
          <w:color w:val="000000"/>
        </w:rPr>
        <w:t>All-Time Highest Winning Percentage</w:t>
      </w:r>
      <w:r w:rsidRPr="00887DB8">
        <w:rPr>
          <w:rFonts w:ascii="Arial" w:eastAsia="Times New Roman" w:hAnsi="Arial" w:cs="Arial"/>
          <w:color w:val="000000"/>
        </w:rPr>
        <w:t xml:space="preserve"> </w:t>
      </w:r>
      <w:r w:rsidRPr="00887DB8">
        <w:rPr>
          <w:rFonts w:ascii="Arial" w:eastAsia="Times New Roman" w:hAnsi="Arial" w:cs="Arial"/>
          <w:b/>
          <w:color w:val="000000"/>
        </w:rPr>
        <w:t>by a General Manager</w:t>
      </w:r>
      <w:r w:rsidR="00A96164" w:rsidRPr="00887DB8">
        <w:rPr>
          <w:rFonts w:ascii="Arial" w:eastAsia="Times New Roman" w:hAnsi="Arial" w:cs="Arial"/>
          <w:b/>
          <w:color w:val="000000"/>
        </w:rPr>
        <w:t xml:space="preserve"> (Minimum 100 games)</w:t>
      </w:r>
    </w:p>
    <w:p w:rsidR="00AF3F44" w:rsidRPr="00887DB8" w:rsidRDefault="00AF3F44" w:rsidP="00AF3F44">
      <w:pPr>
        <w:spacing w:after="0"/>
        <w:rPr>
          <w:rFonts w:ascii="Arial" w:eastAsia="Times New Roman" w:hAnsi="Arial" w:cs="Arial"/>
          <w:color w:val="000000"/>
        </w:rPr>
      </w:pPr>
    </w:p>
    <w:tbl>
      <w:tblPr>
        <w:tblStyle w:val="TableGrid"/>
        <w:tblW w:w="0" w:type="auto"/>
        <w:tblLook w:val="04A0" w:firstRow="1" w:lastRow="0" w:firstColumn="1" w:lastColumn="0" w:noHBand="0" w:noVBand="1"/>
      </w:tblPr>
      <w:tblGrid>
        <w:gridCol w:w="852"/>
        <w:gridCol w:w="3824"/>
        <w:gridCol w:w="2337"/>
        <w:gridCol w:w="2337"/>
      </w:tblGrid>
      <w:tr w:rsidR="00AF3F44" w:rsidRPr="00887DB8" w:rsidTr="009D1642">
        <w:tc>
          <w:tcPr>
            <w:tcW w:w="846" w:type="dxa"/>
            <w:shd w:val="clear" w:color="auto" w:fill="D0CECE" w:themeFill="background2" w:themeFillShade="E6"/>
          </w:tcPr>
          <w:p w:rsidR="00AF3F44" w:rsidRPr="00887DB8" w:rsidRDefault="00AF3F44" w:rsidP="009D1642">
            <w:pPr>
              <w:jc w:val="center"/>
              <w:rPr>
                <w:rFonts w:ascii="Arial" w:eastAsia="Times New Roman" w:hAnsi="Arial" w:cs="Arial"/>
                <w:b/>
                <w:color w:val="000000" w:themeColor="text1"/>
              </w:rPr>
            </w:pPr>
            <w:r w:rsidRPr="00887DB8">
              <w:rPr>
                <w:rFonts w:ascii="Arial" w:eastAsia="Times New Roman" w:hAnsi="Arial" w:cs="Arial"/>
                <w:b/>
                <w:color w:val="000000" w:themeColor="text1"/>
              </w:rPr>
              <w:t>RANK</w:t>
            </w:r>
          </w:p>
        </w:tc>
        <w:tc>
          <w:tcPr>
            <w:tcW w:w="3828" w:type="dxa"/>
            <w:shd w:val="clear" w:color="auto" w:fill="D0CECE" w:themeFill="background2" w:themeFillShade="E6"/>
          </w:tcPr>
          <w:p w:rsidR="00AF3F44" w:rsidRPr="00887DB8" w:rsidRDefault="00AF3F44" w:rsidP="009D1642">
            <w:pPr>
              <w:jc w:val="center"/>
              <w:rPr>
                <w:rFonts w:ascii="Arial" w:eastAsia="Times New Roman" w:hAnsi="Arial" w:cs="Arial"/>
                <w:b/>
                <w:color w:val="000000" w:themeColor="text1"/>
              </w:rPr>
            </w:pPr>
            <w:r w:rsidRPr="00887DB8">
              <w:rPr>
                <w:rFonts w:ascii="Arial" w:eastAsia="Times New Roman" w:hAnsi="Arial" w:cs="Arial"/>
                <w:b/>
                <w:color w:val="000000" w:themeColor="text1"/>
              </w:rPr>
              <w:t>GENERAL MANAGER</w:t>
            </w:r>
          </w:p>
        </w:tc>
        <w:tc>
          <w:tcPr>
            <w:tcW w:w="2338" w:type="dxa"/>
            <w:shd w:val="clear" w:color="auto" w:fill="D0CECE" w:themeFill="background2" w:themeFillShade="E6"/>
          </w:tcPr>
          <w:p w:rsidR="00AF3F44" w:rsidRPr="00887DB8" w:rsidRDefault="00AF3F44" w:rsidP="009D1642">
            <w:pPr>
              <w:jc w:val="center"/>
              <w:rPr>
                <w:rFonts w:ascii="Arial" w:eastAsia="Times New Roman" w:hAnsi="Arial" w:cs="Arial"/>
                <w:b/>
                <w:color w:val="000000" w:themeColor="text1"/>
              </w:rPr>
            </w:pPr>
            <w:r w:rsidRPr="00887DB8">
              <w:rPr>
                <w:rFonts w:ascii="Arial" w:eastAsia="Times New Roman" w:hAnsi="Arial" w:cs="Arial"/>
                <w:b/>
                <w:color w:val="000000" w:themeColor="text1"/>
              </w:rPr>
              <w:t>RECORD</w:t>
            </w:r>
          </w:p>
        </w:tc>
        <w:tc>
          <w:tcPr>
            <w:tcW w:w="2338" w:type="dxa"/>
            <w:shd w:val="clear" w:color="auto" w:fill="D0CECE" w:themeFill="background2" w:themeFillShade="E6"/>
          </w:tcPr>
          <w:p w:rsidR="00AF3F44" w:rsidRPr="00887DB8" w:rsidRDefault="00AF3F44" w:rsidP="009D1642">
            <w:pPr>
              <w:jc w:val="center"/>
              <w:rPr>
                <w:rFonts w:ascii="Arial" w:eastAsia="Times New Roman" w:hAnsi="Arial" w:cs="Arial"/>
                <w:b/>
                <w:color w:val="000000" w:themeColor="text1"/>
              </w:rPr>
            </w:pPr>
            <w:r w:rsidRPr="00887DB8">
              <w:rPr>
                <w:rFonts w:ascii="Arial" w:eastAsia="Times New Roman" w:hAnsi="Arial" w:cs="Arial"/>
                <w:b/>
                <w:color w:val="000000" w:themeColor="text1"/>
              </w:rPr>
              <w:t>WINNING %</w:t>
            </w:r>
          </w:p>
        </w:tc>
      </w:tr>
      <w:tr w:rsidR="00AF3F44" w:rsidRPr="00887DB8" w:rsidTr="009D1642">
        <w:tc>
          <w:tcPr>
            <w:tcW w:w="846" w:type="dxa"/>
          </w:tcPr>
          <w:p w:rsidR="00AF3F44" w:rsidRPr="00887DB8" w:rsidRDefault="00AF3F44" w:rsidP="009D1642">
            <w:pPr>
              <w:jc w:val="center"/>
              <w:rPr>
                <w:rFonts w:ascii="Arial" w:eastAsia="Times New Roman" w:hAnsi="Arial" w:cs="Arial"/>
                <w:color w:val="000000"/>
              </w:rPr>
            </w:pPr>
            <w:r w:rsidRPr="00887DB8">
              <w:rPr>
                <w:rFonts w:ascii="Arial" w:eastAsia="Times New Roman" w:hAnsi="Arial" w:cs="Arial"/>
                <w:color w:val="000000"/>
              </w:rPr>
              <w:t>1</w:t>
            </w:r>
          </w:p>
        </w:tc>
        <w:tc>
          <w:tcPr>
            <w:tcW w:w="3828" w:type="dxa"/>
          </w:tcPr>
          <w:p w:rsidR="00AF3F44" w:rsidRPr="00887DB8" w:rsidRDefault="00AF3F44" w:rsidP="009D1642">
            <w:pPr>
              <w:rPr>
                <w:rFonts w:ascii="Arial" w:eastAsia="Times New Roman" w:hAnsi="Arial" w:cs="Arial"/>
                <w:color w:val="000000"/>
              </w:rPr>
            </w:pPr>
            <w:r w:rsidRPr="00887DB8">
              <w:rPr>
                <w:rFonts w:ascii="Arial" w:eastAsia="Times New Roman" w:hAnsi="Arial" w:cs="Arial"/>
                <w:color w:val="000000"/>
              </w:rPr>
              <w:t xml:space="preserve">John </w:t>
            </w:r>
            <w:proofErr w:type="spellStart"/>
            <w:r w:rsidRPr="00887DB8">
              <w:rPr>
                <w:rFonts w:ascii="Arial" w:eastAsia="Times New Roman" w:hAnsi="Arial" w:cs="Arial"/>
                <w:color w:val="000000"/>
              </w:rPr>
              <w:t>Hufnagel</w:t>
            </w:r>
            <w:proofErr w:type="spellEnd"/>
            <w:r w:rsidRPr="00887DB8">
              <w:rPr>
                <w:rFonts w:ascii="Arial" w:eastAsia="Times New Roman" w:hAnsi="Arial" w:cs="Arial"/>
                <w:color w:val="000000"/>
              </w:rPr>
              <w:t xml:space="preserve"> (</w:t>
            </w:r>
            <w:proofErr w:type="spellStart"/>
            <w:r w:rsidRPr="00887DB8">
              <w:rPr>
                <w:rFonts w:ascii="Arial" w:eastAsia="Times New Roman" w:hAnsi="Arial" w:cs="Arial"/>
                <w:color w:val="000000"/>
              </w:rPr>
              <w:t>Cgy</w:t>
            </w:r>
            <w:proofErr w:type="spellEnd"/>
            <w:r w:rsidRPr="00887DB8">
              <w:rPr>
                <w:rFonts w:ascii="Arial" w:eastAsia="Times New Roman" w:hAnsi="Arial" w:cs="Arial"/>
                <w:color w:val="000000"/>
              </w:rPr>
              <w:t>)</w:t>
            </w:r>
          </w:p>
        </w:tc>
        <w:tc>
          <w:tcPr>
            <w:tcW w:w="2338" w:type="dxa"/>
          </w:tcPr>
          <w:p w:rsidR="00AF3F44" w:rsidRPr="00887DB8" w:rsidRDefault="00AF3F44" w:rsidP="00FB243A">
            <w:pPr>
              <w:jc w:val="center"/>
              <w:rPr>
                <w:rFonts w:ascii="Arial" w:eastAsia="Times New Roman" w:hAnsi="Arial" w:cs="Arial"/>
                <w:color w:val="000000"/>
              </w:rPr>
            </w:pPr>
            <w:r w:rsidRPr="00887DB8">
              <w:rPr>
                <w:rFonts w:ascii="Arial" w:eastAsia="Times New Roman" w:hAnsi="Arial" w:cs="Arial"/>
                <w:color w:val="000000"/>
              </w:rPr>
              <w:t>117-43-2</w:t>
            </w:r>
          </w:p>
        </w:tc>
        <w:tc>
          <w:tcPr>
            <w:tcW w:w="2338" w:type="dxa"/>
          </w:tcPr>
          <w:p w:rsidR="00AF3F44" w:rsidRPr="00887DB8" w:rsidRDefault="00AF3F44" w:rsidP="00FB243A">
            <w:pPr>
              <w:jc w:val="center"/>
              <w:rPr>
                <w:rFonts w:ascii="Arial" w:eastAsia="Times New Roman" w:hAnsi="Arial" w:cs="Arial"/>
                <w:color w:val="000000"/>
              </w:rPr>
            </w:pPr>
            <w:r w:rsidRPr="00887DB8">
              <w:rPr>
                <w:rFonts w:ascii="Arial" w:eastAsia="Times New Roman" w:hAnsi="Arial" w:cs="Arial"/>
                <w:color w:val="000000"/>
              </w:rPr>
              <w:t>.728</w:t>
            </w:r>
          </w:p>
        </w:tc>
      </w:tr>
      <w:tr w:rsidR="00AF3F44" w:rsidRPr="00887DB8" w:rsidTr="009D1642">
        <w:tc>
          <w:tcPr>
            <w:tcW w:w="846" w:type="dxa"/>
          </w:tcPr>
          <w:p w:rsidR="00AF3F44" w:rsidRPr="00887DB8" w:rsidRDefault="00AF3F44" w:rsidP="009D1642">
            <w:pPr>
              <w:jc w:val="center"/>
              <w:rPr>
                <w:rFonts w:ascii="Arial" w:eastAsia="Times New Roman" w:hAnsi="Arial" w:cs="Arial"/>
                <w:color w:val="000000"/>
              </w:rPr>
            </w:pPr>
            <w:r w:rsidRPr="00887DB8">
              <w:rPr>
                <w:rFonts w:ascii="Arial" w:eastAsia="Times New Roman" w:hAnsi="Arial" w:cs="Arial"/>
                <w:color w:val="000000"/>
              </w:rPr>
              <w:t>2</w:t>
            </w:r>
          </w:p>
        </w:tc>
        <w:tc>
          <w:tcPr>
            <w:tcW w:w="3828" w:type="dxa"/>
          </w:tcPr>
          <w:p w:rsidR="00AF3F44" w:rsidRPr="00887DB8" w:rsidRDefault="00AF3F44" w:rsidP="009D1642">
            <w:pPr>
              <w:rPr>
                <w:rFonts w:ascii="Arial" w:eastAsia="Times New Roman" w:hAnsi="Arial" w:cs="Arial"/>
                <w:color w:val="000000"/>
              </w:rPr>
            </w:pPr>
            <w:r w:rsidRPr="00887DB8">
              <w:rPr>
                <w:rFonts w:ascii="Arial" w:eastAsia="Times New Roman" w:hAnsi="Arial" w:cs="Arial"/>
                <w:color w:val="000000"/>
              </w:rPr>
              <w:t xml:space="preserve">Wally </w:t>
            </w:r>
            <w:proofErr w:type="spellStart"/>
            <w:r w:rsidRPr="00887DB8">
              <w:rPr>
                <w:rFonts w:ascii="Arial" w:eastAsia="Times New Roman" w:hAnsi="Arial" w:cs="Arial"/>
                <w:color w:val="000000"/>
              </w:rPr>
              <w:t>Buono</w:t>
            </w:r>
            <w:proofErr w:type="spellEnd"/>
            <w:r w:rsidRPr="00887DB8">
              <w:rPr>
                <w:rFonts w:ascii="Arial" w:eastAsia="Times New Roman" w:hAnsi="Arial" w:cs="Arial"/>
                <w:color w:val="000000"/>
              </w:rPr>
              <w:t xml:space="preserve"> (</w:t>
            </w:r>
            <w:proofErr w:type="spellStart"/>
            <w:r w:rsidRPr="00887DB8">
              <w:rPr>
                <w:rFonts w:ascii="Arial" w:eastAsia="Times New Roman" w:hAnsi="Arial" w:cs="Arial"/>
                <w:color w:val="000000"/>
              </w:rPr>
              <w:t>Cgy</w:t>
            </w:r>
            <w:proofErr w:type="spellEnd"/>
            <w:r w:rsidRPr="00887DB8">
              <w:rPr>
                <w:rFonts w:ascii="Arial" w:eastAsia="Times New Roman" w:hAnsi="Arial" w:cs="Arial"/>
                <w:color w:val="000000"/>
              </w:rPr>
              <w:t>, BC)</w:t>
            </w:r>
          </w:p>
        </w:tc>
        <w:tc>
          <w:tcPr>
            <w:tcW w:w="2338" w:type="dxa"/>
          </w:tcPr>
          <w:p w:rsidR="00AF3F44" w:rsidRPr="00887DB8" w:rsidRDefault="00AF3F44" w:rsidP="00FB243A">
            <w:pPr>
              <w:jc w:val="center"/>
              <w:rPr>
                <w:rFonts w:ascii="Arial" w:eastAsia="Times New Roman" w:hAnsi="Arial" w:cs="Arial"/>
                <w:color w:val="000000"/>
              </w:rPr>
            </w:pPr>
            <w:r w:rsidRPr="00887DB8">
              <w:rPr>
                <w:rFonts w:ascii="Arial" w:eastAsia="Times New Roman" w:hAnsi="Arial" w:cs="Arial"/>
                <w:color w:val="000000"/>
              </w:rPr>
              <w:t>284-164-2</w:t>
            </w:r>
          </w:p>
        </w:tc>
        <w:tc>
          <w:tcPr>
            <w:tcW w:w="2338" w:type="dxa"/>
          </w:tcPr>
          <w:p w:rsidR="00AF3F44" w:rsidRPr="00887DB8" w:rsidRDefault="00AF3F44" w:rsidP="00FB243A">
            <w:pPr>
              <w:jc w:val="center"/>
              <w:rPr>
                <w:rFonts w:ascii="Arial" w:eastAsia="Times New Roman" w:hAnsi="Arial" w:cs="Arial"/>
                <w:color w:val="000000"/>
              </w:rPr>
            </w:pPr>
            <w:r w:rsidRPr="00887DB8">
              <w:rPr>
                <w:rFonts w:ascii="Arial" w:eastAsia="Times New Roman" w:hAnsi="Arial" w:cs="Arial"/>
                <w:color w:val="000000"/>
              </w:rPr>
              <w:t>.634</w:t>
            </w:r>
          </w:p>
        </w:tc>
      </w:tr>
      <w:tr w:rsidR="00AF3F44" w:rsidRPr="00887DB8" w:rsidTr="000B640E">
        <w:tc>
          <w:tcPr>
            <w:tcW w:w="846" w:type="dxa"/>
            <w:shd w:val="clear" w:color="auto" w:fill="B4C6E7" w:themeFill="accent1" w:themeFillTint="66"/>
          </w:tcPr>
          <w:p w:rsidR="00AF3F44" w:rsidRPr="00887DB8" w:rsidRDefault="00AF3F44" w:rsidP="009D1642">
            <w:pPr>
              <w:jc w:val="center"/>
              <w:rPr>
                <w:rFonts w:ascii="Arial" w:eastAsia="Times New Roman" w:hAnsi="Arial" w:cs="Arial"/>
                <w:b/>
                <w:color w:val="000000"/>
              </w:rPr>
            </w:pPr>
            <w:r w:rsidRPr="00887DB8">
              <w:rPr>
                <w:rFonts w:ascii="Arial" w:eastAsia="Times New Roman" w:hAnsi="Arial" w:cs="Arial"/>
                <w:b/>
                <w:color w:val="000000"/>
              </w:rPr>
              <w:t>3</w:t>
            </w:r>
          </w:p>
        </w:tc>
        <w:tc>
          <w:tcPr>
            <w:tcW w:w="3828" w:type="dxa"/>
            <w:shd w:val="clear" w:color="auto" w:fill="B4C6E7" w:themeFill="accent1" w:themeFillTint="66"/>
          </w:tcPr>
          <w:p w:rsidR="00AF3F44" w:rsidRPr="00887DB8" w:rsidRDefault="00AF3F44" w:rsidP="009D1642">
            <w:pPr>
              <w:rPr>
                <w:rFonts w:ascii="Arial" w:eastAsia="Times New Roman" w:hAnsi="Arial" w:cs="Arial"/>
                <w:b/>
                <w:color w:val="000000"/>
              </w:rPr>
            </w:pPr>
            <w:r w:rsidRPr="00887DB8">
              <w:rPr>
                <w:rFonts w:ascii="Arial" w:eastAsia="Times New Roman" w:hAnsi="Arial" w:cs="Arial"/>
                <w:b/>
                <w:color w:val="000000"/>
              </w:rPr>
              <w:t>Jim Popp (</w:t>
            </w:r>
            <w:proofErr w:type="spellStart"/>
            <w:r w:rsidRPr="00887DB8">
              <w:rPr>
                <w:rFonts w:ascii="Arial" w:eastAsia="Times New Roman" w:hAnsi="Arial" w:cs="Arial"/>
                <w:b/>
                <w:color w:val="000000"/>
              </w:rPr>
              <w:t>Blt</w:t>
            </w:r>
            <w:proofErr w:type="spellEnd"/>
            <w:r w:rsidRPr="00887DB8">
              <w:rPr>
                <w:rFonts w:ascii="Arial" w:eastAsia="Times New Roman" w:hAnsi="Arial" w:cs="Arial"/>
                <w:b/>
                <w:color w:val="000000"/>
              </w:rPr>
              <w:t xml:space="preserve">, </w:t>
            </w:r>
            <w:proofErr w:type="spellStart"/>
            <w:r w:rsidRPr="00887DB8">
              <w:rPr>
                <w:rFonts w:ascii="Arial" w:eastAsia="Times New Roman" w:hAnsi="Arial" w:cs="Arial"/>
                <w:b/>
                <w:color w:val="000000"/>
              </w:rPr>
              <w:t>Mtl</w:t>
            </w:r>
            <w:proofErr w:type="spellEnd"/>
            <w:r w:rsidRPr="00887DB8">
              <w:rPr>
                <w:rFonts w:ascii="Arial" w:eastAsia="Times New Roman" w:hAnsi="Arial" w:cs="Arial"/>
                <w:b/>
                <w:color w:val="000000"/>
              </w:rPr>
              <w:t>)</w:t>
            </w:r>
          </w:p>
        </w:tc>
        <w:tc>
          <w:tcPr>
            <w:tcW w:w="2338" w:type="dxa"/>
            <w:shd w:val="clear" w:color="auto" w:fill="B4C6E7" w:themeFill="accent1" w:themeFillTint="66"/>
          </w:tcPr>
          <w:p w:rsidR="00AF3F44" w:rsidRPr="00887DB8" w:rsidRDefault="000B640E" w:rsidP="00FB243A">
            <w:pPr>
              <w:jc w:val="center"/>
              <w:rPr>
                <w:rFonts w:ascii="Arial" w:eastAsia="Times New Roman" w:hAnsi="Arial" w:cs="Arial"/>
                <w:b/>
                <w:color w:val="000000"/>
              </w:rPr>
            </w:pPr>
            <w:r w:rsidRPr="00887DB8">
              <w:rPr>
                <w:rFonts w:ascii="Arial" w:eastAsia="Times New Roman" w:hAnsi="Arial" w:cs="Arial"/>
                <w:b/>
                <w:color w:val="000000"/>
              </w:rPr>
              <w:t>254-159-1</w:t>
            </w:r>
          </w:p>
        </w:tc>
        <w:tc>
          <w:tcPr>
            <w:tcW w:w="2338" w:type="dxa"/>
            <w:shd w:val="clear" w:color="auto" w:fill="B4C6E7" w:themeFill="accent1" w:themeFillTint="66"/>
          </w:tcPr>
          <w:p w:rsidR="00AF3F44" w:rsidRPr="00887DB8" w:rsidRDefault="007900C1" w:rsidP="00FB243A">
            <w:pPr>
              <w:jc w:val="center"/>
              <w:rPr>
                <w:rFonts w:ascii="Arial" w:eastAsia="Times New Roman" w:hAnsi="Arial" w:cs="Arial"/>
                <w:b/>
                <w:color w:val="000000"/>
              </w:rPr>
            </w:pPr>
            <w:r>
              <w:rPr>
                <w:rFonts w:ascii="Arial" w:eastAsia="Times New Roman" w:hAnsi="Arial" w:cs="Arial"/>
                <w:b/>
                <w:color w:val="000000"/>
              </w:rPr>
              <w:t>.614</w:t>
            </w:r>
          </w:p>
        </w:tc>
      </w:tr>
      <w:tr w:rsidR="00AF3F44" w:rsidRPr="00887DB8" w:rsidTr="000B640E">
        <w:tc>
          <w:tcPr>
            <w:tcW w:w="846" w:type="dxa"/>
            <w:shd w:val="clear" w:color="auto" w:fill="auto"/>
          </w:tcPr>
          <w:p w:rsidR="00AF3F44" w:rsidRPr="00887DB8" w:rsidRDefault="000B640E" w:rsidP="009D1642">
            <w:pPr>
              <w:jc w:val="center"/>
              <w:rPr>
                <w:rFonts w:ascii="Arial" w:eastAsia="Times New Roman" w:hAnsi="Arial" w:cs="Arial"/>
                <w:color w:val="000000"/>
              </w:rPr>
            </w:pPr>
            <w:r w:rsidRPr="00887DB8">
              <w:rPr>
                <w:rFonts w:ascii="Arial" w:eastAsia="Times New Roman" w:hAnsi="Arial" w:cs="Arial"/>
                <w:color w:val="000000"/>
              </w:rPr>
              <w:t>4</w:t>
            </w:r>
          </w:p>
        </w:tc>
        <w:tc>
          <w:tcPr>
            <w:tcW w:w="3828" w:type="dxa"/>
            <w:shd w:val="clear" w:color="auto" w:fill="auto"/>
          </w:tcPr>
          <w:p w:rsidR="00AF3F44" w:rsidRPr="00887DB8" w:rsidRDefault="000B640E" w:rsidP="009D1642">
            <w:pPr>
              <w:rPr>
                <w:rFonts w:ascii="Arial" w:eastAsia="Times New Roman" w:hAnsi="Arial" w:cs="Arial"/>
                <w:color w:val="000000"/>
              </w:rPr>
            </w:pPr>
            <w:r w:rsidRPr="00887DB8">
              <w:rPr>
                <w:rFonts w:ascii="Arial" w:eastAsia="Times New Roman" w:hAnsi="Arial" w:cs="Arial"/>
                <w:color w:val="000000"/>
              </w:rPr>
              <w:t>Norm Kimball (</w:t>
            </w:r>
            <w:proofErr w:type="spellStart"/>
            <w:r w:rsidRPr="00887DB8">
              <w:rPr>
                <w:rFonts w:ascii="Arial" w:eastAsia="Times New Roman" w:hAnsi="Arial" w:cs="Arial"/>
                <w:color w:val="000000"/>
              </w:rPr>
              <w:t>Edm</w:t>
            </w:r>
            <w:proofErr w:type="spellEnd"/>
            <w:r w:rsidRPr="00887DB8">
              <w:rPr>
                <w:rFonts w:ascii="Arial" w:eastAsia="Times New Roman" w:hAnsi="Arial" w:cs="Arial"/>
                <w:color w:val="000000"/>
              </w:rPr>
              <w:t>)</w:t>
            </w:r>
          </w:p>
        </w:tc>
        <w:tc>
          <w:tcPr>
            <w:tcW w:w="2338" w:type="dxa"/>
            <w:shd w:val="clear" w:color="auto" w:fill="auto"/>
          </w:tcPr>
          <w:p w:rsidR="00AF3F44" w:rsidRPr="00887DB8" w:rsidRDefault="000B640E" w:rsidP="00FB243A">
            <w:pPr>
              <w:jc w:val="center"/>
              <w:rPr>
                <w:rFonts w:ascii="Arial" w:eastAsia="Times New Roman" w:hAnsi="Arial" w:cs="Arial"/>
                <w:color w:val="000000"/>
              </w:rPr>
            </w:pPr>
            <w:r w:rsidRPr="00887DB8">
              <w:rPr>
                <w:rFonts w:ascii="Arial" w:eastAsia="Times New Roman" w:hAnsi="Arial" w:cs="Arial"/>
                <w:color w:val="000000"/>
              </w:rPr>
              <w:t>190-118-2</w:t>
            </w:r>
          </w:p>
        </w:tc>
        <w:tc>
          <w:tcPr>
            <w:tcW w:w="2338" w:type="dxa"/>
            <w:shd w:val="clear" w:color="auto" w:fill="auto"/>
          </w:tcPr>
          <w:p w:rsidR="00AF3F44" w:rsidRPr="00887DB8" w:rsidRDefault="000B640E" w:rsidP="00FB243A">
            <w:pPr>
              <w:jc w:val="center"/>
              <w:rPr>
                <w:rFonts w:ascii="Arial" w:eastAsia="Times New Roman" w:hAnsi="Arial" w:cs="Arial"/>
                <w:color w:val="000000"/>
              </w:rPr>
            </w:pPr>
            <w:r w:rsidRPr="00887DB8">
              <w:rPr>
                <w:rFonts w:ascii="Arial" w:eastAsia="Times New Roman" w:hAnsi="Arial" w:cs="Arial"/>
                <w:color w:val="000000"/>
              </w:rPr>
              <w:t>.613</w:t>
            </w:r>
          </w:p>
        </w:tc>
      </w:tr>
    </w:tbl>
    <w:p w:rsidR="00AF3F44" w:rsidRPr="00887DB8" w:rsidRDefault="00AF3F44" w:rsidP="00622DE0">
      <w:pPr>
        <w:rPr>
          <w:rFonts w:ascii="Arial" w:hAnsi="Arial" w:cs="Arial"/>
          <w:b/>
        </w:rPr>
      </w:pPr>
    </w:p>
    <w:p w:rsidR="00622DE0" w:rsidRPr="00887DB8" w:rsidRDefault="00014B76" w:rsidP="00622DE0">
      <w:pPr>
        <w:rPr>
          <w:rFonts w:ascii="Arial" w:hAnsi="Arial" w:cs="Arial"/>
        </w:rPr>
      </w:pPr>
      <w:r w:rsidRPr="00887DB8">
        <w:rPr>
          <w:rFonts w:ascii="Arial" w:hAnsi="Arial" w:cs="Arial"/>
          <w:b/>
        </w:rPr>
        <w:t xml:space="preserve">Identifying, </w:t>
      </w:r>
      <w:r w:rsidR="00622DE0" w:rsidRPr="00887DB8">
        <w:rPr>
          <w:rFonts w:ascii="Arial" w:hAnsi="Arial" w:cs="Arial"/>
          <w:b/>
        </w:rPr>
        <w:t>Recruiting</w:t>
      </w:r>
      <w:r w:rsidR="00D95FB0" w:rsidRPr="00887DB8">
        <w:rPr>
          <w:rFonts w:ascii="Arial" w:hAnsi="Arial" w:cs="Arial"/>
          <w:b/>
        </w:rPr>
        <w:t xml:space="preserve"> and Developing</w:t>
      </w:r>
      <w:r w:rsidR="00622DE0" w:rsidRPr="00887DB8">
        <w:rPr>
          <w:rFonts w:ascii="Arial" w:hAnsi="Arial" w:cs="Arial"/>
          <w:b/>
        </w:rPr>
        <w:t xml:space="preserve"> Players: </w:t>
      </w:r>
      <w:r w:rsidR="00622DE0" w:rsidRPr="00887DB8">
        <w:rPr>
          <w:rFonts w:ascii="Arial" w:hAnsi="Arial" w:cs="Arial"/>
        </w:rPr>
        <w:t>Under his lead</w:t>
      </w:r>
      <w:r w:rsidR="00D95FB0" w:rsidRPr="00887DB8">
        <w:rPr>
          <w:rFonts w:ascii="Arial" w:hAnsi="Arial" w:cs="Arial"/>
        </w:rPr>
        <w:t xml:space="preserve">ership, Popp has identified, </w:t>
      </w:r>
      <w:r w:rsidR="00622DE0" w:rsidRPr="00887DB8">
        <w:rPr>
          <w:rFonts w:ascii="Arial" w:hAnsi="Arial" w:cs="Arial"/>
        </w:rPr>
        <w:t>recruited</w:t>
      </w:r>
      <w:r w:rsidR="00D95FB0" w:rsidRPr="00887DB8">
        <w:rPr>
          <w:rFonts w:ascii="Arial" w:hAnsi="Arial" w:cs="Arial"/>
        </w:rPr>
        <w:t xml:space="preserve"> and developed</w:t>
      </w:r>
      <w:r w:rsidR="00622DE0" w:rsidRPr="00887DB8">
        <w:rPr>
          <w:rFonts w:ascii="Arial" w:hAnsi="Arial" w:cs="Arial"/>
        </w:rPr>
        <w:t xml:space="preserve"> some of the league’s biggest stars</w:t>
      </w:r>
      <w:r w:rsidR="00320C91" w:rsidRPr="00887DB8">
        <w:rPr>
          <w:rFonts w:ascii="Arial" w:hAnsi="Arial" w:cs="Arial"/>
        </w:rPr>
        <w:t xml:space="preserve"> and most dominant players</w:t>
      </w:r>
      <w:r w:rsidR="00622DE0" w:rsidRPr="00887DB8">
        <w:rPr>
          <w:rFonts w:ascii="Arial" w:hAnsi="Arial" w:cs="Arial"/>
        </w:rPr>
        <w:t xml:space="preserve"> over the past 20 years: </w:t>
      </w:r>
      <w:r w:rsidR="00AF33D4" w:rsidRPr="00887DB8">
        <w:rPr>
          <w:rFonts w:ascii="Arial" w:hAnsi="Arial" w:cs="Arial"/>
        </w:rPr>
        <w:t xml:space="preserve">Anthony </w:t>
      </w:r>
      <w:proofErr w:type="spellStart"/>
      <w:r w:rsidR="00AF33D4" w:rsidRPr="00887DB8">
        <w:rPr>
          <w:rFonts w:ascii="Arial" w:hAnsi="Arial" w:cs="Arial"/>
        </w:rPr>
        <w:t>Calvillo</w:t>
      </w:r>
      <w:proofErr w:type="spellEnd"/>
      <w:r w:rsidR="00AF33D4" w:rsidRPr="00887DB8">
        <w:rPr>
          <w:rFonts w:ascii="Arial" w:hAnsi="Arial" w:cs="Arial"/>
        </w:rPr>
        <w:t xml:space="preserve">, Mike Pringle, Robert Drummond, </w:t>
      </w:r>
      <w:r w:rsidR="00622DE0" w:rsidRPr="00887DB8">
        <w:rPr>
          <w:rFonts w:ascii="Arial" w:hAnsi="Arial" w:cs="Arial"/>
        </w:rPr>
        <w:t xml:space="preserve">SJ Green, Chip Cox, John Bowman, Ben </w:t>
      </w:r>
      <w:proofErr w:type="spellStart"/>
      <w:r w:rsidR="00622DE0" w:rsidRPr="00887DB8">
        <w:rPr>
          <w:rFonts w:ascii="Arial" w:hAnsi="Arial" w:cs="Arial"/>
        </w:rPr>
        <w:t>Cahoon</w:t>
      </w:r>
      <w:proofErr w:type="spellEnd"/>
      <w:r w:rsidR="00622DE0" w:rsidRPr="00887DB8">
        <w:rPr>
          <w:rFonts w:ascii="Arial" w:hAnsi="Arial" w:cs="Arial"/>
        </w:rPr>
        <w:t xml:space="preserve">, Bryan Chiu, Duron Carter, Brandon Whitaker, Chad Owens. </w:t>
      </w:r>
    </w:p>
    <w:p w:rsidR="00622DE0" w:rsidRPr="00887DB8" w:rsidRDefault="00AF33D4" w:rsidP="00622DE0">
      <w:pPr>
        <w:rPr>
          <w:rFonts w:ascii="Arial" w:hAnsi="Arial" w:cs="Arial"/>
        </w:rPr>
      </w:pPr>
      <w:r w:rsidRPr="00887DB8">
        <w:rPr>
          <w:rFonts w:ascii="Arial" w:hAnsi="Arial" w:cs="Arial"/>
          <w:b/>
        </w:rPr>
        <w:t xml:space="preserve">Identifying, Recruiting and Developing Coaches and Administrators: </w:t>
      </w:r>
      <w:r w:rsidR="00622DE0" w:rsidRPr="00887DB8">
        <w:rPr>
          <w:rFonts w:ascii="Arial" w:hAnsi="Arial" w:cs="Arial"/>
        </w:rPr>
        <w:t>Popp has also been successful in identifying, recruiting and developing coaches and executives over the past two decades, including but not limited to: Marcel Desjardins (GM</w:t>
      </w:r>
      <w:r w:rsidRPr="00887DB8">
        <w:rPr>
          <w:rFonts w:ascii="Arial" w:hAnsi="Arial" w:cs="Arial"/>
        </w:rPr>
        <w:t xml:space="preserve">, Ottawa </w:t>
      </w:r>
      <w:proofErr w:type="spellStart"/>
      <w:r w:rsidRPr="00887DB8">
        <w:rPr>
          <w:rFonts w:ascii="Arial" w:hAnsi="Arial" w:cs="Arial"/>
        </w:rPr>
        <w:t>Redblacks</w:t>
      </w:r>
      <w:proofErr w:type="spellEnd"/>
      <w:r w:rsidRPr="00887DB8">
        <w:rPr>
          <w:rFonts w:ascii="Arial" w:hAnsi="Arial" w:cs="Arial"/>
        </w:rPr>
        <w:t xml:space="preserve">), </w:t>
      </w:r>
      <w:r w:rsidR="00622DE0" w:rsidRPr="00887DB8">
        <w:rPr>
          <w:rFonts w:ascii="Arial" w:hAnsi="Arial" w:cs="Arial"/>
        </w:rPr>
        <w:t xml:space="preserve">Jim Barker (Former Argos GM </w:t>
      </w:r>
      <w:r w:rsidRPr="00887DB8">
        <w:rPr>
          <w:rFonts w:ascii="Arial" w:hAnsi="Arial" w:cs="Arial"/>
        </w:rPr>
        <w:t>and Head Coach), Marc Trestman</w:t>
      </w:r>
      <w:r w:rsidR="005A6CF6">
        <w:rPr>
          <w:rFonts w:ascii="Arial" w:hAnsi="Arial" w:cs="Arial"/>
        </w:rPr>
        <w:t xml:space="preserve"> (HC Toronto Argonauts)</w:t>
      </w:r>
      <w:r w:rsidRPr="00887DB8">
        <w:rPr>
          <w:rFonts w:ascii="Arial" w:hAnsi="Arial" w:cs="Arial"/>
        </w:rPr>
        <w:t>, Marcus Brady</w:t>
      </w:r>
      <w:r w:rsidR="00616764">
        <w:rPr>
          <w:rFonts w:ascii="Arial" w:hAnsi="Arial" w:cs="Arial"/>
        </w:rPr>
        <w:t xml:space="preserve"> (former Offensive Coordinator)</w:t>
      </w:r>
      <w:r w:rsidRPr="00887DB8">
        <w:rPr>
          <w:rFonts w:ascii="Arial" w:hAnsi="Arial" w:cs="Arial"/>
        </w:rPr>
        <w:t>, Tim Burke (former Head Coach Winnipeg Blue Bombers), Chris Jones (VP of Football Ops GM and Head Coach, Saskatchewan Roughriders), Scott Milanovich (Former Argos Head Coach)</w:t>
      </w:r>
      <w:r w:rsidR="005A6CF6">
        <w:rPr>
          <w:rFonts w:ascii="Arial" w:hAnsi="Arial" w:cs="Arial"/>
        </w:rPr>
        <w:t xml:space="preserve">, Doug Berry (Former Head Coach Winnipeg Blue Bombers), </w:t>
      </w:r>
      <w:r w:rsidR="005A6CF6">
        <w:rPr>
          <w:rFonts w:ascii="Arial" w:hAnsi="Arial" w:cs="Arial"/>
        </w:rPr>
        <w:lastRenderedPageBreak/>
        <w:t xml:space="preserve">Brendan Taman (former GM), Danny </w:t>
      </w:r>
      <w:proofErr w:type="spellStart"/>
      <w:r w:rsidR="005A6CF6">
        <w:rPr>
          <w:rFonts w:ascii="Arial" w:hAnsi="Arial" w:cs="Arial"/>
        </w:rPr>
        <w:t>Maciocia</w:t>
      </w:r>
      <w:proofErr w:type="spellEnd"/>
      <w:r w:rsidR="005A6CF6">
        <w:rPr>
          <w:rFonts w:ascii="Arial" w:hAnsi="Arial" w:cs="Arial"/>
        </w:rPr>
        <w:t xml:space="preserve"> (Former GM and HC), Charlie </w:t>
      </w:r>
      <w:proofErr w:type="spellStart"/>
      <w:r w:rsidR="005A6CF6">
        <w:rPr>
          <w:rFonts w:ascii="Arial" w:hAnsi="Arial" w:cs="Arial"/>
        </w:rPr>
        <w:t>Taafe</w:t>
      </w:r>
      <w:proofErr w:type="spellEnd"/>
      <w:r w:rsidR="005A6CF6">
        <w:rPr>
          <w:rFonts w:ascii="Arial" w:hAnsi="Arial" w:cs="Arial"/>
        </w:rPr>
        <w:t xml:space="preserve"> (Former Head Coach), </w:t>
      </w:r>
    </w:p>
    <w:p w:rsidR="00887DB8" w:rsidRDefault="00887DB8" w:rsidP="001374B3">
      <w:pPr>
        <w:spacing w:after="0"/>
        <w:rPr>
          <w:rFonts w:ascii="Arial" w:hAnsi="Arial" w:cs="Arial"/>
          <w:b/>
        </w:rPr>
      </w:pPr>
    </w:p>
    <w:p w:rsidR="00622DE0" w:rsidRPr="00887DB8" w:rsidRDefault="00014B76" w:rsidP="001374B3">
      <w:pPr>
        <w:spacing w:after="0"/>
        <w:rPr>
          <w:rFonts w:ascii="Arial" w:hAnsi="Arial" w:cs="Arial"/>
          <w:b/>
        </w:rPr>
      </w:pPr>
      <w:r w:rsidRPr="00887DB8">
        <w:rPr>
          <w:rFonts w:ascii="Arial" w:hAnsi="Arial" w:cs="Arial"/>
          <w:b/>
        </w:rPr>
        <w:t xml:space="preserve">TIMELINE: </w:t>
      </w:r>
    </w:p>
    <w:p w:rsidR="00014B76" w:rsidRPr="00887DB8" w:rsidRDefault="00014B76" w:rsidP="001374B3">
      <w:pPr>
        <w:spacing w:after="0"/>
        <w:rPr>
          <w:rFonts w:ascii="Arial" w:hAnsi="Arial" w:cs="Arial"/>
          <w:b/>
        </w:rPr>
      </w:pPr>
    </w:p>
    <w:p w:rsidR="00EB24B0" w:rsidRPr="00887DB8" w:rsidRDefault="001D31C4" w:rsidP="00EB24B0">
      <w:pPr>
        <w:spacing w:after="0"/>
        <w:rPr>
          <w:rFonts w:ascii="Arial" w:hAnsi="Arial" w:cs="Arial"/>
          <w:b/>
        </w:rPr>
      </w:pPr>
      <w:r w:rsidRPr="00887DB8">
        <w:rPr>
          <w:rFonts w:ascii="Arial" w:hAnsi="Arial" w:cs="Arial"/>
          <w:b/>
        </w:rPr>
        <w:t>1983-1985: Played at Michigan State</w:t>
      </w:r>
    </w:p>
    <w:p w:rsidR="001D31C4" w:rsidRPr="00887DB8" w:rsidRDefault="001D31C4" w:rsidP="00EB24B0">
      <w:pPr>
        <w:spacing w:after="0"/>
        <w:rPr>
          <w:rFonts w:ascii="Arial" w:hAnsi="Arial" w:cs="Arial"/>
          <w:b/>
        </w:rPr>
      </w:pPr>
    </w:p>
    <w:p w:rsidR="001D31C4" w:rsidRPr="00887DB8" w:rsidRDefault="001D31C4" w:rsidP="00EB24B0">
      <w:pPr>
        <w:spacing w:after="0"/>
        <w:rPr>
          <w:rFonts w:ascii="Arial" w:hAnsi="Arial" w:cs="Arial"/>
          <w:b/>
        </w:rPr>
      </w:pPr>
      <w:r w:rsidRPr="00887DB8">
        <w:rPr>
          <w:rFonts w:ascii="Arial" w:hAnsi="Arial" w:cs="Arial"/>
          <w:b/>
        </w:rPr>
        <w:t>1992-1993: Saskatchewan Roughriders – Wide Receivers Coach and Director, Player Personnel</w:t>
      </w:r>
    </w:p>
    <w:p w:rsidR="001D31C4" w:rsidRPr="00887DB8" w:rsidRDefault="001D31C4" w:rsidP="00EB24B0">
      <w:pPr>
        <w:spacing w:after="0"/>
        <w:rPr>
          <w:rFonts w:ascii="Arial" w:hAnsi="Arial" w:cs="Arial"/>
        </w:rPr>
      </w:pPr>
      <w:r w:rsidRPr="00887DB8">
        <w:rPr>
          <w:rFonts w:ascii="Arial" w:hAnsi="Arial" w:cs="Arial"/>
        </w:rPr>
        <w:t>The Roughriders qualified for the playoffs in both seasons Popp was on the staff, finishing with a 9-9 record in 1992 and 11-7 in 1993.</w:t>
      </w:r>
    </w:p>
    <w:p w:rsidR="001D31C4" w:rsidRPr="00887DB8" w:rsidRDefault="001D31C4" w:rsidP="00EB24B0">
      <w:pPr>
        <w:spacing w:after="0"/>
        <w:rPr>
          <w:rFonts w:ascii="Arial" w:hAnsi="Arial" w:cs="Arial"/>
        </w:rPr>
      </w:pPr>
    </w:p>
    <w:p w:rsidR="001D31C4" w:rsidRPr="00887DB8" w:rsidRDefault="001D31C4" w:rsidP="00EB24B0">
      <w:pPr>
        <w:spacing w:after="0"/>
        <w:rPr>
          <w:rFonts w:ascii="Arial" w:hAnsi="Arial" w:cs="Arial"/>
          <w:b/>
        </w:rPr>
      </w:pPr>
      <w:r w:rsidRPr="00887DB8">
        <w:rPr>
          <w:rFonts w:ascii="Arial" w:hAnsi="Arial" w:cs="Arial"/>
          <w:b/>
        </w:rPr>
        <w:t>1994-1995: Baltimore Stallions – General Manager and Director, Player Personnel</w:t>
      </w:r>
      <w:r w:rsidR="00CA65CE" w:rsidRPr="00887DB8">
        <w:rPr>
          <w:rFonts w:ascii="Arial" w:hAnsi="Arial" w:cs="Arial"/>
          <w:b/>
        </w:rPr>
        <w:t xml:space="preserve"> (</w:t>
      </w:r>
      <w:r w:rsidR="00D01947" w:rsidRPr="00887DB8">
        <w:rPr>
          <w:rFonts w:ascii="Arial" w:hAnsi="Arial" w:cs="Arial"/>
          <w:b/>
        </w:rPr>
        <w:t>27-9)</w:t>
      </w:r>
    </w:p>
    <w:p w:rsidR="001D31C4" w:rsidRPr="00887DB8" w:rsidRDefault="00EE56D1" w:rsidP="00EB24B0">
      <w:pPr>
        <w:spacing w:after="0"/>
        <w:rPr>
          <w:rFonts w:ascii="Arial" w:hAnsi="Arial" w:cs="Arial"/>
        </w:rPr>
      </w:pPr>
      <w:r w:rsidRPr="00887DB8">
        <w:rPr>
          <w:rFonts w:ascii="Arial" w:hAnsi="Arial" w:cs="Arial"/>
        </w:rPr>
        <w:t>In</w:t>
      </w:r>
      <w:r w:rsidR="00893455" w:rsidRPr="00887DB8">
        <w:rPr>
          <w:rFonts w:ascii="Arial" w:hAnsi="Arial" w:cs="Arial"/>
        </w:rPr>
        <w:t xml:space="preserve"> Baltimore’s inaugural season in the CFL, they finished second in the East Division with a 12-6 record and appeared in the Grey Cup. In his second season, the </w:t>
      </w:r>
      <w:r w:rsidR="001D31C4" w:rsidRPr="00887DB8">
        <w:rPr>
          <w:rFonts w:ascii="Arial" w:hAnsi="Arial" w:cs="Arial"/>
        </w:rPr>
        <w:t xml:space="preserve">Stallions </w:t>
      </w:r>
      <w:r w:rsidR="00893455" w:rsidRPr="00887DB8">
        <w:rPr>
          <w:rFonts w:ascii="Arial" w:hAnsi="Arial" w:cs="Arial"/>
        </w:rPr>
        <w:t xml:space="preserve">finished in first place in the South Division with a league-best 15-3 record and went on to win the Grey Cup. </w:t>
      </w:r>
      <w:r w:rsidR="00BC338B" w:rsidRPr="00887DB8">
        <w:rPr>
          <w:rFonts w:ascii="Arial" w:hAnsi="Arial" w:cs="Arial"/>
        </w:rPr>
        <w:t xml:space="preserve">They won 18 total games that year including the playoffs and Grey Cup – the most wins in a single season in history of the CFL. </w:t>
      </w:r>
    </w:p>
    <w:p w:rsidR="001D31C4" w:rsidRPr="00887DB8" w:rsidRDefault="001D31C4" w:rsidP="00EB24B0">
      <w:pPr>
        <w:spacing w:after="0"/>
        <w:rPr>
          <w:rFonts w:ascii="Arial" w:hAnsi="Arial" w:cs="Arial"/>
        </w:rPr>
      </w:pPr>
    </w:p>
    <w:p w:rsidR="00D91996" w:rsidRPr="00887DB8" w:rsidRDefault="00D91996" w:rsidP="00EB24B0">
      <w:pPr>
        <w:spacing w:after="0"/>
        <w:rPr>
          <w:rFonts w:ascii="Arial" w:hAnsi="Arial" w:cs="Arial"/>
          <w:b/>
        </w:rPr>
      </w:pPr>
      <w:r w:rsidRPr="00887DB8">
        <w:rPr>
          <w:rFonts w:ascii="Arial" w:hAnsi="Arial" w:cs="Arial"/>
          <w:b/>
        </w:rPr>
        <w:t xml:space="preserve">1996-2016: Montreal </w:t>
      </w:r>
      <w:proofErr w:type="spellStart"/>
      <w:r w:rsidRPr="00887DB8">
        <w:rPr>
          <w:rFonts w:ascii="Arial" w:hAnsi="Arial" w:cs="Arial"/>
          <w:b/>
        </w:rPr>
        <w:t>Alouettes</w:t>
      </w:r>
      <w:proofErr w:type="spellEnd"/>
      <w:r w:rsidRPr="00887DB8">
        <w:rPr>
          <w:rFonts w:ascii="Arial" w:hAnsi="Arial" w:cs="Arial"/>
          <w:b/>
        </w:rPr>
        <w:t xml:space="preserve"> – Vice President, Football Operations, General Manager</w:t>
      </w:r>
      <w:r w:rsidR="00D01947" w:rsidRPr="00887DB8">
        <w:rPr>
          <w:rFonts w:ascii="Arial" w:hAnsi="Arial" w:cs="Arial"/>
          <w:b/>
        </w:rPr>
        <w:t xml:space="preserve"> (</w:t>
      </w:r>
      <w:r w:rsidR="009F3EA4" w:rsidRPr="00887DB8">
        <w:rPr>
          <w:rFonts w:ascii="Arial" w:hAnsi="Arial" w:cs="Arial"/>
          <w:b/>
        </w:rPr>
        <w:t>227-150-1)</w:t>
      </w:r>
    </w:p>
    <w:p w:rsidR="005A59CF" w:rsidRPr="00887DB8" w:rsidRDefault="00D91996" w:rsidP="005C6F99">
      <w:pPr>
        <w:spacing w:after="0"/>
        <w:rPr>
          <w:rFonts w:ascii="Arial" w:hAnsi="Arial" w:cs="Arial"/>
        </w:rPr>
      </w:pPr>
      <w:r w:rsidRPr="00887DB8">
        <w:rPr>
          <w:rFonts w:ascii="Arial" w:hAnsi="Arial" w:cs="Arial"/>
        </w:rPr>
        <w:t xml:space="preserve">After Baltimore relocated to Montreal in 1996, Popp was hired </w:t>
      </w:r>
      <w:r w:rsidR="009F3EA4" w:rsidRPr="00887DB8">
        <w:rPr>
          <w:rFonts w:ascii="Arial" w:hAnsi="Arial" w:cs="Arial"/>
        </w:rPr>
        <w:t>as General Manager</w:t>
      </w:r>
      <w:r w:rsidR="0093601E" w:rsidRPr="00887DB8">
        <w:rPr>
          <w:rFonts w:ascii="Arial" w:hAnsi="Arial" w:cs="Arial"/>
        </w:rPr>
        <w:t>. He</w:t>
      </w:r>
      <w:r w:rsidR="009F3EA4" w:rsidRPr="00887DB8">
        <w:rPr>
          <w:rFonts w:ascii="Arial" w:hAnsi="Arial" w:cs="Arial"/>
        </w:rPr>
        <w:t xml:space="preserve"> led the </w:t>
      </w:r>
      <w:proofErr w:type="spellStart"/>
      <w:r w:rsidR="009F3EA4" w:rsidRPr="00887DB8">
        <w:rPr>
          <w:rFonts w:ascii="Arial" w:hAnsi="Arial" w:cs="Arial"/>
        </w:rPr>
        <w:t>Alouettes</w:t>
      </w:r>
      <w:proofErr w:type="spellEnd"/>
      <w:r w:rsidR="009F3EA4" w:rsidRPr="00887DB8">
        <w:rPr>
          <w:rFonts w:ascii="Arial" w:hAnsi="Arial" w:cs="Arial"/>
        </w:rPr>
        <w:t xml:space="preserve"> to three Grey Cup championships, eight East Division titles,</w:t>
      </w:r>
      <w:r w:rsidR="00047703" w:rsidRPr="00887DB8">
        <w:rPr>
          <w:rFonts w:ascii="Arial" w:hAnsi="Arial" w:cs="Arial"/>
        </w:rPr>
        <w:t xml:space="preserve"> </w:t>
      </w:r>
      <w:r w:rsidR="009F3EA4" w:rsidRPr="00887DB8">
        <w:rPr>
          <w:rFonts w:ascii="Arial" w:hAnsi="Arial" w:cs="Arial"/>
        </w:rPr>
        <w:t>10 first place finishes</w:t>
      </w:r>
      <w:r w:rsidR="0093601E" w:rsidRPr="00887DB8">
        <w:rPr>
          <w:rFonts w:ascii="Arial" w:hAnsi="Arial" w:cs="Arial"/>
        </w:rPr>
        <w:t>, and 17 seasons with a</w:t>
      </w:r>
      <w:r w:rsidR="00047703" w:rsidRPr="00887DB8">
        <w:rPr>
          <w:rFonts w:ascii="Arial" w:hAnsi="Arial" w:cs="Arial"/>
        </w:rPr>
        <w:t xml:space="preserve"> record above .500 </w:t>
      </w:r>
      <w:r w:rsidR="0093601E" w:rsidRPr="00887DB8">
        <w:rPr>
          <w:rFonts w:ascii="Arial" w:hAnsi="Arial" w:cs="Arial"/>
        </w:rPr>
        <w:t>over a 21-</w:t>
      </w:r>
      <w:r w:rsidR="00047703" w:rsidRPr="00887DB8">
        <w:rPr>
          <w:rFonts w:ascii="Arial" w:hAnsi="Arial" w:cs="Arial"/>
        </w:rPr>
        <w:t>year span</w:t>
      </w:r>
      <w:r w:rsidR="009F3EA4" w:rsidRPr="00887DB8">
        <w:rPr>
          <w:rFonts w:ascii="Arial" w:hAnsi="Arial" w:cs="Arial"/>
        </w:rPr>
        <w:t xml:space="preserve">. </w:t>
      </w:r>
    </w:p>
    <w:p w:rsidR="000E6190" w:rsidRPr="00887DB8" w:rsidRDefault="000E6190" w:rsidP="005A59CF">
      <w:pPr>
        <w:spacing w:after="0"/>
        <w:rPr>
          <w:rFonts w:ascii="Arial" w:hAnsi="Arial" w:cs="Arial"/>
        </w:rPr>
      </w:pPr>
    </w:p>
    <w:p w:rsidR="000E6190" w:rsidRPr="00887DB8" w:rsidRDefault="000E6190" w:rsidP="000E6190">
      <w:pPr>
        <w:spacing w:after="0"/>
        <w:rPr>
          <w:rFonts w:ascii="Arial" w:hAnsi="Arial" w:cs="Arial"/>
          <w:b/>
        </w:rPr>
      </w:pPr>
      <w:r w:rsidRPr="00887DB8">
        <w:rPr>
          <w:rFonts w:ascii="Arial" w:hAnsi="Arial" w:cs="Arial"/>
          <w:b/>
        </w:rPr>
        <w:t>PERSONAL:</w:t>
      </w:r>
    </w:p>
    <w:p w:rsidR="000E6190" w:rsidRPr="00887DB8" w:rsidRDefault="000E6190" w:rsidP="000E6190">
      <w:pPr>
        <w:spacing w:after="0"/>
        <w:rPr>
          <w:rFonts w:ascii="Arial" w:hAnsi="Arial" w:cs="Arial"/>
          <w:b/>
        </w:rPr>
      </w:pPr>
    </w:p>
    <w:p w:rsidR="000E6190" w:rsidRPr="00887DB8" w:rsidRDefault="000E6190" w:rsidP="000E6190">
      <w:pPr>
        <w:spacing w:after="0"/>
        <w:rPr>
          <w:rFonts w:ascii="Arial" w:hAnsi="Arial" w:cs="Arial"/>
        </w:rPr>
      </w:pPr>
      <w:r w:rsidRPr="00887DB8">
        <w:rPr>
          <w:rFonts w:ascii="Arial" w:hAnsi="Arial" w:cs="Arial"/>
          <w:b/>
        </w:rPr>
        <w:t>Place of Birth:</w:t>
      </w:r>
      <w:r w:rsidRPr="00887DB8">
        <w:rPr>
          <w:rFonts w:ascii="Arial" w:hAnsi="Arial" w:cs="Arial"/>
        </w:rPr>
        <w:t xml:space="preserve"> </w:t>
      </w:r>
      <w:r w:rsidR="005C6F99" w:rsidRPr="00887DB8">
        <w:rPr>
          <w:rFonts w:ascii="Arial" w:hAnsi="Arial" w:cs="Arial"/>
        </w:rPr>
        <w:t>Elkin, North Carolina</w:t>
      </w:r>
    </w:p>
    <w:p w:rsidR="000E6190" w:rsidRPr="00887DB8" w:rsidRDefault="005C6F99" w:rsidP="000E6190">
      <w:pPr>
        <w:spacing w:after="0"/>
        <w:rPr>
          <w:rFonts w:ascii="Arial" w:hAnsi="Arial" w:cs="Arial"/>
        </w:rPr>
      </w:pPr>
      <w:r w:rsidRPr="00887DB8">
        <w:rPr>
          <w:rFonts w:ascii="Arial" w:hAnsi="Arial" w:cs="Arial"/>
          <w:b/>
        </w:rPr>
        <w:t xml:space="preserve">College: </w:t>
      </w:r>
      <w:r w:rsidRPr="00887DB8">
        <w:rPr>
          <w:rFonts w:ascii="Arial" w:hAnsi="Arial" w:cs="Arial"/>
        </w:rPr>
        <w:t>Michigan State</w:t>
      </w:r>
      <w:r w:rsidRPr="00887DB8">
        <w:rPr>
          <w:rFonts w:ascii="Arial" w:hAnsi="Arial" w:cs="Arial"/>
          <w:b/>
        </w:rPr>
        <w:t xml:space="preserve"> </w:t>
      </w:r>
    </w:p>
    <w:p w:rsidR="000E6190" w:rsidRPr="00887DB8" w:rsidRDefault="000E6190" w:rsidP="000E6190">
      <w:pPr>
        <w:spacing w:after="0"/>
        <w:rPr>
          <w:rFonts w:ascii="Arial" w:hAnsi="Arial" w:cs="Arial"/>
        </w:rPr>
      </w:pPr>
      <w:r w:rsidRPr="00887DB8">
        <w:rPr>
          <w:rFonts w:ascii="Arial" w:hAnsi="Arial" w:cs="Arial"/>
          <w:b/>
        </w:rPr>
        <w:t xml:space="preserve">Family: </w:t>
      </w:r>
      <w:r w:rsidR="005C6F99" w:rsidRPr="00887DB8">
        <w:rPr>
          <w:rFonts w:ascii="Arial" w:hAnsi="Arial" w:cs="Arial"/>
        </w:rPr>
        <w:t xml:space="preserve">Popp and his wife Kimberly have six children and reside in North Carolina. </w:t>
      </w:r>
    </w:p>
    <w:p w:rsidR="000E6190" w:rsidRPr="00887DB8" w:rsidRDefault="000E6190" w:rsidP="005A59CF">
      <w:pPr>
        <w:spacing w:after="0"/>
        <w:rPr>
          <w:rFonts w:ascii="Arial" w:hAnsi="Arial" w:cs="Arial"/>
        </w:rPr>
      </w:pPr>
      <w:r w:rsidRPr="00887DB8">
        <w:rPr>
          <w:rFonts w:ascii="Arial" w:hAnsi="Arial" w:cs="Arial"/>
          <w:b/>
        </w:rPr>
        <w:t xml:space="preserve">Notes: </w:t>
      </w:r>
      <w:r w:rsidR="00C73A05" w:rsidRPr="00887DB8">
        <w:rPr>
          <w:rFonts w:ascii="Arial" w:hAnsi="Arial" w:cs="Arial"/>
        </w:rPr>
        <w:t>Popp credits much of his success on the field to his family, especially his father Joe, a former NFL and college coach. Jim and his father share the privilege of being members of the Mooresville (NC) High School Hall of Fame, whose football stadium is named in Joe’s honour (Coach Joe Popp Stadium).</w:t>
      </w:r>
    </w:p>
    <w:p w:rsidR="00332F51" w:rsidRPr="00887DB8" w:rsidRDefault="00332F51" w:rsidP="005A59CF">
      <w:pPr>
        <w:spacing w:after="0"/>
        <w:rPr>
          <w:rFonts w:ascii="Arial" w:hAnsi="Arial" w:cs="Arial"/>
        </w:rPr>
      </w:pPr>
    </w:p>
    <w:p w:rsidR="00332F51" w:rsidRPr="00887DB8" w:rsidRDefault="00332F51" w:rsidP="00332F51">
      <w:pPr>
        <w:spacing w:after="0"/>
        <w:jc w:val="center"/>
        <w:rPr>
          <w:rFonts w:ascii="Arial" w:hAnsi="Arial" w:cs="Arial"/>
        </w:rPr>
      </w:pPr>
      <w:r w:rsidRPr="00887DB8">
        <w:rPr>
          <w:rFonts w:ascii="Arial" w:hAnsi="Arial" w:cs="Arial"/>
        </w:rPr>
        <w:t>-30-</w:t>
      </w:r>
    </w:p>
    <w:sectPr w:rsidR="00332F51" w:rsidRPr="00887DB8" w:rsidSect="00C4150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5759"/>
    <w:multiLevelType w:val="hybridMultilevel"/>
    <w:tmpl w:val="6BC6F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CB5D13"/>
    <w:multiLevelType w:val="hybridMultilevel"/>
    <w:tmpl w:val="CEA41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7099A"/>
    <w:multiLevelType w:val="hybridMultilevel"/>
    <w:tmpl w:val="FBA45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9F7284"/>
    <w:multiLevelType w:val="hybridMultilevel"/>
    <w:tmpl w:val="1B1A0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5C05C8"/>
    <w:multiLevelType w:val="hybridMultilevel"/>
    <w:tmpl w:val="04906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6974C0"/>
    <w:multiLevelType w:val="hybridMultilevel"/>
    <w:tmpl w:val="81CC0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18"/>
    <w:rsid w:val="00014B76"/>
    <w:rsid w:val="00027C27"/>
    <w:rsid w:val="00047703"/>
    <w:rsid w:val="000B640E"/>
    <w:rsid w:val="000D596F"/>
    <w:rsid w:val="000E6190"/>
    <w:rsid w:val="001374B3"/>
    <w:rsid w:val="00164D95"/>
    <w:rsid w:val="00194E0D"/>
    <w:rsid w:val="00197B53"/>
    <w:rsid w:val="001A1BE4"/>
    <w:rsid w:val="001D31C4"/>
    <w:rsid w:val="001E007A"/>
    <w:rsid w:val="00203A84"/>
    <w:rsid w:val="00206D8D"/>
    <w:rsid w:val="002138AB"/>
    <w:rsid w:val="00265890"/>
    <w:rsid w:val="002803A7"/>
    <w:rsid w:val="002C4BE0"/>
    <w:rsid w:val="002F1C74"/>
    <w:rsid w:val="00310BB2"/>
    <w:rsid w:val="00320C91"/>
    <w:rsid w:val="00332F51"/>
    <w:rsid w:val="003A4818"/>
    <w:rsid w:val="003C3815"/>
    <w:rsid w:val="0047144F"/>
    <w:rsid w:val="005A59CF"/>
    <w:rsid w:val="005A6CF6"/>
    <w:rsid w:val="005C6F99"/>
    <w:rsid w:val="0060340F"/>
    <w:rsid w:val="00616506"/>
    <w:rsid w:val="00616764"/>
    <w:rsid w:val="00622DE0"/>
    <w:rsid w:val="00640B69"/>
    <w:rsid w:val="00651EA1"/>
    <w:rsid w:val="006D5499"/>
    <w:rsid w:val="007331D4"/>
    <w:rsid w:val="00747327"/>
    <w:rsid w:val="00762E63"/>
    <w:rsid w:val="007900C1"/>
    <w:rsid w:val="00797A8E"/>
    <w:rsid w:val="007A28F9"/>
    <w:rsid w:val="007B4363"/>
    <w:rsid w:val="007E1685"/>
    <w:rsid w:val="007F1010"/>
    <w:rsid w:val="008070C8"/>
    <w:rsid w:val="00871B0C"/>
    <w:rsid w:val="00887DB8"/>
    <w:rsid w:val="00893455"/>
    <w:rsid w:val="008D2010"/>
    <w:rsid w:val="008E2661"/>
    <w:rsid w:val="00917AEC"/>
    <w:rsid w:val="0092124F"/>
    <w:rsid w:val="0093601E"/>
    <w:rsid w:val="00982E4D"/>
    <w:rsid w:val="00990818"/>
    <w:rsid w:val="009F3EA4"/>
    <w:rsid w:val="00A26EA0"/>
    <w:rsid w:val="00A32ACF"/>
    <w:rsid w:val="00A77D79"/>
    <w:rsid w:val="00A96164"/>
    <w:rsid w:val="00AF33D4"/>
    <w:rsid w:val="00AF3F44"/>
    <w:rsid w:val="00B86CA7"/>
    <w:rsid w:val="00BC338B"/>
    <w:rsid w:val="00BE3C7C"/>
    <w:rsid w:val="00BF68DB"/>
    <w:rsid w:val="00C13C6B"/>
    <w:rsid w:val="00C4150B"/>
    <w:rsid w:val="00C73A05"/>
    <w:rsid w:val="00C92669"/>
    <w:rsid w:val="00CA65CE"/>
    <w:rsid w:val="00D01947"/>
    <w:rsid w:val="00D21BEE"/>
    <w:rsid w:val="00D91996"/>
    <w:rsid w:val="00D95FB0"/>
    <w:rsid w:val="00DA13DF"/>
    <w:rsid w:val="00DB039C"/>
    <w:rsid w:val="00DC5247"/>
    <w:rsid w:val="00E47B8C"/>
    <w:rsid w:val="00E855F2"/>
    <w:rsid w:val="00EB24B0"/>
    <w:rsid w:val="00EB5128"/>
    <w:rsid w:val="00EE56D1"/>
    <w:rsid w:val="00F75E90"/>
    <w:rsid w:val="00F92A43"/>
    <w:rsid w:val="00FB2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8E6A"/>
  <w15:chartTrackingRefBased/>
  <w15:docId w15:val="{B811F9EA-7F92-4CFD-BB8D-DE34C3B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818"/>
    <w:pPr>
      <w:ind w:left="720"/>
      <w:contextualSpacing/>
    </w:pPr>
  </w:style>
  <w:style w:type="character" w:styleId="Strong">
    <w:name w:val="Strong"/>
    <w:basedOn w:val="DefaultParagraphFont"/>
    <w:uiPriority w:val="22"/>
    <w:qFormat/>
    <w:rsid w:val="00A26EA0"/>
    <w:rPr>
      <w:b/>
      <w:bCs/>
    </w:rPr>
  </w:style>
  <w:style w:type="table" w:styleId="TableGrid">
    <w:name w:val="Table Grid"/>
    <w:basedOn w:val="TableNormal"/>
    <w:uiPriority w:val="39"/>
    <w:rsid w:val="00A2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D79"/>
    <w:rPr>
      <w:rFonts w:ascii="Segoe UI" w:hAnsi="Segoe UI" w:cs="Segoe UI"/>
      <w:sz w:val="18"/>
      <w:szCs w:val="18"/>
    </w:rPr>
  </w:style>
  <w:style w:type="character" w:customStyle="1" w:styleId="Heading1Char">
    <w:name w:val="Heading 1 Char"/>
    <w:basedOn w:val="DefaultParagraphFont"/>
    <w:link w:val="Heading1"/>
    <w:uiPriority w:val="9"/>
    <w:rsid w:val="007900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5488">
      <w:bodyDiv w:val="1"/>
      <w:marLeft w:val="0"/>
      <w:marRight w:val="0"/>
      <w:marTop w:val="0"/>
      <w:marBottom w:val="0"/>
      <w:divBdr>
        <w:top w:val="none" w:sz="0" w:space="0" w:color="auto"/>
        <w:left w:val="none" w:sz="0" w:space="0" w:color="auto"/>
        <w:bottom w:val="none" w:sz="0" w:space="0" w:color="auto"/>
        <w:right w:val="none" w:sz="0" w:space="0" w:color="auto"/>
      </w:divBdr>
    </w:div>
    <w:div w:id="1073621486">
      <w:bodyDiv w:val="1"/>
      <w:marLeft w:val="0"/>
      <w:marRight w:val="0"/>
      <w:marTop w:val="0"/>
      <w:marBottom w:val="0"/>
      <w:divBdr>
        <w:top w:val="none" w:sz="0" w:space="0" w:color="auto"/>
        <w:left w:val="none" w:sz="0" w:space="0" w:color="auto"/>
        <w:bottom w:val="none" w:sz="0" w:space="0" w:color="auto"/>
        <w:right w:val="none" w:sz="0" w:space="0" w:color="auto"/>
      </w:divBdr>
    </w:div>
    <w:div w:id="17531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3C7266B3-9581-4A0A-8F66-111547ADA370@argonauts.loc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9F77-B6DA-427A-86A7-25B304BA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Dykstra</dc:creator>
  <cp:keywords/>
  <dc:description/>
  <cp:lastModifiedBy>Jamie Dykstra</cp:lastModifiedBy>
  <cp:revision>33</cp:revision>
  <cp:lastPrinted>2017-02-22T19:33:00Z</cp:lastPrinted>
  <dcterms:created xsi:type="dcterms:W3CDTF">2017-02-23T17:54:00Z</dcterms:created>
  <dcterms:modified xsi:type="dcterms:W3CDTF">2017-02-28T11:59:00Z</dcterms:modified>
</cp:coreProperties>
</file>