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3975" cy="47625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0387" l="52429" r="32049" t="7973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3 ventajas de la conectividad satelital para Pymes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El ecosistema de las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pymes es uno de los sectores que enfrenta mayores desafíos a medida que el país regresa a la “normalidad”.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 acuerdo con </w:t>
      </w:r>
      <w:hyperlink r:id="rId7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datos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del Instituto Nacional de Estadística y Geografía (INEGI), se trata de un sector clave para la economía,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que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aporta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más del 50% del producto interno bruto (PIB) y genera 3 de cada 10 empleos.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Sin embargo, la emergencia sanitaria afectó significativamente los ingresos de estos negocios. Un estudio reciente, reveló que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el 85% de estos </w:t>
      </w:r>
      <w:hyperlink r:id="rId8">
        <w:r w:rsidDel="00000000" w:rsidR="00000000" w:rsidRPr="00000000">
          <w:rPr>
            <w:rFonts w:ascii="Arial Narrow" w:cs="Arial Narrow" w:eastAsia="Arial Narrow" w:hAnsi="Arial Narrow"/>
            <w:b w:val="1"/>
            <w:color w:val="1155cc"/>
            <w:u w:val="single"/>
            <w:rtl w:val="0"/>
          </w:rPr>
          <w:t xml:space="preserve">reportó</w:t>
        </w:r>
      </w:hyperlink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una disminución en sus ingresos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“Sin duda,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una tendencia que marcará un hito para los pequeños negocios en 2021, será la adopción de herramientas digitales, ya que hoy más que nunca, las empresas comenzaron a depender de ellas durante la pandemia. En este contexto, la conectividad satelital puede ayudar a las pymes en regiones remotas del país, a adoptar nuevas soluciones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para impulsar sus ventas, mejorar las operaciones comerciales y brindar una mejor atención a los clientes”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asegura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Kevin Cohen, Director General en México de </w:t>
      </w:r>
      <w:hyperlink r:id="rId9">
        <w:r w:rsidDel="00000000" w:rsidR="00000000" w:rsidRPr="00000000">
          <w:rPr>
            <w:rFonts w:ascii="Arial Narrow" w:cs="Arial Narrow" w:eastAsia="Arial Narrow" w:hAnsi="Arial Narrow"/>
            <w:b w:val="1"/>
            <w:color w:val="1155cc"/>
            <w:u w:val="single"/>
            <w:rtl w:val="0"/>
          </w:rPr>
          <w:t xml:space="preserve">Viasat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la compañía global de telecomunicaciones que busca mantener todo y a todos conectados.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Bajo esta perspectiva, el experto señala 3 ventajas de la conectividad satelital para los emprendedores mexicanos: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1. Aliada para la reinvención digital post-pandemia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Durante la cuarentena, la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conectividad se posicionó como la herramienta aliada de la mayoría de las pymes, que les permitió mantener sus actividades comerciales a flote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y según </w:t>
      </w:r>
      <w:hyperlink r:id="rId10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reveló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la “Encuesta Global de Emprendimiento 2020” elaborada por GoDaddy,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un 71% de ellas adoptará más herramientas digitales.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 ahí que internet se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vuelva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clave para que los pequeños negocios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creen un sitio web, implementen herramientas de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marketing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digital en sus redes sociales y plataformas, así como tiendas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online. Y es que siguiendo con la encuesta de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GoDaddy, realizada entre 502 pymes con 25 empleados o menos, 3 de cada 10 empresas abrieron su sitio web para vender por primera vez durante la pandemia.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2. Acortar la brecha digital empresarial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Mientras que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el 94% de las grandes empresas implementaron esquemas de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home office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en México, sólo el 61% de las pymes y el 29% de los micronegocios lo pudo hacer,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al no contar con las herramientas de conectividad y plataformas para migrar su trabajo de la oficina al hogar. Esta situación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revela el desafío de acortar la brecha digital en el ecosistema empresarial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de acuerdo con un </w:t>
      </w:r>
      <w:hyperlink r:id="rId11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análisis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del Organismo Promotor de Inversiones en Telecomunicaciones (Promtel).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Ante este panorama,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la conectividad basada en satélites enfocada en los negocios ofrece una solución para las diferentes tipos de pymes en el país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con una cobertura capaz de llegar hasta las zonas más difíciles de alcanzar, ofreciendo altas velocidades, conectividad confiable y variedad de </w:t>
      </w:r>
      <w:hyperlink r:id="rId12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planes de servicio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que se adaptan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 las necesidades comerciales y operativas de las microempresas. 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3.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Ecommerce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y canales de comunicación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 acuerdo con los </w:t>
      </w:r>
      <w:hyperlink r:id="rId13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resultados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del “Estudio de venta online 2021” de la Asociación Mexicana de Venta Online (AMVO), a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ntes de la pandemia, sólo 3 de cada 10 pymes vendía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online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en México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. A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hora, a partir de los avances tecnológicos en el mercado de la conectividad satelital, los pequeños empresarios pueden aprovechar la transición a lo digital para ejecutar nuevas estrategias de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ecommerce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que satisfagan las necesidades de sus clientes en categorías con alto potencial, como comida a domicilio, moda, artículos de belleza, cuidado personal, así como medicamentos y comestibles.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Por otro lado,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la adopción de canales de comunicación como WhatsApp se posiciona como una tendencia que siguen más del 57% de las microempresas en México para mantener contacto con sus clientes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En general, internet permite ser más competitivos, al permitir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una comunicación más cercana y rápida con proveedores, según revela un </w:t>
      </w:r>
      <w:hyperlink r:id="rId14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reporte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del Instituto Federal de Telecomunicaciones (IFT).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“Las pequeñas y medianas empresas en México se encuentran en un momento crítico en el que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la </w:t>
      </w:r>
      <w:hyperlink r:id="rId15">
        <w:r w:rsidDel="00000000" w:rsidR="00000000" w:rsidRPr="00000000">
          <w:rPr>
            <w:rFonts w:ascii="Arial Narrow" w:cs="Arial Narrow" w:eastAsia="Arial Narrow" w:hAnsi="Arial Narrow"/>
            <w:b w:val="1"/>
            <w:color w:val="1155cc"/>
            <w:u w:val="single"/>
            <w:rtl w:val="0"/>
          </w:rPr>
          <w:t xml:space="preserve">conectividad satelital</w:t>
        </w:r>
      </w:hyperlink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puede tener impacto en su futuro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Más que nunca, las empresas pueden explorar nuevas estrategias que son posibles gracias a la conectividad. Esto es crucial a medida que el país comienza a recuperarse de la pandemia y regresa la demanda de servicios de los pequeños negocios”, concluye Cohen.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# # #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Acerca de  </w:t>
      </w:r>
      <w:hyperlink r:id="rId16">
        <w:r w:rsidDel="00000000" w:rsidR="00000000" w:rsidRPr="00000000">
          <w:rPr>
            <w:rFonts w:ascii="Arial Narrow" w:cs="Arial Narrow" w:eastAsia="Arial Narrow" w:hAnsi="Arial Narrow"/>
            <w:b w:val="1"/>
            <w:color w:val="1155cc"/>
            <w:sz w:val="20"/>
            <w:szCs w:val="20"/>
            <w:u w:val="single"/>
            <w:rtl w:val="0"/>
          </w:rPr>
          <w:t xml:space="preserve">Viasat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Arial Narrow" w:cs="Arial Narrow" w:eastAsia="Arial Narrow" w:hAnsi="Arial Narrow"/>
          <w:color w:val="666666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highlight w:val="white"/>
          <w:rtl w:val="0"/>
        </w:rPr>
        <w:t xml:space="preserve">Viasat es una compañía global de telecomunicaciones que busca mantener todo y a todos conectados. Por más de 30 años, Viasat ha ayudado a dar forma a la manera en que los consumidores, negocios, gobiernos y el cuerpo militar alrededor del mundo se conectan. Hoy, la compañía está desarrollando la mayor red de telecomunicaciones con el poder de impactar a las personas con conexiones de alta calidad, seguras y rápidas, ya sea que estén en tierra, mar o aire. Para conocer más sobre Viasat, visite  </w:t>
      </w:r>
      <w:hyperlink r:id="rId17">
        <w:r w:rsidDel="00000000" w:rsidR="00000000" w:rsidRPr="00000000">
          <w:rPr>
            <w:rFonts w:ascii="Arial Narrow" w:cs="Arial Narrow" w:eastAsia="Arial Narrow" w:hAnsi="Arial Narrow"/>
            <w:color w:val="1155cc"/>
            <w:sz w:val="20"/>
            <w:szCs w:val="20"/>
            <w:highlight w:val="white"/>
            <w:u w:val="single"/>
            <w:rtl w:val="0"/>
          </w:rPr>
          <w:t xml:space="preserve">www.viasat.com.mx</w:t>
        </w:r>
      </w:hyperlink>
      <w:r w:rsidDel="00000000" w:rsidR="00000000" w:rsidRPr="00000000">
        <w:rPr>
          <w:rFonts w:ascii="Arial Narrow" w:cs="Arial Narrow" w:eastAsia="Arial Narrow" w:hAnsi="Arial Narrow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el</w:t>
      </w:r>
      <w:r w:rsidDel="00000000" w:rsidR="00000000" w:rsidRPr="00000000">
        <w:rPr>
          <w:rFonts w:ascii="Arial Narrow" w:cs="Arial Narrow" w:eastAsia="Arial Narrow" w:hAnsi="Arial Narrow"/>
          <w:color w:val="666666"/>
          <w:sz w:val="20"/>
          <w:szCs w:val="20"/>
          <w:rtl w:val="0"/>
        </w:rPr>
        <w:t xml:space="preserve"> </w:t>
      </w:r>
      <w:hyperlink r:id="rId18">
        <w:r w:rsidDel="00000000" w:rsidR="00000000" w:rsidRPr="00000000">
          <w:rPr>
            <w:rFonts w:ascii="Arial Narrow" w:cs="Arial Narrow" w:eastAsia="Arial Narrow" w:hAnsi="Arial Narrow"/>
            <w:color w:val="1155cc"/>
            <w:sz w:val="20"/>
            <w:szCs w:val="20"/>
            <w:u w:val="single"/>
            <w:rtl w:val="0"/>
          </w:rPr>
          <w:t xml:space="preserve">blog corporativo</w:t>
        </w:r>
      </w:hyperlink>
      <w:r w:rsidDel="00000000" w:rsidR="00000000" w:rsidRPr="00000000">
        <w:rPr>
          <w:rFonts w:ascii="Arial Narrow" w:cs="Arial Narrow" w:eastAsia="Arial Narrow" w:hAnsi="Arial Narrow"/>
          <w:color w:val="666666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 siga a la compañía en</w:t>
      </w:r>
      <w:r w:rsidDel="00000000" w:rsidR="00000000" w:rsidRPr="00000000">
        <w:rPr>
          <w:rFonts w:ascii="Arial Narrow" w:cs="Arial Narrow" w:eastAsia="Arial Narrow" w:hAnsi="Arial Narrow"/>
          <w:color w:val="666666"/>
          <w:sz w:val="20"/>
          <w:szCs w:val="20"/>
          <w:rtl w:val="0"/>
        </w:rPr>
        <w:t xml:space="preserve"> </w:t>
      </w:r>
      <w:hyperlink r:id="rId19">
        <w:r w:rsidDel="00000000" w:rsidR="00000000" w:rsidRPr="00000000">
          <w:rPr>
            <w:rFonts w:ascii="Arial Narrow" w:cs="Arial Narrow" w:eastAsia="Arial Narrow" w:hAnsi="Arial Narrow"/>
            <w:color w:val="1155cc"/>
            <w:sz w:val="20"/>
            <w:szCs w:val="20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Arial Narrow" w:cs="Arial Narrow" w:eastAsia="Arial Narrow" w:hAnsi="Arial Narrow"/>
          <w:color w:val="666666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color w:val="1155cc"/>
          <w:sz w:val="20"/>
          <w:szCs w:val="20"/>
          <w:rtl w:val="0"/>
        </w:rPr>
        <w:t xml:space="preserve"> </w:t>
      </w:r>
      <w:hyperlink r:id="rId20">
        <w:r w:rsidDel="00000000" w:rsidR="00000000" w:rsidRPr="00000000">
          <w:rPr>
            <w:rFonts w:ascii="Arial Narrow" w:cs="Arial Narrow" w:eastAsia="Arial Narrow" w:hAnsi="Arial Narrow"/>
            <w:color w:val="1155cc"/>
            <w:sz w:val="20"/>
            <w:szCs w:val="20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Arial Narrow" w:cs="Arial Narrow" w:eastAsia="Arial Narrow" w:hAnsi="Arial Narrow"/>
          <w:color w:val="666666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color w:val="1155cc"/>
          <w:sz w:val="20"/>
          <w:szCs w:val="20"/>
          <w:rtl w:val="0"/>
        </w:rPr>
        <w:t xml:space="preserve"> </w:t>
      </w:r>
      <w:hyperlink r:id="rId21">
        <w:r w:rsidDel="00000000" w:rsidR="00000000" w:rsidRPr="00000000">
          <w:rPr>
            <w:rFonts w:ascii="Arial Narrow" w:cs="Arial Narrow" w:eastAsia="Arial Narrow" w:hAnsi="Arial Narrow"/>
            <w:color w:val="1155cc"/>
            <w:sz w:val="20"/>
            <w:szCs w:val="20"/>
            <w:u w:val="single"/>
            <w:rtl w:val="0"/>
          </w:rPr>
          <w:t xml:space="preserve">LinkedIn</w:t>
        </w:r>
      </w:hyperlink>
      <w:r w:rsidDel="00000000" w:rsidR="00000000" w:rsidRPr="00000000">
        <w:rPr>
          <w:rFonts w:ascii="Arial Narrow" w:cs="Arial Narrow" w:eastAsia="Arial Narrow" w:hAnsi="Arial Narrow"/>
          <w:color w:val="666666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color w:val="1155cc"/>
          <w:sz w:val="20"/>
          <w:szCs w:val="20"/>
          <w:rtl w:val="0"/>
        </w:rPr>
        <w:t xml:space="preserve"> </w:t>
      </w:r>
      <w:hyperlink r:id="rId22">
        <w:r w:rsidDel="00000000" w:rsidR="00000000" w:rsidRPr="00000000">
          <w:rPr>
            <w:rFonts w:ascii="Arial Narrow" w:cs="Arial Narrow" w:eastAsia="Arial Narrow" w:hAnsi="Arial Narrow"/>
            <w:color w:val="1155cc"/>
            <w:sz w:val="20"/>
            <w:szCs w:val="20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Arial Narrow" w:cs="Arial Narrow" w:eastAsia="Arial Narrow" w:hAnsi="Arial Narrow"/>
          <w:color w:val="1155cc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color w:val="666666"/>
          <w:sz w:val="20"/>
          <w:szCs w:val="20"/>
          <w:rtl w:val="0"/>
        </w:rPr>
        <w:t xml:space="preserve">y </w:t>
      </w:r>
      <w:hyperlink r:id="rId23">
        <w:r w:rsidDel="00000000" w:rsidR="00000000" w:rsidRPr="00000000">
          <w:rPr>
            <w:rFonts w:ascii="Arial Narrow" w:cs="Arial Narrow" w:eastAsia="Arial Narrow" w:hAnsi="Arial Narrow"/>
            <w:color w:val="1155cc"/>
            <w:sz w:val="20"/>
            <w:szCs w:val="20"/>
            <w:u w:val="single"/>
            <w:rtl w:val="0"/>
          </w:rPr>
          <w:t xml:space="preserve">YouTube</w:t>
        </w:r>
      </w:hyperlink>
      <w:r w:rsidDel="00000000" w:rsidR="00000000" w:rsidRPr="00000000">
        <w:rPr>
          <w:rFonts w:ascii="Arial Narrow" w:cs="Arial Narrow" w:eastAsia="Arial Narrow" w:hAnsi="Arial Narrow"/>
          <w:color w:val="666666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Contacto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Arial Narrow" w:cs="Arial Narrow" w:eastAsia="Arial Narrow" w:hAnsi="Arial Narrow"/>
          <w:color w:val="414141"/>
          <w:sz w:val="20"/>
          <w:szCs w:val="20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Maximiliano Cervantes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+52 553233 3219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hyperlink r:id="rId24">
        <w:r w:rsidDel="00000000" w:rsidR="00000000" w:rsidRPr="00000000">
          <w:rPr>
            <w:rFonts w:ascii="Arial Narrow" w:cs="Arial Narrow" w:eastAsia="Arial Narrow" w:hAnsi="Arial Narrow"/>
            <w:color w:val="1155cc"/>
            <w:sz w:val="20"/>
            <w:szCs w:val="20"/>
            <w:u w:val="single"/>
            <w:rtl w:val="0"/>
          </w:rPr>
          <w:t xml:space="preserve">maximiliano.cervantes@another.co</w:t>
        </w:r>
      </w:hyperlink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Arial Narrow" w:cs="Arial Narrow" w:eastAsia="Arial Narrow" w:hAnsi="Arial Narrow"/>
          <w:color w:val="414141"/>
          <w:sz w:val="20"/>
          <w:szCs w:val="20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Norma Pérez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Georgia" w:cs="Georgia" w:eastAsia="Georgia" w:hAnsi="Georgia"/>
          <w:color w:val="45556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+52 5521198611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hyperlink r:id="rId25">
        <w:r w:rsidDel="00000000" w:rsidR="00000000" w:rsidRPr="00000000">
          <w:rPr>
            <w:rFonts w:ascii="Arial Narrow" w:cs="Arial Narrow" w:eastAsia="Arial Narrow" w:hAnsi="Arial Narrow"/>
            <w:color w:val="1155cc"/>
            <w:sz w:val="20"/>
            <w:szCs w:val="20"/>
            <w:u w:val="single"/>
            <w:rtl w:val="0"/>
          </w:rPr>
          <w:t xml:space="preserve">norma.perez@another.co</w:t>
        </w:r>
      </w:hyperlink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stagram.com/viasatmexico/" TargetMode="External"/><Relationship Id="rId22" Type="http://schemas.openxmlformats.org/officeDocument/2006/relationships/hyperlink" Target="https://twitter.com/ViasatMexico" TargetMode="External"/><Relationship Id="rId21" Type="http://schemas.openxmlformats.org/officeDocument/2006/relationships/hyperlink" Target="https://www.linkedin.com/company/viasat" TargetMode="External"/><Relationship Id="rId24" Type="http://schemas.openxmlformats.org/officeDocument/2006/relationships/hyperlink" Target="mailto:maximiliano.cervantes@another.co" TargetMode="External"/><Relationship Id="rId23" Type="http://schemas.openxmlformats.org/officeDocument/2006/relationships/hyperlink" Target="https://www.youtube.com/user/ViaSatIn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asat.com.mx/" TargetMode="External"/><Relationship Id="rId25" Type="http://schemas.openxmlformats.org/officeDocument/2006/relationships/hyperlink" Target="mailto:norma.perez@another.co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comunicacion.senado.gob.mx/index.php/informacion/boletines/47767-pymes-importante-motor-para-el-desarrollo-economico-nacional-mc.html" TargetMode="External"/><Relationship Id="rId8" Type="http://schemas.openxmlformats.org/officeDocument/2006/relationships/hyperlink" Target="https://mx.godaddy.com/blog/wp-content/uploads//GoDaddy-2020-Global-Entepreneurship-Survey_Findings.pdf" TargetMode="External"/><Relationship Id="rId11" Type="http://schemas.openxmlformats.org/officeDocument/2006/relationships/hyperlink" Target="https://www.consumotic.mx/telecom/persiste-brecha-digital-entre-pymes-y-microempresas/" TargetMode="External"/><Relationship Id="rId10" Type="http://schemas.openxmlformats.org/officeDocument/2006/relationships/hyperlink" Target="https://mx.godaddy.com/blog/encuesta-godaddy-emprendimiento-mexico-que-dicen-microempresas-pandemia/" TargetMode="External"/><Relationship Id="rId13" Type="http://schemas.openxmlformats.org/officeDocument/2006/relationships/hyperlink" Target="https://www.amvo.org.mx/wp-content/uploads/2021/01/AMVO_Estudio_de_Venta_Online_2021_Versi%C3%B3nP%C3%BAblica-3.pdf" TargetMode="External"/><Relationship Id="rId12" Type="http://schemas.openxmlformats.org/officeDocument/2006/relationships/hyperlink" Target="https://viasat.com.mx/negocios/" TargetMode="External"/><Relationship Id="rId15" Type="http://schemas.openxmlformats.org/officeDocument/2006/relationships/hyperlink" Target="https://viasatmx.prezly.com/wi-fi-comunitario-de-viasat-una-alternativa-que-ya-esta-llevando-la-conectividad-a-zonas-rurales-de-mexico" TargetMode="External"/><Relationship Id="rId14" Type="http://schemas.openxmlformats.org/officeDocument/2006/relationships/hyperlink" Target="http://www.ift.org.mx/comunicacion-y-medios/comunicados-ift/es/crece-uso-de-internet-entre-mipymes-para-comercio-electronico-comunicado-422020-7-de-mayo" TargetMode="External"/><Relationship Id="rId17" Type="http://schemas.openxmlformats.org/officeDocument/2006/relationships/hyperlink" Target="http://www.viasat.com.mx" TargetMode="External"/><Relationship Id="rId16" Type="http://schemas.openxmlformats.org/officeDocument/2006/relationships/hyperlink" Target="https://www.viasat.com/" TargetMode="External"/><Relationship Id="rId19" Type="http://schemas.openxmlformats.org/officeDocument/2006/relationships/hyperlink" Target="https://www.facebook.com/ViasatMexico/" TargetMode="External"/><Relationship Id="rId18" Type="http://schemas.openxmlformats.org/officeDocument/2006/relationships/hyperlink" Target="https://corpblog.viasat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