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887DA" w14:textId="77777777" w:rsidR="006B0110" w:rsidRDefault="006B0110" w:rsidP="003B3FFD">
      <w:pPr>
        <w:pStyle w:val="MNewsDatum"/>
        <w:rPr>
          <w:noProof/>
        </w:rPr>
      </w:pPr>
      <w:r w:rsidRPr="00586001">
        <w:rPr>
          <w:noProof/>
        </w:rPr>
        <w:drawing>
          <wp:inline distT="0" distB="0" distL="0" distR="0" wp14:anchorId="6035DA3D" wp14:editId="711C6E1D">
            <wp:extent cx="5797296" cy="2349416"/>
            <wp:effectExtent l="0" t="0" r="0" b="635"/>
            <wp:docPr id="13042202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0286" name="drawing"/>
                    <pic:cNvPicPr/>
                  </pic:nvPicPr>
                  <pic:blipFill>
                    <a:blip r:embed="rId11"/>
                    <a:stretch>
                      <a:fillRect/>
                    </a:stretch>
                  </pic:blipFill>
                  <pic:spPr>
                    <a:xfrm>
                      <a:off x="0" y="0"/>
                      <a:ext cx="5813223" cy="2355871"/>
                    </a:xfrm>
                    <a:prstGeom prst="rect">
                      <a:avLst/>
                    </a:prstGeom>
                  </pic:spPr>
                </pic:pic>
              </a:graphicData>
            </a:graphic>
          </wp:inline>
        </w:drawing>
      </w:r>
    </w:p>
    <w:p w14:paraId="73542C24" w14:textId="77777777" w:rsidR="006B0110" w:rsidRDefault="006B0110" w:rsidP="003B3FFD">
      <w:pPr>
        <w:pStyle w:val="MNewsDatum"/>
        <w:rPr>
          <w:noProof/>
        </w:rPr>
      </w:pPr>
    </w:p>
    <w:p w14:paraId="66870387" w14:textId="77777777" w:rsidR="00203872" w:rsidRDefault="00203872" w:rsidP="003B3FFD">
      <w:pPr>
        <w:pStyle w:val="MNewsDatum"/>
        <w:rPr>
          <w:noProof/>
        </w:rPr>
      </w:pPr>
    </w:p>
    <w:p w14:paraId="746ADF03" w14:textId="039F8D7B" w:rsidR="00B13178" w:rsidRPr="00C02B08" w:rsidRDefault="00156F0D" w:rsidP="003B3FFD">
      <w:pPr>
        <w:pStyle w:val="MNewsDatum"/>
        <w:rPr>
          <w:lang w:val="fr-FR"/>
        </w:rPr>
      </w:pPr>
      <w:r w:rsidRPr="00C02B08">
        <w:rPr>
          <w:noProof/>
          <w:lang w:val="fr-FR"/>
        </w:rPr>
        <w:t>AVRIL</w:t>
      </w:r>
      <w:r w:rsidR="00B13178" w:rsidRPr="00C02B08">
        <w:rPr>
          <w:noProof/>
          <w:lang w:val="fr-FR"/>
        </w:rPr>
        <w:t xml:space="preserve"> </w:t>
      </w:r>
      <w:r w:rsidR="00B13178" w:rsidRPr="00C02B08">
        <w:rPr>
          <w:lang w:val="fr-FR"/>
        </w:rPr>
        <w:t>202</w:t>
      </w:r>
      <w:r w:rsidR="00D61426" w:rsidRPr="00C02B08">
        <w:rPr>
          <w:lang w:val="fr-FR"/>
        </w:rPr>
        <w:t>6</w:t>
      </w:r>
    </w:p>
    <w:p w14:paraId="38CDE7E1" w14:textId="3CEABC3C" w:rsidR="00EA1FE9" w:rsidRPr="00C02B08" w:rsidRDefault="00156F0D" w:rsidP="008350DE">
      <w:pPr>
        <w:pStyle w:val="MNews1"/>
        <w:rPr>
          <w:lang w:val="fr-FR"/>
        </w:rPr>
      </w:pPr>
      <w:proofErr w:type="spellStart"/>
      <w:r w:rsidRPr="00156F0D">
        <w:rPr>
          <w:lang w:val="de-DE"/>
        </w:rPr>
        <w:t>Merging</w:t>
      </w:r>
      <w:proofErr w:type="spellEnd"/>
      <w:r w:rsidRPr="00156F0D">
        <w:rPr>
          <w:lang w:val="de-DE"/>
        </w:rPr>
        <w:t xml:space="preserve"> Technologies </w:t>
      </w:r>
      <w:proofErr w:type="spellStart"/>
      <w:r w:rsidRPr="00156F0D">
        <w:rPr>
          <w:lang w:val="de-DE"/>
        </w:rPr>
        <w:t>annonce</w:t>
      </w:r>
      <w:proofErr w:type="spellEnd"/>
      <w:r w:rsidRPr="00156F0D">
        <w:rPr>
          <w:lang w:val="de-DE"/>
        </w:rPr>
        <w:t xml:space="preserve"> Ovation 12</w:t>
      </w:r>
      <w:r>
        <w:rPr>
          <w:lang w:val="de-DE"/>
        </w:rPr>
        <w:br/>
      </w:r>
    </w:p>
    <w:p w14:paraId="61038192" w14:textId="77777777" w:rsidR="00C02B08" w:rsidRPr="00C02B08" w:rsidRDefault="00C02B08" w:rsidP="00C02B08">
      <w:pPr>
        <w:pStyle w:val="MNewsText"/>
        <w:rPr>
          <w:b/>
          <w:bCs/>
          <w:lang w:val="fr-FR"/>
        </w:rPr>
      </w:pPr>
      <w:r w:rsidRPr="00C02B08">
        <w:rPr>
          <w:b/>
          <w:bCs/>
          <w:lang w:val="fr-FR"/>
        </w:rPr>
        <w:t>Ovation 12 ouvre une nouvelle ère du contrôle des spectacles live avec vidéo intégrée et synchronisation avancée</w:t>
      </w:r>
    </w:p>
    <w:p w14:paraId="7D4D657E" w14:textId="77777777" w:rsidR="00D12F00" w:rsidRPr="00C02B08" w:rsidRDefault="00D12F00" w:rsidP="00D626BC">
      <w:pPr>
        <w:pStyle w:val="MNewsText"/>
        <w:rPr>
          <w:rFonts w:cstheme="minorHAnsi"/>
          <w:b/>
          <w:bCs/>
          <w:lang w:val="fr-FR"/>
        </w:rPr>
      </w:pPr>
    </w:p>
    <w:p w14:paraId="554D8828" w14:textId="0001F4E7" w:rsidR="00156F0D" w:rsidRPr="00156F0D" w:rsidRDefault="00156F0D" w:rsidP="00156F0D">
      <w:pPr>
        <w:pStyle w:val="MNewsTextAbstand"/>
        <w:rPr>
          <w:b/>
          <w:bCs/>
          <w:lang w:val="fr-FR"/>
        </w:rPr>
      </w:pPr>
      <w:proofErr w:type="spellStart"/>
      <w:r w:rsidRPr="00156F0D">
        <w:rPr>
          <w:b/>
          <w:bCs/>
          <w:lang w:val="fr-FR"/>
        </w:rPr>
        <w:t>Puidoux</w:t>
      </w:r>
      <w:proofErr w:type="spellEnd"/>
      <w:r w:rsidRPr="00156F0D">
        <w:rPr>
          <w:b/>
          <w:bCs/>
          <w:lang w:val="fr-FR"/>
        </w:rPr>
        <w:t xml:space="preserve">, Suisse – avril 2026 – </w:t>
      </w:r>
      <w:proofErr w:type="spellStart"/>
      <w:r w:rsidRPr="00156F0D">
        <w:rPr>
          <w:b/>
          <w:bCs/>
          <w:lang w:val="fr-FR"/>
        </w:rPr>
        <w:t>Merging</w:t>
      </w:r>
      <w:proofErr w:type="spellEnd"/>
      <w:r w:rsidRPr="00156F0D">
        <w:rPr>
          <w:b/>
          <w:bCs/>
          <w:lang w:val="fr-FR"/>
        </w:rPr>
        <w:t xml:space="preserve"> Technologies annonce la prochaine sortie d’Ovation 12, la dernière mise à jour majeure de son logiciel de lecture audio et de séquençage de spectacles, leader du secteur. Prévue pour le 30 avril 2026, Ovation 12 marque une évolution importante de la plateforme, introduisant la lecture vidéo native, des capacités de synchronisation renforcées et des performances E/S étendues pour les environnements de spectacle vivant et d’installation les plus exigeants.</w:t>
      </w:r>
      <w:r>
        <w:rPr>
          <w:b/>
          <w:bCs/>
          <w:lang w:val="fr-FR"/>
        </w:rPr>
        <w:br/>
      </w:r>
    </w:p>
    <w:p w14:paraId="7C45D665" w14:textId="299BD18B" w:rsidR="00156F0D" w:rsidRPr="00156F0D" w:rsidRDefault="00156F0D" w:rsidP="00156F0D">
      <w:pPr>
        <w:pStyle w:val="MNewsTextAbstand"/>
        <w:rPr>
          <w:lang w:val="fr-FR"/>
        </w:rPr>
      </w:pPr>
      <w:r w:rsidRPr="00156F0D">
        <w:rPr>
          <w:lang w:val="fr-FR"/>
        </w:rPr>
        <w:t xml:space="preserve">Reconnu comme le cœur battant de parcs à thème, musées, installations de broadcast et productions live complexes dans le monde entier, Ovation s’est forgé une réputation de fiabilité absolue, de latence ultra-faible et de flexibilité inégalée. Avec Ovation 12, </w:t>
      </w:r>
      <w:proofErr w:type="spellStart"/>
      <w:r w:rsidRPr="00156F0D">
        <w:rPr>
          <w:lang w:val="fr-FR"/>
        </w:rPr>
        <w:t>Merging</w:t>
      </w:r>
      <w:proofErr w:type="spellEnd"/>
      <w:r w:rsidRPr="00156F0D">
        <w:rPr>
          <w:lang w:val="fr-FR"/>
        </w:rPr>
        <w:t xml:space="preserve"> Technologies répond directement aux retours utilisateurs en étendant la plateforme au-delà de l’audio</w:t>
      </w:r>
      <w:r>
        <w:rPr>
          <w:lang w:val="fr-FR"/>
        </w:rPr>
        <w:t xml:space="preserve">, </w:t>
      </w:r>
      <w:r w:rsidRPr="00156F0D">
        <w:rPr>
          <w:lang w:val="fr-FR"/>
        </w:rPr>
        <w:t>sans compromettre ses points forts fondamentaux.</w:t>
      </w:r>
    </w:p>
    <w:p w14:paraId="64D1F0D7" w14:textId="77777777" w:rsidR="006B0110" w:rsidRPr="00C02B08" w:rsidRDefault="006B0110" w:rsidP="008350DE">
      <w:pPr>
        <w:pStyle w:val="MNewsTextAbstand"/>
        <w:rPr>
          <w:b/>
          <w:bCs/>
          <w:lang w:val="fr-FR"/>
        </w:rPr>
      </w:pPr>
    </w:p>
    <w:p w14:paraId="7866A01C" w14:textId="77777777" w:rsidR="00156F0D" w:rsidRPr="00156F0D" w:rsidRDefault="00156F0D" w:rsidP="00156F0D">
      <w:pPr>
        <w:pStyle w:val="MNewsTextAbstand"/>
        <w:rPr>
          <w:b/>
          <w:bCs/>
          <w:lang w:val="fr-FR"/>
        </w:rPr>
      </w:pPr>
      <w:r w:rsidRPr="00156F0D">
        <w:rPr>
          <w:b/>
          <w:bCs/>
          <w:lang w:val="fr-FR"/>
        </w:rPr>
        <w:t>Lecture vidéo native, entièrement intégrée</w:t>
      </w:r>
    </w:p>
    <w:p w14:paraId="083B2E6D" w14:textId="3D253F53" w:rsidR="00156F0D" w:rsidRPr="00156F0D" w:rsidRDefault="00156F0D" w:rsidP="00156F0D">
      <w:pPr>
        <w:pStyle w:val="MNewsText"/>
        <w:rPr>
          <w:lang w:val="fr-FR"/>
        </w:rPr>
      </w:pPr>
      <w:r w:rsidRPr="00156F0D">
        <w:rPr>
          <w:lang w:val="fr-FR"/>
        </w:rPr>
        <w:t>Avec Ovation 12, la lecture vidéo devient une partie intégrante du flux de production.</w:t>
      </w:r>
      <w:r>
        <w:rPr>
          <w:lang w:val="fr-FR"/>
        </w:rPr>
        <w:br/>
      </w:r>
    </w:p>
    <w:p w14:paraId="6170D3C0" w14:textId="3454227B" w:rsidR="00156F0D" w:rsidRPr="00156F0D" w:rsidRDefault="00156F0D" w:rsidP="00156F0D">
      <w:pPr>
        <w:pStyle w:val="MNewsText"/>
        <w:rPr>
          <w:lang w:val="fr-FR"/>
        </w:rPr>
      </w:pPr>
      <w:r w:rsidRPr="00156F0D">
        <w:rPr>
          <w:lang w:val="fr-FR"/>
        </w:rPr>
        <w:t xml:space="preserve">Les fichiers vidéo peuvent désormais être glissés-déposés directement dans les playlists et gérés comme n’importe quel autre </w:t>
      </w:r>
      <w:proofErr w:type="spellStart"/>
      <w:r w:rsidRPr="00156F0D">
        <w:rPr>
          <w:lang w:val="fr-FR"/>
        </w:rPr>
        <w:t>cue</w:t>
      </w:r>
      <w:proofErr w:type="spellEnd"/>
      <w:r>
        <w:rPr>
          <w:lang w:val="fr-FR"/>
        </w:rPr>
        <w:t>,</w:t>
      </w:r>
      <w:r w:rsidRPr="00156F0D">
        <w:rPr>
          <w:lang w:val="fr-FR"/>
        </w:rPr>
        <w:t xml:space="preserve"> même pendant qu’un spectacle est en cours. Les fondus audio et le </w:t>
      </w:r>
      <w:proofErr w:type="gramStart"/>
      <w:r w:rsidRPr="00156F0D">
        <w:rPr>
          <w:lang w:val="fr-FR"/>
        </w:rPr>
        <w:t>timing</w:t>
      </w:r>
      <w:proofErr w:type="gramEnd"/>
      <w:r w:rsidRPr="00156F0D">
        <w:rPr>
          <w:lang w:val="fr-FR"/>
        </w:rPr>
        <w:t xml:space="preserve"> peuvent être alignés avec précision sur l’image via la fenêtre de </w:t>
      </w:r>
      <w:proofErr w:type="spellStart"/>
      <w:r w:rsidRPr="00156F0D">
        <w:rPr>
          <w:lang w:val="fr-FR"/>
        </w:rPr>
        <w:t>cue</w:t>
      </w:r>
      <w:proofErr w:type="spellEnd"/>
      <w:r w:rsidRPr="00156F0D">
        <w:rPr>
          <w:lang w:val="fr-FR"/>
        </w:rPr>
        <w:t xml:space="preserve"> active d’Ovation, garantissant une synchronisation parfaite en répétition comme en exploitation live.</w:t>
      </w:r>
      <w:r>
        <w:rPr>
          <w:lang w:val="fr-FR"/>
        </w:rPr>
        <w:br/>
      </w:r>
    </w:p>
    <w:p w14:paraId="407869E1" w14:textId="1ABB8E12" w:rsidR="00156F0D" w:rsidRPr="00156F0D" w:rsidRDefault="00156F0D" w:rsidP="00156F0D">
      <w:pPr>
        <w:pStyle w:val="MNewsText"/>
        <w:rPr>
          <w:lang w:val="fr-FR"/>
        </w:rPr>
      </w:pPr>
      <w:r w:rsidRPr="00156F0D">
        <w:rPr>
          <w:lang w:val="fr-FR"/>
        </w:rPr>
        <w:t xml:space="preserve">Ovation 12 prend en charge tous les formats vidéo courants, avec des fichiers facilement ajustables directement dans Ovation ou préparés dans </w:t>
      </w:r>
      <w:proofErr w:type="spellStart"/>
      <w:r w:rsidRPr="00156F0D">
        <w:rPr>
          <w:lang w:val="fr-FR"/>
        </w:rPr>
        <w:t>Pyramix</w:t>
      </w:r>
      <w:proofErr w:type="spellEnd"/>
      <w:r w:rsidRPr="00156F0D">
        <w:rPr>
          <w:lang w:val="fr-FR"/>
        </w:rPr>
        <w:t xml:space="preserve">. Jusqu’à quatre flux vidéo peuvent être lus simultanément via des cartes graphiques standard, offrant une intégration visuelle puissante sans </w:t>
      </w:r>
      <w:proofErr w:type="gramStart"/>
      <w:r w:rsidRPr="00156F0D">
        <w:rPr>
          <w:lang w:val="fr-FR"/>
        </w:rPr>
        <w:lastRenderedPageBreak/>
        <w:t>complexité</w:t>
      </w:r>
      <w:proofErr w:type="gramEnd"/>
      <w:r w:rsidRPr="00156F0D">
        <w:rPr>
          <w:lang w:val="fr-FR"/>
        </w:rPr>
        <w:t xml:space="preserve"> supplémentaire.</w:t>
      </w:r>
      <w:r>
        <w:rPr>
          <w:lang w:val="fr-FR"/>
        </w:rPr>
        <w:br/>
      </w:r>
    </w:p>
    <w:p w14:paraId="64CAA333" w14:textId="62BD2058" w:rsidR="009D59FB" w:rsidRPr="009D59FB" w:rsidRDefault="00E14A50" w:rsidP="000D7FB1">
      <w:pPr>
        <w:pStyle w:val="MNewsText"/>
      </w:pPr>
      <w:r w:rsidRPr="008C72AB">
        <w:rPr>
          <w:noProof/>
        </w:rPr>
        <w:drawing>
          <wp:inline distT="0" distB="0" distL="0" distR="0" wp14:anchorId="0C8EB1C1" wp14:editId="5FBE550C">
            <wp:extent cx="5771667" cy="1453570"/>
            <wp:effectExtent l="0" t="0" r="0" b="0"/>
            <wp:docPr id="13285375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7582" name="drawing"/>
                    <pic:cNvPicPr/>
                  </pic:nvPicPr>
                  <pic:blipFill>
                    <a:blip r:embed="rId12"/>
                    <a:stretch>
                      <a:fillRect/>
                    </a:stretch>
                  </pic:blipFill>
                  <pic:spPr>
                    <a:xfrm>
                      <a:off x="0" y="0"/>
                      <a:ext cx="5771667" cy="1453570"/>
                    </a:xfrm>
                    <a:prstGeom prst="rect">
                      <a:avLst/>
                    </a:prstGeom>
                  </pic:spPr>
                </pic:pic>
              </a:graphicData>
            </a:graphic>
          </wp:inline>
        </w:drawing>
      </w:r>
    </w:p>
    <w:p w14:paraId="412D706E" w14:textId="77777777" w:rsidR="00666E3D" w:rsidRDefault="00666E3D" w:rsidP="00666E3D">
      <w:pPr>
        <w:pStyle w:val="MNewsTextAbstand"/>
      </w:pPr>
    </w:p>
    <w:p w14:paraId="29A6CFFA" w14:textId="77777777" w:rsidR="000E11DD" w:rsidRPr="000E11DD" w:rsidRDefault="000E11DD" w:rsidP="000E11DD">
      <w:pPr>
        <w:pStyle w:val="MNewsTextAbstand"/>
        <w:rPr>
          <w:b/>
          <w:bCs/>
          <w:lang w:val="fr-FR"/>
        </w:rPr>
      </w:pPr>
      <w:r w:rsidRPr="000E11DD">
        <w:rPr>
          <w:b/>
          <w:bCs/>
          <w:lang w:val="fr-FR"/>
        </w:rPr>
        <w:t xml:space="preserve">Contrôle avancé du </w:t>
      </w:r>
      <w:proofErr w:type="spellStart"/>
      <w:r w:rsidRPr="000E11DD">
        <w:rPr>
          <w:b/>
          <w:bCs/>
          <w:lang w:val="fr-FR"/>
        </w:rPr>
        <w:t>timecode</w:t>
      </w:r>
      <w:proofErr w:type="spellEnd"/>
      <w:r w:rsidRPr="000E11DD">
        <w:rPr>
          <w:b/>
          <w:bCs/>
          <w:lang w:val="fr-FR"/>
        </w:rPr>
        <w:t xml:space="preserve"> avec sorties LTC multiples</w:t>
      </w:r>
    </w:p>
    <w:p w14:paraId="5B9CCA5E" w14:textId="2A0E8612" w:rsidR="000E11DD" w:rsidRPr="000E11DD" w:rsidRDefault="000E11DD" w:rsidP="000E11DD">
      <w:pPr>
        <w:pStyle w:val="MNewsTextAbstand"/>
        <w:rPr>
          <w:lang w:val="fr-FR"/>
        </w:rPr>
      </w:pPr>
      <w:r w:rsidRPr="000E11DD">
        <w:rPr>
          <w:lang w:val="fr-FR"/>
        </w:rPr>
        <w:t>Les productions complexes reposent souvent sur plusieurs systèmes tiers pour l’éclairage, la vidéo, les effets spéciaux et l’automatisation. Ovation 12 introduit la génération native de plusieurs sorties LTC, permettant aux opérateurs de piloter plusieurs séquenceurs externes simultanément</w:t>
      </w:r>
      <w:r>
        <w:rPr>
          <w:lang w:val="fr-FR"/>
        </w:rPr>
        <w:t>,</w:t>
      </w:r>
      <w:r w:rsidRPr="000E11DD">
        <w:rPr>
          <w:lang w:val="fr-FR"/>
        </w:rPr>
        <w:t xml:space="preserve"> chacun avec son propre </w:t>
      </w:r>
      <w:proofErr w:type="spellStart"/>
      <w:r w:rsidRPr="000E11DD">
        <w:rPr>
          <w:lang w:val="fr-FR"/>
        </w:rPr>
        <w:t>timecode</w:t>
      </w:r>
      <w:proofErr w:type="spellEnd"/>
      <w:r w:rsidRPr="000E11DD">
        <w:rPr>
          <w:lang w:val="fr-FR"/>
        </w:rPr>
        <w:t xml:space="preserve"> indépendant.</w:t>
      </w:r>
    </w:p>
    <w:p w14:paraId="290C5F54" w14:textId="77777777" w:rsidR="000E11DD" w:rsidRPr="000E11DD" w:rsidRDefault="000E11DD" w:rsidP="000E11DD">
      <w:pPr>
        <w:pStyle w:val="MNewsTextAbstand"/>
        <w:rPr>
          <w:lang w:val="fr-FR"/>
        </w:rPr>
      </w:pPr>
      <w:r w:rsidRPr="000E11DD">
        <w:rPr>
          <w:lang w:val="fr-FR"/>
        </w:rPr>
        <w:t xml:space="preserve">Le LTC peut être routé vers n’importe quelle sortie audio, généré à n’importe quel </w:t>
      </w:r>
      <w:proofErr w:type="spellStart"/>
      <w:r w:rsidRPr="000E11DD">
        <w:rPr>
          <w:lang w:val="fr-FR"/>
        </w:rPr>
        <w:t>framerate</w:t>
      </w:r>
      <w:proofErr w:type="spellEnd"/>
      <w:r w:rsidRPr="000E11DD">
        <w:rPr>
          <w:lang w:val="fr-FR"/>
        </w:rPr>
        <w:t xml:space="preserve"> et sourcé de manière flexible depuis le temps du show, des listes de </w:t>
      </w:r>
      <w:proofErr w:type="spellStart"/>
      <w:r w:rsidRPr="000E11DD">
        <w:rPr>
          <w:lang w:val="fr-FR"/>
        </w:rPr>
        <w:t>cues</w:t>
      </w:r>
      <w:proofErr w:type="spellEnd"/>
      <w:r w:rsidRPr="000E11DD">
        <w:rPr>
          <w:lang w:val="fr-FR"/>
        </w:rPr>
        <w:t xml:space="preserve"> ou des </w:t>
      </w:r>
      <w:proofErr w:type="spellStart"/>
      <w:r w:rsidRPr="000E11DD">
        <w:rPr>
          <w:lang w:val="fr-FR"/>
        </w:rPr>
        <w:t>cues</w:t>
      </w:r>
      <w:proofErr w:type="spellEnd"/>
      <w:r w:rsidRPr="000E11DD">
        <w:rPr>
          <w:lang w:val="fr-FR"/>
        </w:rPr>
        <w:t xml:space="preserve"> individuelles. Les affichages de </w:t>
      </w:r>
      <w:proofErr w:type="spellStart"/>
      <w:r w:rsidRPr="000E11DD">
        <w:rPr>
          <w:lang w:val="fr-FR"/>
        </w:rPr>
        <w:t>timecode</w:t>
      </w:r>
      <w:proofErr w:type="spellEnd"/>
      <w:r w:rsidRPr="000E11DD">
        <w:rPr>
          <w:lang w:val="fr-FR"/>
        </w:rPr>
        <w:t xml:space="preserve"> peuvent être placés n’importe où sur l’écran de l’opérateur, offrant une visibilité claire et en temps réel dans les environnements critiques.</w:t>
      </w:r>
    </w:p>
    <w:p w14:paraId="5AB1D190" w14:textId="77777777" w:rsidR="000E11DD" w:rsidRPr="000E11DD" w:rsidRDefault="000E11DD" w:rsidP="000E11DD">
      <w:pPr>
        <w:pStyle w:val="MNewsTextAbstand"/>
        <w:rPr>
          <w:lang w:val="fr-FR"/>
        </w:rPr>
      </w:pPr>
      <w:r w:rsidRPr="000E11DD">
        <w:rPr>
          <w:lang w:val="fr-FR"/>
        </w:rPr>
        <w:t>Cette nouvelle fonctionnalité élimine les solutions de contournement et simplifie considérablement la synchronisation dans les productions multi-systèmes à grande échelle.</w:t>
      </w:r>
    </w:p>
    <w:p w14:paraId="2FD8D96A" w14:textId="7D330F02" w:rsidR="00666E3D" w:rsidRPr="000D7FB1" w:rsidRDefault="00C60E70" w:rsidP="000D7FB1">
      <w:pPr>
        <w:pStyle w:val="MNewsTextAbstand"/>
      </w:pPr>
      <w:r w:rsidRPr="008C72AB">
        <w:rPr>
          <w:noProof/>
        </w:rPr>
        <w:drawing>
          <wp:inline distT="0" distB="0" distL="0" distR="0" wp14:anchorId="321B43EC" wp14:editId="39F44D6A">
            <wp:extent cx="5795645" cy="1871523"/>
            <wp:effectExtent l="0" t="0" r="0" b="0"/>
            <wp:docPr id="344329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29657" name="drawing"/>
                    <pic:cNvPicPr/>
                  </pic:nvPicPr>
                  <pic:blipFill>
                    <a:blip r:embed="rId13"/>
                    <a:srcRect l="346" r="346"/>
                    <a:stretch>
                      <a:fillRect/>
                    </a:stretch>
                  </pic:blipFill>
                  <pic:spPr bwMode="auto">
                    <a:xfrm>
                      <a:off x="0" y="0"/>
                      <a:ext cx="5795645" cy="1871523"/>
                    </a:xfrm>
                    <a:prstGeom prst="rect">
                      <a:avLst/>
                    </a:prstGeom>
                    <a:ln>
                      <a:noFill/>
                    </a:ln>
                    <a:extLst>
                      <a:ext uri="{53640926-AAD7-44D8-BBD7-CCE9431645EC}">
                        <a14:shadowObscured xmlns:a14="http://schemas.microsoft.com/office/drawing/2010/main"/>
                      </a:ext>
                    </a:extLst>
                  </pic:spPr>
                </pic:pic>
              </a:graphicData>
            </a:graphic>
          </wp:inline>
        </w:drawing>
      </w:r>
    </w:p>
    <w:p w14:paraId="45C21958" w14:textId="77777777" w:rsidR="00666E3D" w:rsidRDefault="00666E3D" w:rsidP="000D7FB1">
      <w:pPr>
        <w:pStyle w:val="MNewsTextAbstand"/>
        <w:rPr>
          <w:b/>
          <w:bCs/>
        </w:rPr>
      </w:pPr>
    </w:p>
    <w:p w14:paraId="05434252" w14:textId="77777777" w:rsidR="000E11DD" w:rsidRPr="000E11DD" w:rsidRDefault="000E11DD" w:rsidP="000E11DD">
      <w:pPr>
        <w:pStyle w:val="MNewsTextAbstand"/>
        <w:rPr>
          <w:b/>
          <w:bCs/>
          <w:lang w:val="fr-FR"/>
        </w:rPr>
      </w:pPr>
      <w:r w:rsidRPr="000E11DD">
        <w:rPr>
          <w:b/>
          <w:bCs/>
          <w:lang w:val="fr-FR"/>
        </w:rPr>
        <w:t xml:space="preserve">Automatisation bidirectionnelle avec </w:t>
      </w:r>
      <w:proofErr w:type="spellStart"/>
      <w:r w:rsidRPr="000E11DD">
        <w:rPr>
          <w:b/>
          <w:bCs/>
          <w:lang w:val="fr-FR"/>
        </w:rPr>
        <w:t>Pyramix</w:t>
      </w:r>
      <w:proofErr w:type="spellEnd"/>
    </w:p>
    <w:p w14:paraId="2702FD06" w14:textId="77777777" w:rsidR="000E11DD" w:rsidRPr="000E11DD" w:rsidRDefault="000E11DD" w:rsidP="000E11DD">
      <w:pPr>
        <w:pStyle w:val="MNewsTextAbstand"/>
        <w:rPr>
          <w:lang w:val="fr-FR"/>
        </w:rPr>
      </w:pPr>
      <w:r w:rsidRPr="000E11DD">
        <w:rPr>
          <w:lang w:val="fr-FR"/>
        </w:rPr>
        <w:t xml:space="preserve">Ovation et </w:t>
      </w:r>
      <w:proofErr w:type="spellStart"/>
      <w:r w:rsidRPr="000E11DD">
        <w:rPr>
          <w:lang w:val="fr-FR"/>
        </w:rPr>
        <w:t>Pyramix</w:t>
      </w:r>
      <w:proofErr w:type="spellEnd"/>
      <w:r w:rsidRPr="000E11DD">
        <w:rPr>
          <w:lang w:val="fr-FR"/>
        </w:rPr>
        <w:t xml:space="preserve"> forment depuis longtemps un écosystème puissant, permettant aux concepteurs sonores de créer du contenu dans </w:t>
      </w:r>
      <w:proofErr w:type="spellStart"/>
      <w:r w:rsidRPr="000E11DD">
        <w:rPr>
          <w:lang w:val="fr-FR"/>
        </w:rPr>
        <w:t>Pyramix</w:t>
      </w:r>
      <w:proofErr w:type="spellEnd"/>
      <w:r w:rsidRPr="000E11DD">
        <w:rPr>
          <w:lang w:val="fr-FR"/>
        </w:rPr>
        <w:t xml:space="preserve"> et de le publier vers Ovation en une seule opération. Ovation 12 renforce cette intégration avec un échange d’automatisation entièrement bidirectionnel.</w:t>
      </w:r>
    </w:p>
    <w:p w14:paraId="38B1A606" w14:textId="0A501074" w:rsidR="000E11DD" w:rsidRPr="000E11DD" w:rsidRDefault="000E11DD" w:rsidP="000E11DD">
      <w:pPr>
        <w:pStyle w:val="MNewsTextAbstand"/>
        <w:rPr>
          <w:lang w:val="fr-FR"/>
        </w:rPr>
      </w:pPr>
      <w:r w:rsidRPr="000E11DD">
        <w:rPr>
          <w:lang w:val="fr-FR"/>
        </w:rPr>
        <w:t xml:space="preserve">Les données d’automation peuvent désormais circuler dans les deux sens entre Ovation et </w:t>
      </w:r>
      <w:proofErr w:type="spellStart"/>
      <w:r w:rsidRPr="000E11DD">
        <w:rPr>
          <w:lang w:val="fr-FR"/>
        </w:rPr>
        <w:t>Pyramix</w:t>
      </w:r>
      <w:proofErr w:type="spellEnd"/>
      <w:r w:rsidRPr="000E11DD">
        <w:rPr>
          <w:lang w:val="fr-FR"/>
        </w:rPr>
        <w:t xml:space="preserve">, permettant aux ingénieurs d’affiner les </w:t>
      </w:r>
      <w:proofErr w:type="spellStart"/>
      <w:r w:rsidRPr="000E11DD">
        <w:rPr>
          <w:lang w:val="fr-FR"/>
        </w:rPr>
        <w:t>cues</w:t>
      </w:r>
      <w:proofErr w:type="spellEnd"/>
      <w:r w:rsidRPr="000E11DD">
        <w:rPr>
          <w:lang w:val="fr-FR"/>
        </w:rPr>
        <w:t xml:space="preserve"> dans </w:t>
      </w:r>
      <w:proofErr w:type="spellStart"/>
      <w:r w:rsidRPr="000E11DD">
        <w:rPr>
          <w:lang w:val="fr-FR"/>
        </w:rPr>
        <w:t>Pyramix</w:t>
      </w:r>
      <w:proofErr w:type="spellEnd"/>
      <w:r w:rsidRPr="000E11DD">
        <w:rPr>
          <w:lang w:val="fr-FR"/>
        </w:rPr>
        <w:t xml:space="preserve"> pendant les répétitions et de les renvoyer de manière transparente dans l’environnement de spectacle</w:t>
      </w:r>
      <w:r>
        <w:rPr>
          <w:lang w:val="fr-FR"/>
        </w:rPr>
        <w:t>,</w:t>
      </w:r>
      <w:r w:rsidRPr="000E11DD">
        <w:rPr>
          <w:lang w:val="fr-FR"/>
        </w:rPr>
        <w:t xml:space="preserve"> sans perte de détails d’automation. Cette évolution offre une flexibilité inédite pour adapter les productions jusqu’au dernier moment.</w:t>
      </w:r>
    </w:p>
    <w:p w14:paraId="29DEC79D" w14:textId="6CD96D8A" w:rsidR="00EF07B8" w:rsidRPr="000D7FB1" w:rsidRDefault="00533F93" w:rsidP="000D7FB1">
      <w:pPr>
        <w:pStyle w:val="MNewsTextAbstand"/>
        <w:rPr>
          <w:b/>
          <w:bCs/>
        </w:rPr>
      </w:pPr>
      <w:r w:rsidRPr="008C72AB">
        <w:rPr>
          <w:noProof/>
        </w:rPr>
        <w:lastRenderedPageBreak/>
        <w:drawing>
          <wp:inline distT="0" distB="0" distL="0" distR="0" wp14:anchorId="6C4C4AC8" wp14:editId="69C9EBDD">
            <wp:extent cx="5840358" cy="3023002"/>
            <wp:effectExtent l="0" t="0" r="1905" b="0"/>
            <wp:docPr id="422527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7665" name="drawing"/>
                    <pic:cNvPicPr/>
                  </pic:nvPicPr>
                  <pic:blipFill>
                    <a:blip r:embed="rId14"/>
                    <a:stretch>
                      <a:fillRect/>
                    </a:stretch>
                  </pic:blipFill>
                  <pic:spPr>
                    <a:xfrm>
                      <a:off x="0" y="0"/>
                      <a:ext cx="5840358" cy="3023002"/>
                    </a:xfrm>
                    <a:prstGeom prst="rect">
                      <a:avLst/>
                    </a:prstGeom>
                  </pic:spPr>
                </pic:pic>
              </a:graphicData>
            </a:graphic>
          </wp:inline>
        </w:drawing>
      </w:r>
    </w:p>
    <w:p w14:paraId="2FAE20A8" w14:textId="77777777" w:rsidR="00B919FE" w:rsidRDefault="00B919FE" w:rsidP="00B919FE">
      <w:pPr>
        <w:pStyle w:val="MNewsTextAbstand"/>
        <w:rPr>
          <w:b/>
          <w:bCs/>
        </w:rPr>
      </w:pPr>
    </w:p>
    <w:p w14:paraId="3143D367" w14:textId="66BB04A5" w:rsidR="00B919FE" w:rsidRPr="00B919FE" w:rsidRDefault="00B919FE" w:rsidP="00B919FE">
      <w:pPr>
        <w:pStyle w:val="MNewsTextAbstand"/>
        <w:rPr>
          <w:b/>
          <w:bCs/>
          <w:lang w:val="fr-FR"/>
        </w:rPr>
      </w:pPr>
      <w:r w:rsidRPr="00B919FE">
        <w:rPr>
          <w:b/>
          <w:bCs/>
          <w:lang w:val="fr-FR"/>
        </w:rPr>
        <w:t>E/S étendues et marge de performance accrue</w:t>
      </w:r>
    </w:p>
    <w:p w14:paraId="054B8406" w14:textId="77777777" w:rsidR="00B919FE" w:rsidRPr="00B919FE" w:rsidRDefault="00B919FE" w:rsidP="00B919FE">
      <w:pPr>
        <w:pStyle w:val="MNewsTextAbstand"/>
        <w:rPr>
          <w:lang w:val="fr-FR"/>
        </w:rPr>
      </w:pPr>
      <w:r w:rsidRPr="00B919FE">
        <w:rPr>
          <w:lang w:val="fr-FR"/>
        </w:rPr>
        <w:t xml:space="preserve">Ovation 12 augmente significativement le nombre d’entrées et sorties simultanées disponibles en mode natif dans les éditions ELEMENTS, PRO et PREMIUM, tout en continuant à évoluer vers des capacités extrêmes lorsqu’il est associé à </w:t>
      </w:r>
      <w:proofErr w:type="spellStart"/>
      <w:r w:rsidRPr="00B919FE">
        <w:rPr>
          <w:lang w:val="fr-FR"/>
        </w:rPr>
        <w:t>MassCore</w:t>
      </w:r>
      <w:proofErr w:type="spellEnd"/>
      <w:r w:rsidRPr="00B919FE">
        <w:rPr>
          <w:lang w:val="fr-FR"/>
        </w:rPr>
        <w:t>.</w:t>
      </w:r>
    </w:p>
    <w:p w14:paraId="3D1480D8" w14:textId="77777777" w:rsidR="00B919FE" w:rsidRPr="00B919FE" w:rsidRDefault="00B919FE" w:rsidP="00B919FE">
      <w:pPr>
        <w:pStyle w:val="MNewsTextAbstand"/>
        <w:rPr>
          <w:lang w:val="fr-FR"/>
        </w:rPr>
      </w:pPr>
      <w:r w:rsidRPr="00B919FE">
        <w:rPr>
          <w:lang w:val="fr-FR"/>
        </w:rPr>
        <w:t>Cette extension offre une plus grande marge de manœuvre pour les productions multicanales de grande envergure et renforce la position d’Ovation comme plateforme haute résolution et faible latence, conçue pour les applications les plus exigeantes.</w:t>
      </w:r>
    </w:p>
    <w:tbl>
      <w:tblPr>
        <w:tblW w:w="6048" w:type="dxa"/>
        <w:tblLook w:val="04A0" w:firstRow="1" w:lastRow="0" w:firstColumn="1" w:lastColumn="0" w:noHBand="0" w:noVBand="1"/>
      </w:tblPr>
      <w:tblGrid>
        <w:gridCol w:w="2268"/>
        <w:gridCol w:w="550"/>
        <w:gridCol w:w="550"/>
        <w:gridCol w:w="467"/>
        <w:gridCol w:w="467"/>
        <w:gridCol w:w="550"/>
        <w:gridCol w:w="550"/>
        <w:gridCol w:w="467"/>
        <w:gridCol w:w="467"/>
      </w:tblGrid>
      <w:tr w:rsidR="00413528" w:rsidRPr="00514AB1" w14:paraId="402D0575" w14:textId="77777777" w:rsidTr="00597242">
        <w:trPr>
          <w:trHeight w:val="320"/>
        </w:trPr>
        <w:tc>
          <w:tcPr>
            <w:tcW w:w="2268" w:type="dxa"/>
            <w:tcBorders>
              <w:top w:val="nil"/>
              <w:left w:val="nil"/>
              <w:bottom w:val="nil"/>
              <w:right w:val="nil"/>
            </w:tcBorders>
            <w:noWrap/>
            <w:vAlign w:val="bottom"/>
            <w:hideMark/>
          </w:tcPr>
          <w:p w14:paraId="209015AE" w14:textId="77777777" w:rsidR="00413528" w:rsidRPr="00514AB1" w:rsidRDefault="00413528" w:rsidP="00597242">
            <w:pPr>
              <w:rPr>
                <w:rFonts w:ascii="Arial" w:hAnsi="Arial" w:cs="Arial"/>
                <w:sz w:val="20"/>
                <w:szCs w:val="20"/>
              </w:rPr>
            </w:pPr>
          </w:p>
        </w:tc>
        <w:tc>
          <w:tcPr>
            <w:tcW w:w="1746" w:type="dxa"/>
            <w:gridSpan w:val="4"/>
            <w:tcBorders>
              <w:top w:val="single" w:sz="8" w:space="0" w:color="auto"/>
              <w:left w:val="single" w:sz="8" w:space="0" w:color="auto"/>
              <w:bottom w:val="single" w:sz="4" w:space="0" w:color="auto"/>
              <w:right w:val="single" w:sz="8" w:space="0" w:color="auto"/>
            </w:tcBorders>
            <w:noWrap/>
            <w:vAlign w:val="center"/>
            <w:hideMark/>
          </w:tcPr>
          <w:p w14:paraId="529C6EF4" w14:textId="30295E1D" w:rsidR="00413528" w:rsidRPr="00514AB1" w:rsidRDefault="00B919FE" w:rsidP="00597242">
            <w:pPr>
              <w:jc w:val="center"/>
              <w:rPr>
                <w:rFonts w:ascii="Arial" w:hAnsi="Arial" w:cs="Arial"/>
                <w:b/>
                <w:bCs/>
                <w:color w:val="000000"/>
                <w:sz w:val="20"/>
                <w:szCs w:val="20"/>
              </w:rPr>
            </w:pPr>
            <w:r>
              <w:rPr>
                <w:rFonts w:ascii="Arial" w:hAnsi="Arial" w:cs="Arial"/>
                <w:b/>
                <w:bCs/>
                <w:color w:val="000000"/>
                <w:sz w:val="20"/>
                <w:szCs w:val="20"/>
              </w:rPr>
              <w:t>Avec</w:t>
            </w:r>
            <w:r w:rsidR="00413528" w:rsidRPr="00514AB1">
              <w:rPr>
                <w:rFonts w:ascii="Arial" w:hAnsi="Arial" w:cs="Arial"/>
                <w:b/>
                <w:bCs/>
                <w:color w:val="000000"/>
                <w:sz w:val="20"/>
                <w:szCs w:val="20"/>
              </w:rPr>
              <w:t xml:space="preserve"> </w:t>
            </w:r>
            <w:r w:rsidR="00413528">
              <w:rPr>
                <w:rFonts w:ascii="Arial" w:hAnsi="Arial" w:cs="Arial"/>
                <w:color w:val="000000"/>
                <w:sz w:val="20"/>
                <w:szCs w:val="20"/>
              </w:rPr>
              <w:t>Ovation</w:t>
            </w:r>
            <w:r w:rsidR="00413528" w:rsidRPr="00514AB1">
              <w:rPr>
                <w:rFonts w:ascii="Arial" w:hAnsi="Arial" w:cs="Arial"/>
                <w:color w:val="000000"/>
                <w:sz w:val="20"/>
                <w:szCs w:val="20"/>
              </w:rPr>
              <w:t xml:space="preserve"> 1</w:t>
            </w:r>
            <w:r w:rsidR="00413528">
              <w:rPr>
                <w:rFonts w:ascii="Arial" w:hAnsi="Arial" w:cs="Arial"/>
                <w:color w:val="000000"/>
                <w:sz w:val="20"/>
                <w:szCs w:val="20"/>
              </w:rPr>
              <w:t>2</w:t>
            </w:r>
          </w:p>
        </w:tc>
        <w:tc>
          <w:tcPr>
            <w:tcW w:w="2034" w:type="dxa"/>
            <w:gridSpan w:val="4"/>
            <w:tcBorders>
              <w:top w:val="single" w:sz="8" w:space="0" w:color="auto"/>
              <w:left w:val="nil"/>
              <w:bottom w:val="single" w:sz="4" w:space="0" w:color="auto"/>
              <w:right w:val="single" w:sz="8" w:space="0" w:color="auto"/>
            </w:tcBorders>
            <w:noWrap/>
            <w:vAlign w:val="center"/>
            <w:hideMark/>
          </w:tcPr>
          <w:p w14:paraId="56597010" w14:textId="61B7FBEB" w:rsidR="00413528" w:rsidRPr="00514AB1" w:rsidRDefault="00B919FE" w:rsidP="00597242">
            <w:pPr>
              <w:jc w:val="center"/>
              <w:rPr>
                <w:rFonts w:ascii="Arial" w:hAnsi="Arial" w:cs="Arial"/>
                <w:color w:val="000000"/>
                <w:sz w:val="20"/>
                <w:szCs w:val="20"/>
              </w:rPr>
            </w:pPr>
            <w:r>
              <w:rPr>
                <w:rFonts w:ascii="Arial" w:hAnsi="Arial" w:cs="Arial"/>
                <w:b/>
                <w:bCs/>
                <w:color w:val="000000"/>
                <w:sz w:val="20"/>
                <w:szCs w:val="20"/>
              </w:rPr>
              <w:t>Avant</w:t>
            </w:r>
            <w:r w:rsidR="00413528" w:rsidRPr="00514AB1">
              <w:rPr>
                <w:rFonts w:ascii="Arial" w:hAnsi="Arial" w:cs="Arial"/>
                <w:color w:val="000000"/>
                <w:sz w:val="20"/>
                <w:szCs w:val="20"/>
              </w:rPr>
              <w:t xml:space="preserve"> </w:t>
            </w:r>
            <w:r w:rsidR="00413528">
              <w:rPr>
                <w:rFonts w:ascii="Arial" w:hAnsi="Arial" w:cs="Arial"/>
                <w:color w:val="000000"/>
                <w:sz w:val="20"/>
                <w:szCs w:val="20"/>
              </w:rPr>
              <w:t>Ovation</w:t>
            </w:r>
            <w:r w:rsidR="00413528" w:rsidRPr="00514AB1">
              <w:rPr>
                <w:rFonts w:ascii="Arial" w:hAnsi="Arial" w:cs="Arial"/>
                <w:color w:val="000000"/>
                <w:sz w:val="20"/>
                <w:szCs w:val="20"/>
              </w:rPr>
              <w:t xml:space="preserve"> 1</w:t>
            </w:r>
            <w:r w:rsidR="00413528">
              <w:rPr>
                <w:rFonts w:ascii="Arial" w:hAnsi="Arial" w:cs="Arial"/>
                <w:color w:val="000000"/>
                <w:sz w:val="20"/>
                <w:szCs w:val="20"/>
              </w:rPr>
              <w:t>2</w:t>
            </w:r>
          </w:p>
        </w:tc>
      </w:tr>
      <w:tr w:rsidR="00413528" w:rsidRPr="00514AB1" w14:paraId="0059B204" w14:textId="77777777" w:rsidTr="00597242">
        <w:trPr>
          <w:trHeight w:val="1220"/>
        </w:trPr>
        <w:tc>
          <w:tcPr>
            <w:tcW w:w="2268" w:type="dxa"/>
            <w:tcBorders>
              <w:top w:val="nil"/>
              <w:left w:val="nil"/>
              <w:bottom w:val="nil"/>
              <w:right w:val="nil"/>
            </w:tcBorders>
            <w:noWrap/>
            <w:vAlign w:val="bottom"/>
            <w:hideMark/>
          </w:tcPr>
          <w:p w14:paraId="1A3725B5" w14:textId="77777777" w:rsidR="00413528" w:rsidRPr="00514AB1" w:rsidRDefault="00413528" w:rsidP="00597242">
            <w:pPr>
              <w:jc w:val="center"/>
              <w:rPr>
                <w:rFonts w:ascii="Arial" w:hAnsi="Arial" w:cs="Arial"/>
                <w:color w:val="000000"/>
                <w:sz w:val="20"/>
                <w:szCs w:val="20"/>
              </w:rPr>
            </w:pPr>
          </w:p>
        </w:tc>
        <w:tc>
          <w:tcPr>
            <w:tcW w:w="262" w:type="dxa"/>
            <w:tcBorders>
              <w:top w:val="nil"/>
              <w:left w:val="single" w:sz="8" w:space="0" w:color="auto"/>
              <w:bottom w:val="single" w:sz="4" w:space="0" w:color="auto"/>
              <w:right w:val="dashed" w:sz="4" w:space="0" w:color="auto"/>
            </w:tcBorders>
            <w:shd w:val="clear" w:color="000000" w:fill="C1F0C8"/>
            <w:noWrap/>
            <w:textDirection w:val="btLr"/>
            <w:vAlign w:val="center"/>
            <w:hideMark/>
          </w:tcPr>
          <w:p w14:paraId="50AE602D"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C1F0C8"/>
            <w:noWrap/>
            <w:textDirection w:val="btLr"/>
            <w:vAlign w:val="center"/>
            <w:hideMark/>
          </w:tcPr>
          <w:p w14:paraId="4CAC8CDE"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C1F0C8"/>
            <w:noWrap/>
            <w:textDirection w:val="btLr"/>
            <w:vAlign w:val="center"/>
            <w:hideMark/>
          </w:tcPr>
          <w:p w14:paraId="12A4F76B"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C1F0C8"/>
            <w:noWrap/>
            <w:textDirection w:val="btLr"/>
            <w:vAlign w:val="center"/>
            <w:hideMark/>
          </w:tcPr>
          <w:p w14:paraId="5DB48462"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71478C8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44.1/ 48k</w:t>
            </w:r>
          </w:p>
        </w:tc>
        <w:tc>
          <w:tcPr>
            <w:tcW w:w="550" w:type="dxa"/>
            <w:tcBorders>
              <w:top w:val="nil"/>
              <w:left w:val="nil"/>
              <w:bottom w:val="single" w:sz="4" w:space="0" w:color="auto"/>
              <w:right w:val="dashed" w:sz="4" w:space="0" w:color="auto"/>
            </w:tcBorders>
            <w:shd w:val="clear" w:color="000000" w:fill="FBE2D5"/>
            <w:noWrap/>
            <w:textDirection w:val="btLr"/>
            <w:vAlign w:val="center"/>
            <w:hideMark/>
          </w:tcPr>
          <w:p w14:paraId="60E5EFBA"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88.2/ 96k</w:t>
            </w:r>
          </w:p>
        </w:tc>
        <w:tc>
          <w:tcPr>
            <w:tcW w:w="467" w:type="dxa"/>
            <w:tcBorders>
              <w:top w:val="nil"/>
              <w:left w:val="nil"/>
              <w:bottom w:val="single" w:sz="4" w:space="0" w:color="auto"/>
              <w:right w:val="dashed" w:sz="4" w:space="0" w:color="auto"/>
            </w:tcBorders>
            <w:shd w:val="clear" w:color="000000" w:fill="FBE2D5"/>
            <w:noWrap/>
            <w:textDirection w:val="btLr"/>
            <w:vAlign w:val="center"/>
            <w:hideMark/>
          </w:tcPr>
          <w:p w14:paraId="702A9BB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176.4/ 192k</w:t>
            </w:r>
          </w:p>
        </w:tc>
        <w:tc>
          <w:tcPr>
            <w:tcW w:w="467" w:type="dxa"/>
            <w:tcBorders>
              <w:top w:val="nil"/>
              <w:left w:val="nil"/>
              <w:bottom w:val="single" w:sz="4" w:space="0" w:color="auto"/>
              <w:right w:val="single" w:sz="8" w:space="0" w:color="auto"/>
            </w:tcBorders>
            <w:shd w:val="clear" w:color="000000" w:fill="FBE2D5"/>
            <w:noWrap/>
            <w:textDirection w:val="btLr"/>
            <w:vAlign w:val="center"/>
            <w:hideMark/>
          </w:tcPr>
          <w:p w14:paraId="2DA3CF6F"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 xml:space="preserve"> </w:t>
            </w:r>
            <w:r w:rsidRPr="00514AB1">
              <w:rPr>
                <w:rFonts w:ascii="Arial" w:hAnsi="Arial" w:cs="Arial"/>
                <w:color w:val="000000"/>
                <w:sz w:val="20"/>
                <w:szCs w:val="20"/>
              </w:rPr>
              <w:t>DSD/ DXD</w:t>
            </w:r>
          </w:p>
        </w:tc>
      </w:tr>
      <w:tr w:rsidR="00413528" w:rsidRPr="00514AB1" w14:paraId="4135AC64" w14:textId="77777777" w:rsidTr="00597242">
        <w:trPr>
          <w:trHeight w:val="320"/>
        </w:trPr>
        <w:tc>
          <w:tcPr>
            <w:tcW w:w="2268" w:type="dxa"/>
            <w:tcBorders>
              <w:top w:val="single" w:sz="4" w:space="0" w:color="auto"/>
              <w:left w:val="single" w:sz="4" w:space="0" w:color="auto"/>
              <w:bottom w:val="single" w:sz="4" w:space="0" w:color="auto"/>
              <w:right w:val="single" w:sz="8" w:space="0" w:color="auto"/>
            </w:tcBorders>
            <w:noWrap/>
            <w:vAlign w:val="center"/>
            <w:hideMark/>
          </w:tcPr>
          <w:p w14:paraId="0C0EEB05"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PREMIUM</w:t>
            </w:r>
          </w:p>
        </w:tc>
        <w:tc>
          <w:tcPr>
            <w:tcW w:w="262" w:type="dxa"/>
            <w:tcBorders>
              <w:top w:val="nil"/>
              <w:left w:val="nil"/>
              <w:bottom w:val="single" w:sz="4" w:space="0" w:color="auto"/>
              <w:right w:val="dashed" w:sz="4" w:space="0" w:color="auto"/>
            </w:tcBorders>
            <w:shd w:val="clear" w:color="000000" w:fill="C1F0C8"/>
            <w:noWrap/>
            <w:vAlign w:val="center"/>
            <w:hideMark/>
          </w:tcPr>
          <w:p w14:paraId="335ACEB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256</w:t>
            </w:r>
          </w:p>
        </w:tc>
        <w:tc>
          <w:tcPr>
            <w:tcW w:w="550" w:type="dxa"/>
            <w:tcBorders>
              <w:top w:val="nil"/>
              <w:left w:val="nil"/>
              <w:bottom w:val="single" w:sz="4" w:space="0" w:color="auto"/>
              <w:right w:val="dashed" w:sz="4" w:space="0" w:color="auto"/>
            </w:tcBorders>
            <w:shd w:val="clear" w:color="000000" w:fill="C1F0C8"/>
            <w:noWrap/>
            <w:vAlign w:val="center"/>
            <w:hideMark/>
          </w:tcPr>
          <w:p w14:paraId="3DB86D8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144</w:t>
            </w:r>
          </w:p>
        </w:tc>
        <w:tc>
          <w:tcPr>
            <w:tcW w:w="467" w:type="dxa"/>
            <w:tcBorders>
              <w:top w:val="nil"/>
              <w:left w:val="nil"/>
              <w:bottom w:val="single" w:sz="4" w:space="0" w:color="auto"/>
              <w:right w:val="dashed" w:sz="4" w:space="0" w:color="auto"/>
            </w:tcBorders>
            <w:shd w:val="clear" w:color="000000" w:fill="C1F0C8"/>
            <w:noWrap/>
            <w:vAlign w:val="center"/>
            <w:hideMark/>
          </w:tcPr>
          <w:p w14:paraId="674DB93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72</w:t>
            </w:r>
          </w:p>
        </w:tc>
        <w:tc>
          <w:tcPr>
            <w:tcW w:w="467" w:type="dxa"/>
            <w:tcBorders>
              <w:top w:val="nil"/>
              <w:left w:val="nil"/>
              <w:bottom w:val="single" w:sz="4" w:space="0" w:color="auto"/>
              <w:right w:val="single" w:sz="8" w:space="0" w:color="auto"/>
            </w:tcBorders>
            <w:shd w:val="clear" w:color="000000" w:fill="C1F0C8"/>
            <w:noWrap/>
            <w:vAlign w:val="center"/>
            <w:hideMark/>
          </w:tcPr>
          <w:p w14:paraId="2BC6DF2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36</w:t>
            </w:r>
          </w:p>
        </w:tc>
        <w:tc>
          <w:tcPr>
            <w:tcW w:w="550" w:type="dxa"/>
            <w:tcBorders>
              <w:top w:val="nil"/>
              <w:left w:val="nil"/>
              <w:bottom w:val="single" w:sz="4" w:space="0" w:color="auto"/>
              <w:right w:val="dashed" w:sz="4" w:space="0" w:color="auto"/>
            </w:tcBorders>
            <w:shd w:val="clear" w:color="000000" w:fill="FBE2D5"/>
            <w:noWrap/>
            <w:vAlign w:val="center"/>
            <w:hideMark/>
          </w:tcPr>
          <w:p w14:paraId="076AA3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128</w:t>
            </w:r>
          </w:p>
        </w:tc>
        <w:tc>
          <w:tcPr>
            <w:tcW w:w="550" w:type="dxa"/>
            <w:tcBorders>
              <w:top w:val="nil"/>
              <w:left w:val="nil"/>
              <w:bottom w:val="single" w:sz="4" w:space="0" w:color="auto"/>
              <w:right w:val="dashed" w:sz="4" w:space="0" w:color="auto"/>
            </w:tcBorders>
            <w:shd w:val="clear" w:color="000000" w:fill="FBE2D5"/>
            <w:noWrap/>
            <w:vAlign w:val="center"/>
            <w:hideMark/>
          </w:tcPr>
          <w:p w14:paraId="210757D4"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467" w:type="dxa"/>
            <w:tcBorders>
              <w:top w:val="nil"/>
              <w:left w:val="nil"/>
              <w:bottom w:val="single" w:sz="4" w:space="0" w:color="auto"/>
              <w:right w:val="dashed" w:sz="4" w:space="0" w:color="auto"/>
            </w:tcBorders>
            <w:shd w:val="clear" w:color="000000" w:fill="FBE2D5"/>
            <w:noWrap/>
            <w:vAlign w:val="center"/>
            <w:hideMark/>
          </w:tcPr>
          <w:p w14:paraId="31C122D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32</w:t>
            </w:r>
          </w:p>
        </w:tc>
        <w:tc>
          <w:tcPr>
            <w:tcW w:w="467" w:type="dxa"/>
            <w:tcBorders>
              <w:top w:val="nil"/>
              <w:left w:val="nil"/>
              <w:bottom w:val="single" w:sz="4" w:space="0" w:color="auto"/>
              <w:right w:val="single" w:sz="8" w:space="0" w:color="auto"/>
            </w:tcBorders>
            <w:shd w:val="clear" w:color="000000" w:fill="FBE2D5"/>
            <w:noWrap/>
            <w:vAlign w:val="center"/>
            <w:hideMark/>
          </w:tcPr>
          <w:p w14:paraId="5962DFE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16</w:t>
            </w:r>
          </w:p>
        </w:tc>
      </w:tr>
      <w:tr w:rsidR="00413528" w:rsidRPr="00514AB1" w14:paraId="1EA7D1D5" w14:textId="77777777" w:rsidTr="00597242">
        <w:trPr>
          <w:trHeight w:val="320"/>
        </w:trPr>
        <w:tc>
          <w:tcPr>
            <w:tcW w:w="2268" w:type="dxa"/>
            <w:tcBorders>
              <w:top w:val="nil"/>
              <w:left w:val="single" w:sz="4" w:space="0" w:color="auto"/>
              <w:bottom w:val="single" w:sz="4" w:space="0" w:color="auto"/>
              <w:right w:val="single" w:sz="8" w:space="0" w:color="auto"/>
            </w:tcBorders>
            <w:noWrap/>
            <w:vAlign w:val="center"/>
            <w:hideMark/>
          </w:tcPr>
          <w:p w14:paraId="432346A1"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PRO</w:t>
            </w:r>
          </w:p>
        </w:tc>
        <w:tc>
          <w:tcPr>
            <w:tcW w:w="262" w:type="dxa"/>
            <w:tcBorders>
              <w:top w:val="nil"/>
              <w:left w:val="nil"/>
              <w:bottom w:val="single" w:sz="4" w:space="0" w:color="auto"/>
              <w:right w:val="dashed" w:sz="4" w:space="0" w:color="auto"/>
            </w:tcBorders>
            <w:shd w:val="clear" w:color="000000" w:fill="C1F0C8"/>
            <w:noWrap/>
            <w:vAlign w:val="center"/>
            <w:hideMark/>
          </w:tcPr>
          <w:p w14:paraId="3B5961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550" w:type="dxa"/>
            <w:tcBorders>
              <w:top w:val="nil"/>
              <w:left w:val="nil"/>
              <w:bottom w:val="single" w:sz="4" w:space="0" w:color="auto"/>
              <w:right w:val="dashed" w:sz="4" w:space="0" w:color="auto"/>
            </w:tcBorders>
            <w:shd w:val="clear" w:color="000000" w:fill="C1F0C8"/>
            <w:noWrap/>
            <w:vAlign w:val="center"/>
            <w:hideMark/>
          </w:tcPr>
          <w:p w14:paraId="6EF31C79"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4" w:space="0" w:color="auto"/>
              <w:right w:val="dashed" w:sz="4" w:space="0" w:color="auto"/>
            </w:tcBorders>
            <w:shd w:val="clear" w:color="000000" w:fill="C1F0C8"/>
            <w:noWrap/>
            <w:vAlign w:val="center"/>
            <w:hideMark/>
          </w:tcPr>
          <w:p w14:paraId="7F982F3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single" w:sz="8" w:space="0" w:color="auto"/>
            </w:tcBorders>
            <w:shd w:val="clear" w:color="000000" w:fill="C1F0C8"/>
            <w:noWrap/>
            <w:vAlign w:val="center"/>
            <w:hideMark/>
          </w:tcPr>
          <w:p w14:paraId="0C5821F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550" w:type="dxa"/>
            <w:tcBorders>
              <w:top w:val="nil"/>
              <w:left w:val="nil"/>
              <w:bottom w:val="single" w:sz="4" w:space="0" w:color="auto"/>
              <w:right w:val="dashed" w:sz="4" w:space="0" w:color="auto"/>
            </w:tcBorders>
            <w:shd w:val="clear" w:color="000000" w:fill="FBE2D5"/>
            <w:noWrap/>
            <w:vAlign w:val="center"/>
            <w:hideMark/>
          </w:tcPr>
          <w:p w14:paraId="2C1C5B4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550" w:type="dxa"/>
            <w:tcBorders>
              <w:top w:val="nil"/>
              <w:left w:val="nil"/>
              <w:bottom w:val="single" w:sz="4" w:space="0" w:color="auto"/>
              <w:right w:val="dashed" w:sz="4" w:space="0" w:color="auto"/>
            </w:tcBorders>
            <w:shd w:val="clear" w:color="000000" w:fill="FBE2D5"/>
            <w:noWrap/>
            <w:vAlign w:val="center"/>
            <w:hideMark/>
          </w:tcPr>
          <w:p w14:paraId="56E7468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467" w:type="dxa"/>
            <w:tcBorders>
              <w:top w:val="nil"/>
              <w:left w:val="nil"/>
              <w:bottom w:val="single" w:sz="4" w:space="0" w:color="auto"/>
              <w:right w:val="dashed" w:sz="4" w:space="0" w:color="auto"/>
            </w:tcBorders>
            <w:shd w:val="clear" w:color="000000" w:fill="FBE2D5"/>
            <w:noWrap/>
            <w:vAlign w:val="center"/>
            <w:hideMark/>
          </w:tcPr>
          <w:p w14:paraId="018993AC"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4" w:space="0" w:color="auto"/>
              <w:right w:val="single" w:sz="8" w:space="0" w:color="auto"/>
            </w:tcBorders>
            <w:shd w:val="clear" w:color="000000" w:fill="FBE2D5"/>
            <w:noWrap/>
            <w:vAlign w:val="center"/>
            <w:hideMark/>
          </w:tcPr>
          <w:p w14:paraId="15F2CCCF"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8</w:t>
            </w:r>
          </w:p>
        </w:tc>
      </w:tr>
      <w:tr w:rsidR="00413528" w:rsidRPr="00514AB1" w14:paraId="080EBFAE"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272992F0" w14:textId="77777777" w:rsidR="00413528" w:rsidRPr="00514AB1" w:rsidRDefault="00413528" w:rsidP="00597242">
            <w:pPr>
              <w:rPr>
                <w:rFonts w:ascii="Arial" w:hAnsi="Arial" w:cs="Arial"/>
                <w:color w:val="000000"/>
                <w:sz w:val="20"/>
                <w:szCs w:val="20"/>
              </w:rPr>
            </w:pPr>
            <w:r>
              <w:rPr>
                <w:rFonts w:ascii="Arial" w:hAnsi="Arial" w:cs="Arial"/>
                <w:color w:val="000000"/>
                <w:sz w:val="20"/>
                <w:szCs w:val="20"/>
              </w:rPr>
              <w:t>Ovation</w:t>
            </w:r>
            <w:r w:rsidRPr="00514AB1">
              <w:rPr>
                <w:rFonts w:ascii="Arial" w:hAnsi="Arial" w:cs="Arial"/>
                <w:color w:val="000000"/>
                <w:sz w:val="20"/>
                <w:szCs w:val="20"/>
              </w:rPr>
              <w:t xml:space="preserve"> ELEMENTS</w:t>
            </w:r>
          </w:p>
        </w:tc>
        <w:tc>
          <w:tcPr>
            <w:tcW w:w="262" w:type="dxa"/>
            <w:tcBorders>
              <w:top w:val="nil"/>
              <w:left w:val="nil"/>
              <w:bottom w:val="single" w:sz="8" w:space="0" w:color="auto"/>
              <w:right w:val="dashed" w:sz="4" w:space="0" w:color="auto"/>
            </w:tcBorders>
            <w:shd w:val="clear" w:color="000000" w:fill="FBE2D5"/>
            <w:noWrap/>
            <w:vAlign w:val="center"/>
            <w:hideMark/>
          </w:tcPr>
          <w:p w14:paraId="00F6C603"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1617217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06CAA0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3C4255D"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c>
          <w:tcPr>
            <w:tcW w:w="550" w:type="dxa"/>
            <w:tcBorders>
              <w:top w:val="nil"/>
              <w:left w:val="nil"/>
              <w:bottom w:val="single" w:sz="8" w:space="0" w:color="auto"/>
              <w:right w:val="dashed" w:sz="4" w:space="0" w:color="auto"/>
            </w:tcBorders>
            <w:shd w:val="clear" w:color="000000" w:fill="FBE2D5"/>
            <w:noWrap/>
            <w:vAlign w:val="center"/>
            <w:hideMark/>
          </w:tcPr>
          <w:p w14:paraId="06DA3190"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48</w:t>
            </w:r>
          </w:p>
        </w:tc>
        <w:tc>
          <w:tcPr>
            <w:tcW w:w="550" w:type="dxa"/>
            <w:tcBorders>
              <w:top w:val="nil"/>
              <w:left w:val="nil"/>
              <w:bottom w:val="single" w:sz="8" w:space="0" w:color="auto"/>
              <w:right w:val="dashed" w:sz="4" w:space="0" w:color="auto"/>
            </w:tcBorders>
            <w:shd w:val="clear" w:color="000000" w:fill="FBE2D5"/>
            <w:noWrap/>
            <w:vAlign w:val="center"/>
            <w:hideMark/>
          </w:tcPr>
          <w:p w14:paraId="7BAC0D7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24</w:t>
            </w:r>
          </w:p>
        </w:tc>
        <w:tc>
          <w:tcPr>
            <w:tcW w:w="467" w:type="dxa"/>
            <w:tcBorders>
              <w:top w:val="nil"/>
              <w:left w:val="nil"/>
              <w:bottom w:val="single" w:sz="8" w:space="0" w:color="auto"/>
              <w:right w:val="dashed" w:sz="4" w:space="0" w:color="auto"/>
            </w:tcBorders>
            <w:shd w:val="clear" w:color="000000" w:fill="FBE2D5"/>
            <w:noWrap/>
            <w:vAlign w:val="center"/>
            <w:hideMark/>
          </w:tcPr>
          <w:p w14:paraId="128CA7B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12</w:t>
            </w:r>
          </w:p>
        </w:tc>
        <w:tc>
          <w:tcPr>
            <w:tcW w:w="467" w:type="dxa"/>
            <w:tcBorders>
              <w:top w:val="nil"/>
              <w:left w:val="nil"/>
              <w:bottom w:val="single" w:sz="8" w:space="0" w:color="auto"/>
              <w:right w:val="single" w:sz="8" w:space="0" w:color="auto"/>
            </w:tcBorders>
            <w:shd w:val="clear" w:color="000000" w:fill="FBE2D5"/>
            <w:noWrap/>
            <w:vAlign w:val="center"/>
            <w:hideMark/>
          </w:tcPr>
          <w:p w14:paraId="390B7831"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2</w:t>
            </w:r>
          </w:p>
        </w:tc>
      </w:tr>
      <w:tr w:rsidR="00413528" w:rsidRPr="00514AB1" w14:paraId="46E22D71" w14:textId="77777777" w:rsidTr="00597242">
        <w:trPr>
          <w:trHeight w:val="340"/>
        </w:trPr>
        <w:tc>
          <w:tcPr>
            <w:tcW w:w="2268" w:type="dxa"/>
            <w:tcBorders>
              <w:top w:val="nil"/>
              <w:left w:val="single" w:sz="4" w:space="0" w:color="auto"/>
              <w:bottom w:val="single" w:sz="4" w:space="0" w:color="auto"/>
              <w:right w:val="single" w:sz="8" w:space="0" w:color="auto"/>
            </w:tcBorders>
            <w:noWrap/>
            <w:vAlign w:val="center"/>
            <w:hideMark/>
          </w:tcPr>
          <w:p w14:paraId="38DC1B73" w14:textId="77777777" w:rsidR="00413528" w:rsidRPr="00514AB1" w:rsidRDefault="00413528" w:rsidP="00597242">
            <w:pPr>
              <w:rPr>
                <w:rFonts w:ascii="Arial" w:hAnsi="Arial" w:cs="Arial"/>
                <w:color w:val="000000"/>
                <w:sz w:val="20"/>
                <w:szCs w:val="20"/>
              </w:rPr>
            </w:pPr>
            <w:proofErr w:type="spellStart"/>
            <w:r w:rsidRPr="00514AB1">
              <w:rPr>
                <w:rFonts w:ascii="Arial" w:hAnsi="Arial" w:cs="Arial"/>
                <w:color w:val="000000"/>
                <w:sz w:val="20"/>
                <w:szCs w:val="20"/>
              </w:rPr>
              <w:t>MassCore</w:t>
            </w:r>
            <w:proofErr w:type="spellEnd"/>
          </w:p>
        </w:tc>
        <w:tc>
          <w:tcPr>
            <w:tcW w:w="262" w:type="dxa"/>
            <w:tcBorders>
              <w:top w:val="nil"/>
              <w:left w:val="nil"/>
              <w:bottom w:val="single" w:sz="8" w:space="0" w:color="auto"/>
              <w:right w:val="dashed" w:sz="4" w:space="0" w:color="auto"/>
            </w:tcBorders>
            <w:shd w:val="clear" w:color="000000" w:fill="FBE2D5"/>
            <w:noWrap/>
            <w:vAlign w:val="center"/>
            <w:hideMark/>
          </w:tcPr>
          <w:p w14:paraId="6F15EF2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3785A0D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1C780597"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437B2F26"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c>
          <w:tcPr>
            <w:tcW w:w="550" w:type="dxa"/>
            <w:tcBorders>
              <w:top w:val="nil"/>
              <w:left w:val="nil"/>
              <w:bottom w:val="single" w:sz="8" w:space="0" w:color="auto"/>
              <w:right w:val="dashed" w:sz="4" w:space="0" w:color="auto"/>
            </w:tcBorders>
            <w:shd w:val="clear" w:color="000000" w:fill="FBE2D5"/>
            <w:noWrap/>
            <w:vAlign w:val="center"/>
            <w:hideMark/>
          </w:tcPr>
          <w:p w14:paraId="67CC8E9B"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384</w:t>
            </w:r>
          </w:p>
        </w:tc>
        <w:tc>
          <w:tcPr>
            <w:tcW w:w="550" w:type="dxa"/>
            <w:tcBorders>
              <w:top w:val="nil"/>
              <w:left w:val="nil"/>
              <w:bottom w:val="single" w:sz="8" w:space="0" w:color="auto"/>
              <w:right w:val="dashed" w:sz="4" w:space="0" w:color="auto"/>
            </w:tcBorders>
            <w:shd w:val="clear" w:color="000000" w:fill="FBE2D5"/>
            <w:noWrap/>
            <w:vAlign w:val="center"/>
            <w:hideMark/>
          </w:tcPr>
          <w:p w14:paraId="2D87CD4A"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192</w:t>
            </w:r>
          </w:p>
        </w:tc>
        <w:tc>
          <w:tcPr>
            <w:tcW w:w="467" w:type="dxa"/>
            <w:tcBorders>
              <w:top w:val="nil"/>
              <w:left w:val="nil"/>
              <w:bottom w:val="single" w:sz="8" w:space="0" w:color="auto"/>
              <w:right w:val="dashed" w:sz="4" w:space="0" w:color="auto"/>
            </w:tcBorders>
            <w:shd w:val="clear" w:color="000000" w:fill="FBE2D5"/>
            <w:noWrap/>
            <w:vAlign w:val="center"/>
            <w:hideMark/>
          </w:tcPr>
          <w:p w14:paraId="4DDB68D2"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96</w:t>
            </w:r>
          </w:p>
        </w:tc>
        <w:tc>
          <w:tcPr>
            <w:tcW w:w="467" w:type="dxa"/>
            <w:tcBorders>
              <w:top w:val="nil"/>
              <w:left w:val="nil"/>
              <w:bottom w:val="single" w:sz="8" w:space="0" w:color="auto"/>
              <w:right w:val="single" w:sz="8" w:space="0" w:color="auto"/>
            </w:tcBorders>
            <w:shd w:val="clear" w:color="000000" w:fill="FBE2D5"/>
            <w:noWrap/>
            <w:vAlign w:val="center"/>
            <w:hideMark/>
          </w:tcPr>
          <w:p w14:paraId="7551316E" w14:textId="77777777" w:rsidR="00413528" w:rsidRPr="00514AB1" w:rsidRDefault="00413528" w:rsidP="00597242">
            <w:pPr>
              <w:jc w:val="center"/>
              <w:rPr>
                <w:rFonts w:ascii="Arial" w:hAnsi="Arial" w:cs="Arial"/>
                <w:color w:val="000000"/>
                <w:sz w:val="20"/>
                <w:szCs w:val="20"/>
              </w:rPr>
            </w:pPr>
            <w:r w:rsidRPr="00514AB1">
              <w:rPr>
                <w:rFonts w:ascii="Arial" w:hAnsi="Arial" w:cs="Arial"/>
                <w:color w:val="000000"/>
                <w:sz w:val="20"/>
                <w:szCs w:val="20"/>
              </w:rPr>
              <w:t>64</w:t>
            </w:r>
          </w:p>
        </w:tc>
      </w:tr>
    </w:tbl>
    <w:p w14:paraId="4138A232" w14:textId="77777777" w:rsidR="000D7FB1" w:rsidRDefault="000D7FB1" w:rsidP="000D7FB1">
      <w:pPr>
        <w:pStyle w:val="MNewsTextAbstand"/>
      </w:pPr>
    </w:p>
    <w:p w14:paraId="14E29B4C" w14:textId="77777777" w:rsidR="00AA1B5B" w:rsidRPr="00AA1B5B" w:rsidRDefault="00AA1B5B" w:rsidP="00AA1B5B">
      <w:pPr>
        <w:pStyle w:val="MNewsTextAbstand"/>
        <w:rPr>
          <w:lang w:val="fr-FR"/>
        </w:rPr>
      </w:pPr>
      <w:proofErr w:type="spellStart"/>
      <w:r w:rsidRPr="00AA1B5B">
        <w:rPr>
          <w:b/>
          <w:bCs/>
          <w:lang w:val="de-DE"/>
        </w:rPr>
        <w:t>Conçu</w:t>
      </w:r>
      <w:proofErr w:type="spellEnd"/>
      <w:r w:rsidRPr="00AA1B5B">
        <w:rPr>
          <w:b/>
          <w:bCs/>
          <w:lang w:val="de-DE"/>
        </w:rPr>
        <w:t xml:space="preserve"> </w:t>
      </w:r>
      <w:proofErr w:type="spellStart"/>
      <w:r w:rsidRPr="00AA1B5B">
        <w:rPr>
          <w:b/>
          <w:bCs/>
          <w:lang w:val="de-DE"/>
        </w:rPr>
        <w:t>pour</w:t>
      </w:r>
      <w:proofErr w:type="spellEnd"/>
      <w:r w:rsidRPr="00AA1B5B">
        <w:rPr>
          <w:b/>
          <w:bCs/>
          <w:lang w:val="de-DE"/>
        </w:rPr>
        <w:t xml:space="preserve"> </w:t>
      </w:r>
      <w:proofErr w:type="spellStart"/>
      <w:r w:rsidRPr="00AA1B5B">
        <w:rPr>
          <w:b/>
          <w:bCs/>
          <w:lang w:val="de-DE"/>
        </w:rPr>
        <w:t>les</w:t>
      </w:r>
      <w:proofErr w:type="spellEnd"/>
      <w:r w:rsidRPr="00AA1B5B">
        <w:rPr>
          <w:b/>
          <w:bCs/>
          <w:lang w:val="de-DE"/>
        </w:rPr>
        <w:t xml:space="preserve"> </w:t>
      </w:r>
      <w:proofErr w:type="spellStart"/>
      <w:r w:rsidRPr="00AA1B5B">
        <w:rPr>
          <w:b/>
          <w:bCs/>
          <w:lang w:val="de-DE"/>
        </w:rPr>
        <w:t>spectacles</w:t>
      </w:r>
      <w:proofErr w:type="spellEnd"/>
      <w:r w:rsidRPr="00AA1B5B">
        <w:rPr>
          <w:b/>
          <w:bCs/>
          <w:lang w:val="de-DE"/>
        </w:rPr>
        <w:t xml:space="preserve"> </w:t>
      </w:r>
      <w:proofErr w:type="spellStart"/>
      <w:r w:rsidRPr="00AA1B5B">
        <w:rPr>
          <w:b/>
          <w:bCs/>
          <w:lang w:val="de-DE"/>
        </w:rPr>
        <w:t>critiques</w:t>
      </w:r>
      <w:proofErr w:type="spellEnd"/>
      <w:r>
        <w:rPr>
          <w:b/>
          <w:bCs/>
          <w:lang w:val="de-DE"/>
        </w:rPr>
        <w:br/>
      </w:r>
      <w:r w:rsidRPr="00AA1B5B">
        <w:rPr>
          <w:lang w:val="fr-FR"/>
        </w:rPr>
        <w:t xml:space="preserve">Au cœur du système, Ovation reste une solution de lecture entièrement redondante et haute résolution, dotée d’une interface hautement personnalisable, d’un large support de protocoles, d’entrées live et d’outils d’automatisation avancés. L’édition de </w:t>
      </w:r>
      <w:proofErr w:type="spellStart"/>
      <w:r w:rsidRPr="00AA1B5B">
        <w:rPr>
          <w:lang w:val="fr-FR"/>
        </w:rPr>
        <w:t>cues</w:t>
      </w:r>
      <w:proofErr w:type="spellEnd"/>
      <w:r w:rsidRPr="00AA1B5B">
        <w:rPr>
          <w:lang w:val="fr-FR"/>
        </w:rPr>
        <w:t xml:space="preserve"> en temps réel et la synchronisation robuste en font une solution indispensable pour les productions où la fiabilité est non négociable.</w:t>
      </w:r>
    </w:p>
    <w:p w14:paraId="546C731F" w14:textId="77777777" w:rsidR="00AA1B5B" w:rsidRPr="00AA1B5B" w:rsidRDefault="00AA1B5B" w:rsidP="00AA1B5B">
      <w:pPr>
        <w:pStyle w:val="MNewsTextAbstand"/>
        <w:rPr>
          <w:lang w:val="fr-FR"/>
        </w:rPr>
      </w:pPr>
      <w:r w:rsidRPr="00AA1B5B">
        <w:rPr>
          <w:lang w:val="fr-FR"/>
        </w:rPr>
        <w:lastRenderedPageBreak/>
        <w:t>Ovation 12 s’appuie sur cet héritage tout en ouvrant la voie à des expériences audiovisuelles plus riches et plus intégrées.</w:t>
      </w:r>
    </w:p>
    <w:p w14:paraId="235E989C" w14:textId="77777777" w:rsidR="00AA1B5B" w:rsidRPr="00AA1B5B" w:rsidRDefault="00AA1B5B" w:rsidP="00AA1B5B">
      <w:pPr>
        <w:pStyle w:val="MNewsTextAbstand"/>
        <w:rPr>
          <w:b/>
          <w:bCs/>
          <w:lang w:val="fr-FR"/>
        </w:rPr>
      </w:pPr>
      <w:r w:rsidRPr="00AA1B5B">
        <w:rPr>
          <w:b/>
          <w:bCs/>
          <w:lang w:val="fr-FR"/>
        </w:rPr>
        <w:t>Disponibilité</w:t>
      </w:r>
    </w:p>
    <w:p w14:paraId="7F114BD8" w14:textId="77777777" w:rsidR="00AA1B5B" w:rsidRPr="00AA1B5B" w:rsidRDefault="00AA1B5B" w:rsidP="00AA1B5B">
      <w:pPr>
        <w:pStyle w:val="MNewsTextAbstand"/>
        <w:rPr>
          <w:b/>
          <w:bCs/>
          <w:lang w:val="fr-FR"/>
        </w:rPr>
      </w:pPr>
      <w:r w:rsidRPr="00AA1B5B">
        <w:rPr>
          <w:b/>
          <w:bCs/>
          <w:lang w:val="fr-FR"/>
        </w:rPr>
        <w:t xml:space="preserve">Ovation 12 </w:t>
      </w:r>
      <w:r w:rsidRPr="00AA1B5B">
        <w:rPr>
          <w:lang w:val="fr-FR"/>
        </w:rPr>
        <w:t>sera disponible à partir du</w:t>
      </w:r>
      <w:r w:rsidRPr="00AA1B5B">
        <w:rPr>
          <w:b/>
          <w:bCs/>
          <w:lang w:val="fr-FR"/>
        </w:rPr>
        <w:t xml:space="preserve"> 30 avril 2026.</w:t>
      </w:r>
      <w:r w:rsidRPr="00AA1B5B">
        <w:rPr>
          <w:b/>
          <w:bCs/>
          <w:lang w:val="fr-FR"/>
        </w:rPr>
        <w:br/>
      </w:r>
      <w:r w:rsidRPr="00AA1B5B">
        <w:rPr>
          <w:lang w:val="fr-FR"/>
        </w:rPr>
        <w:t>La disponibilité et les tarifs peuvent varier selon les régions.</w:t>
      </w:r>
    </w:p>
    <w:p w14:paraId="11C1C5AC" w14:textId="77777777" w:rsidR="0089548F" w:rsidRPr="00C02B08" w:rsidRDefault="0089548F" w:rsidP="00636D51">
      <w:pPr>
        <w:pStyle w:val="MNewsTextAbstand"/>
        <w:rPr>
          <w:lang w:val="fr-FR"/>
        </w:rPr>
      </w:pPr>
    </w:p>
    <w:p w14:paraId="18E4FAEE" w14:textId="3046BC21" w:rsidR="009D59FB" w:rsidRPr="00C02B08" w:rsidRDefault="00F41645" w:rsidP="009D59FB">
      <w:pPr>
        <w:pStyle w:val="MNewsTextAbstand"/>
        <w:rPr>
          <w:lang w:val="fr-FR"/>
        </w:rPr>
      </w:pPr>
      <w:r w:rsidRPr="00C02B08">
        <w:rPr>
          <w:lang w:val="fr-FR"/>
        </w:rPr>
        <w:t>Pour rester à jour sur les actualités Neumann</w:t>
      </w:r>
      <w:r w:rsidR="009D59FB" w:rsidRPr="00C02B08">
        <w:rPr>
          <w:lang w:val="fr-FR"/>
        </w:rPr>
        <w:t xml:space="preserve"> : </w:t>
      </w:r>
      <w:hyperlink r:id="rId15" w:tgtFrame="_blank" w:history="1">
        <w:r w:rsidR="009D59FB" w:rsidRPr="00C02B08">
          <w:rPr>
            <w:rStyle w:val="Lienhypertexte"/>
            <w:color w:val="auto"/>
            <w:u w:val="none"/>
            <w:lang w:val="fr-FR"/>
          </w:rPr>
          <w:t>FACEBOOK</w:t>
        </w:r>
      </w:hyperlink>
      <w:r w:rsidR="009D59FB" w:rsidRPr="00C02B08">
        <w:rPr>
          <w:lang w:val="fr-FR"/>
        </w:rPr>
        <w:t xml:space="preserve"> | </w:t>
      </w:r>
      <w:hyperlink r:id="rId16" w:tgtFrame="_blank" w:history="1">
        <w:r w:rsidR="009D59FB" w:rsidRPr="00C02B08">
          <w:rPr>
            <w:rStyle w:val="Lienhypertexte"/>
            <w:color w:val="auto"/>
            <w:u w:val="none"/>
            <w:lang w:val="fr-FR"/>
          </w:rPr>
          <w:t>INSTAGRAM</w:t>
        </w:r>
      </w:hyperlink>
      <w:r w:rsidR="009D59FB" w:rsidRPr="00C02B08">
        <w:rPr>
          <w:lang w:val="fr-FR"/>
        </w:rPr>
        <w:t xml:space="preserve"> | </w:t>
      </w:r>
      <w:hyperlink r:id="rId17" w:tgtFrame="_blank" w:history="1">
        <w:r w:rsidR="009D59FB" w:rsidRPr="00C02B08">
          <w:rPr>
            <w:rStyle w:val="Lienhypertexte"/>
            <w:color w:val="auto"/>
            <w:u w:val="none"/>
            <w:lang w:val="fr-FR"/>
          </w:rPr>
          <w:t>YOUTUBE</w:t>
        </w:r>
      </w:hyperlink>
    </w:p>
    <w:p w14:paraId="26EC65BA" w14:textId="77777777" w:rsidR="009D59FB" w:rsidRPr="00C02B08" w:rsidRDefault="009D59FB" w:rsidP="009D59FB">
      <w:pPr>
        <w:pStyle w:val="MNewsTextAbstand"/>
        <w:rPr>
          <w:lang w:val="fr-FR"/>
        </w:rPr>
      </w:pPr>
    </w:p>
    <w:p w14:paraId="6F5EA061" w14:textId="77777777" w:rsidR="009D59FB" w:rsidRPr="009D59FB" w:rsidRDefault="00000000" w:rsidP="009D59FB">
      <w:pPr>
        <w:pStyle w:val="MNewsTextAbstand"/>
      </w:pPr>
      <w:r>
        <w:pict w14:anchorId="19D8E5B6">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27CD81E3" w14:textId="77777777" w:rsidR="00283CE1" w:rsidRDefault="00283CE1" w:rsidP="00283CE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À propos de </w:t>
      </w:r>
      <w:proofErr w:type="spellStart"/>
      <w:r>
        <w:rPr>
          <w:rStyle w:val="normaltextrun"/>
          <w:rFonts w:ascii="Arial" w:hAnsi="Arial" w:cs="Arial"/>
          <w:b/>
          <w:bCs/>
          <w:sz w:val="20"/>
          <w:szCs w:val="20"/>
        </w:rPr>
        <w:t>Merging</w:t>
      </w:r>
      <w:proofErr w:type="spellEnd"/>
      <w:r>
        <w:rPr>
          <w:rStyle w:val="normaltextrun"/>
          <w:rFonts w:ascii="Arial" w:hAnsi="Arial" w:cs="Arial"/>
          <w:b/>
          <w:bCs/>
          <w:sz w:val="20"/>
          <w:szCs w:val="20"/>
        </w:rPr>
        <w:t> Technologies</w:t>
      </w:r>
      <w:r>
        <w:rPr>
          <w:rStyle w:val="eop"/>
          <w:rFonts w:ascii="Arial" w:hAnsi="Arial" w:cs="Arial"/>
          <w:sz w:val="20"/>
          <w:szCs w:val="20"/>
        </w:rPr>
        <w:t> </w:t>
      </w:r>
    </w:p>
    <w:p w14:paraId="01811523" w14:textId="6794BD6D" w:rsidR="0017774F" w:rsidRDefault="00283CE1" w:rsidP="00283CE1">
      <w:pPr>
        <w:pStyle w:val="paragraph"/>
        <w:spacing w:before="0" w:beforeAutospacing="0" w:after="0" w:afterAutospacing="0"/>
        <w:textAlignment w:val="baseline"/>
        <w:rPr>
          <w:rStyle w:val="eop"/>
          <w:rFonts w:ascii="Arial" w:hAnsi="Arial" w:cs="Arial"/>
          <w:sz w:val="20"/>
          <w:szCs w:val="20"/>
        </w:rPr>
      </w:pPr>
      <w:proofErr w:type="spellStart"/>
      <w:r>
        <w:rPr>
          <w:rStyle w:val="normaltextrun"/>
          <w:rFonts w:ascii="Arial" w:hAnsi="Arial" w:cs="Arial"/>
          <w:sz w:val="20"/>
          <w:szCs w:val="20"/>
        </w:rPr>
        <w:t>Merging</w:t>
      </w:r>
      <w:proofErr w:type="spellEnd"/>
      <w:r>
        <w:rPr>
          <w:rStyle w:val="normaltextrun"/>
          <w:rFonts w:ascii="Arial" w:hAnsi="Arial" w:cs="Arial"/>
          <w:sz w:val="20"/>
          <w:szCs w:val="20"/>
        </w:rPr>
        <w:t> Technologies est un fabricant suisse fort de plus de 30 ans d’expérience dans le développement de produits audio et vidéo professionnels innovants destinés à un large éventail d’industries du divertissement et des médias. En juillet 2022, </w:t>
      </w:r>
      <w:proofErr w:type="spellStart"/>
      <w:r>
        <w:rPr>
          <w:rStyle w:val="normaltextrun"/>
          <w:rFonts w:ascii="Arial" w:hAnsi="Arial" w:cs="Arial"/>
          <w:sz w:val="20"/>
          <w:szCs w:val="20"/>
        </w:rPr>
        <w:t>Merging</w:t>
      </w:r>
      <w:proofErr w:type="spellEnd"/>
      <w:r>
        <w:rPr>
          <w:rStyle w:val="normaltextrun"/>
          <w:rFonts w:ascii="Arial" w:hAnsi="Arial" w:cs="Arial"/>
          <w:sz w:val="20"/>
          <w:szCs w:val="20"/>
        </w:rPr>
        <w:t> a rejoint le groupe Sennheiser et est désormais intégré à </w:t>
      </w:r>
      <w:proofErr w:type="spellStart"/>
      <w:r>
        <w:rPr>
          <w:rStyle w:val="normaltextrun"/>
          <w:rFonts w:ascii="Arial" w:hAnsi="Arial" w:cs="Arial"/>
          <w:sz w:val="20"/>
          <w:szCs w:val="20"/>
        </w:rPr>
        <w:t>Neumann.Berlin</w:t>
      </w:r>
      <w:proofErr w:type="spellEnd"/>
      <w:r>
        <w:rPr>
          <w:rStyle w:val="normaltextrun"/>
          <w:rFonts w:ascii="Arial" w:hAnsi="Arial" w:cs="Arial"/>
          <w:sz w:val="20"/>
          <w:szCs w:val="20"/>
        </w:rPr>
        <w:t>. Avec une base d’utilisateurs fidèle parmi les acteurs les plus exigeants des secteurs de la musique, du cinéma, de la télévision, du </w:t>
      </w:r>
      <w:proofErr w:type="spellStart"/>
      <w:r>
        <w:rPr>
          <w:rStyle w:val="normaltextrun"/>
          <w:rFonts w:ascii="Arial" w:hAnsi="Arial" w:cs="Arial"/>
          <w:sz w:val="20"/>
          <w:szCs w:val="20"/>
        </w:rPr>
        <w:t>mastering</w:t>
      </w:r>
      <w:proofErr w:type="spellEnd"/>
      <w:r>
        <w:rPr>
          <w:rStyle w:val="normaltextrun"/>
          <w:rFonts w:ascii="Arial" w:hAnsi="Arial" w:cs="Arial"/>
          <w:sz w:val="20"/>
          <w:szCs w:val="20"/>
        </w:rPr>
        <w:t> et du spectacle vivant, </w:t>
      </w:r>
      <w:proofErr w:type="spellStart"/>
      <w:r>
        <w:rPr>
          <w:rStyle w:val="normaltextrun"/>
          <w:rFonts w:ascii="Arial" w:hAnsi="Arial" w:cs="Arial"/>
          <w:sz w:val="20"/>
          <w:szCs w:val="20"/>
        </w:rPr>
        <w:t>Merging</w:t>
      </w:r>
      <w:proofErr w:type="spellEnd"/>
      <w:r>
        <w:rPr>
          <w:rStyle w:val="normaltextrun"/>
          <w:rFonts w:ascii="Arial" w:hAnsi="Arial" w:cs="Arial"/>
          <w:sz w:val="20"/>
          <w:szCs w:val="20"/>
        </w:rPr>
        <w:t> s’engage à développer des gammes de produits offrant une qualité et une flexibilité inégalées, quelle que soit l’application. </w:t>
      </w:r>
      <w:proofErr w:type="spellStart"/>
      <w:r>
        <w:rPr>
          <w:rStyle w:val="normaltextrun"/>
          <w:rFonts w:ascii="Arial" w:hAnsi="Arial" w:cs="Arial"/>
          <w:sz w:val="20"/>
          <w:szCs w:val="20"/>
        </w:rPr>
        <w:t>Merging</w:t>
      </w:r>
      <w:proofErr w:type="spellEnd"/>
      <w:r>
        <w:rPr>
          <w:rStyle w:val="normaltextrun"/>
          <w:rFonts w:ascii="Arial" w:hAnsi="Arial" w:cs="Arial"/>
          <w:sz w:val="20"/>
          <w:szCs w:val="20"/>
        </w:rPr>
        <w:t> conçoit des outils pour celles et ceux qui attendent davantage de leurs systèmes, qui ont une volonté naturelle de repousser les limites et pour qui la qualité est toujours une priorité absolue. </w:t>
      </w:r>
      <w:hyperlink r:id="rId18" w:tgtFrame="_blank" w:history="1">
        <w:r>
          <w:rPr>
            <w:rStyle w:val="normaltextrun"/>
            <w:rFonts w:ascii="Arial" w:hAnsi="Arial" w:cs="Arial"/>
            <w:sz w:val="20"/>
            <w:szCs w:val="20"/>
          </w:rPr>
          <w:t>www.merging.com</w:t>
        </w:r>
      </w:hyperlink>
    </w:p>
    <w:p w14:paraId="381C4B5F" w14:textId="77777777" w:rsidR="0017774F" w:rsidRDefault="0017774F" w:rsidP="00283CE1">
      <w:pPr>
        <w:pStyle w:val="paragraph"/>
        <w:spacing w:before="0" w:beforeAutospacing="0" w:after="0" w:afterAutospacing="0"/>
        <w:textAlignment w:val="baseline"/>
        <w:rPr>
          <w:rFonts w:ascii="Segoe UI" w:hAnsi="Segoe UI" w:cs="Segoe UI"/>
          <w:sz w:val="18"/>
          <w:szCs w:val="18"/>
        </w:rPr>
      </w:pPr>
    </w:p>
    <w:p w14:paraId="24409853" w14:textId="77777777" w:rsidR="00283CE1" w:rsidRDefault="00283CE1" w:rsidP="00283CE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D20745A" w14:textId="77777777" w:rsidR="00283CE1" w:rsidRDefault="00283CE1" w:rsidP="00283CE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À propos de Neumann</w:t>
      </w:r>
      <w:r>
        <w:rPr>
          <w:rStyle w:val="eop"/>
          <w:rFonts w:ascii="Arial" w:hAnsi="Arial" w:cs="Arial"/>
          <w:sz w:val="20"/>
          <w:szCs w:val="20"/>
        </w:rPr>
        <w:t> </w:t>
      </w:r>
    </w:p>
    <w:p w14:paraId="411C967C" w14:textId="77777777" w:rsidR="00283CE1" w:rsidRDefault="00283CE1" w:rsidP="00283CE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Georg Neumann </w:t>
      </w:r>
      <w:proofErr w:type="spellStart"/>
      <w:r>
        <w:rPr>
          <w:rStyle w:val="normaltextrun"/>
          <w:rFonts w:ascii="Arial" w:hAnsi="Arial" w:cs="Arial"/>
          <w:sz w:val="20"/>
          <w:szCs w:val="20"/>
        </w:rPr>
        <w:t>GmbH</w:t>
      </w:r>
      <w:proofErr w:type="spellEnd"/>
      <w:r>
        <w:rPr>
          <w:rStyle w:val="normaltextrun"/>
          <w:rFonts w:ascii="Arial" w:hAnsi="Arial" w:cs="Arial"/>
          <w:sz w:val="20"/>
          <w:szCs w:val="20"/>
        </w:rPr>
        <w:t>, connu sous le nom de "</w:t>
      </w:r>
      <w:proofErr w:type="spellStart"/>
      <w:r>
        <w:rPr>
          <w:rStyle w:val="normaltextrun"/>
          <w:rFonts w:ascii="Arial" w:hAnsi="Arial" w:cs="Arial"/>
          <w:sz w:val="20"/>
          <w:szCs w:val="20"/>
        </w:rPr>
        <w:t>Neumann.Berlin</w:t>
      </w:r>
      <w:proofErr w:type="spellEnd"/>
      <w:r>
        <w:rPr>
          <w:rStyle w:val="normaltextrun"/>
          <w:rFonts w:ascii="Arial" w:hAnsi="Arial" w:cs="Arial"/>
          <w:sz w:val="20"/>
          <w:szCs w:val="20"/>
        </w:rPr>
        <w:t>", est l'un des principaux fabricants mondiaux d'équipements audio de qualité studio et le créateur de microphones d'enregistrement légendaires tels que les U 47, M 49, U 67 et U 87. Fondée en 1928, la société a été récompensée par de nombreux prix internationaux pour ses innovations technologiques. Depuis 2010, </w:t>
      </w:r>
      <w:proofErr w:type="spellStart"/>
      <w:r>
        <w:rPr>
          <w:rStyle w:val="normaltextrun"/>
          <w:rFonts w:ascii="Arial" w:hAnsi="Arial" w:cs="Arial"/>
          <w:sz w:val="20"/>
          <w:szCs w:val="20"/>
        </w:rPr>
        <w:t>Neumann.Berlin</w:t>
      </w:r>
      <w:proofErr w:type="spellEnd"/>
      <w:r>
        <w:rPr>
          <w:rStyle w:val="normaltextrun"/>
          <w:rFonts w:ascii="Arial" w:hAnsi="Arial" w:cs="Arial"/>
          <w:sz w:val="20"/>
          <w:szCs w:val="20"/>
        </w:rPr>
        <w:t> a étendu son expertise en matière de conception de transducteurs électroacoustiques au marché des moniteurs de studio, en s'appuyant sur l'héritage du légendaire innovateur en matière de haut-parleurs Klein + Hummel. Les premiers casques de studio Neumann ont été présentés en 2019 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son au plus haut niveau. Georg Neumann </w:t>
      </w:r>
      <w:proofErr w:type="spellStart"/>
      <w:r>
        <w:rPr>
          <w:rStyle w:val="normaltextrun"/>
          <w:rFonts w:ascii="Arial" w:hAnsi="Arial" w:cs="Arial"/>
          <w:sz w:val="20"/>
          <w:szCs w:val="20"/>
        </w:rPr>
        <w:t>GmbH</w:t>
      </w:r>
      <w:proofErr w:type="spellEnd"/>
      <w:r>
        <w:rPr>
          <w:rStyle w:val="normaltextrun"/>
          <w:rFonts w:ascii="Arial" w:hAnsi="Arial" w:cs="Arial"/>
          <w:sz w:val="20"/>
          <w:szCs w:val="20"/>
        </w:rPr>
        <w:t> fait partie du groupe Sennheiser depuis 1991 et est représenté dans le monde entier par le réseau de filiales et de partenaires commerciaux de longue date de Sennheiser. </w:t>
      </w:r>
      <w:hyperlink r:id="rId19" w:tgtFrame="_blank" w:history="1">
        <w:r>
          <w:rPr>
            <w:rStyle w:val="normaltextrun"/>
            <w:rFonts w:ascii="Arial" w:hAnsi="Arial" w:cs="Arial"/>
            <w:color w:val="0563C1"/>
            <w:sz w:val="20"/>
            <w:szCs w:val="20"/>
            <w:u w:val="single"/>
          </w:rPr>
          <w:t>www.neumann.com</w:t>
        </w:r>
      </w:hyperlink>
      <w:r>
        <w:rPr>
          <w:rStyle w:val="eop"/>
          <w:rFonts w:ascii="Arial" w:hAnsi="Arial" w:cs="Arial"/>
          <w:sz w:val="20"/>
          <w:szCs w:val="20"/>
        </w:rPr>
        <w:t> </w:t>
      </w:r>
    </w:p>
    <w:p w14:paraId="1D960DBF" w14:textId="77777777" w:rsidR="009636EB" w:rsidRPr="009D59FB" w:rsidRDefault="009636EB" w:rsidP="009D59FB">
      <w:pPr>
        <w:pStyle w:val="MNewsTextAbstand"/>
      </w:pPr>
    </w:p>
    <w:p w14:paraId="5F363DD7" w14:textId="3EEF46C9" w:rsidR="00345C7D" w:rsidRDefault="00000000" w:rsidP="009D59FB">
      <w:pPr>
        <w:pStyle w:val="MNewsTextAbstand"/>
        <w:rPr>
          <w:b/>
          <w:bCs/>
        </w:rPr>
      </w:pPr>
      <w:r>
        <w:pict w14:anchorId="5DAE1B37">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019707EC" w14:textId="16CBEA5C"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0" w:tgtFrame="_blank" w:tooltip="newsroom@neumann.com" w:history="1">
        <w:r w:rsidRPr="00A6040B">
          <w:rPr>
            <w:rStyle w:val="Lienhypertexte"/>
            <w:color w:val="auto"/>
            <w:u w:val="none"/>
            <w:lang w:val="de-DE"/>
          </w:rPr>
          <w:t>newsroom@neumann.com</w:t>
        </w:r>
      </w:hyperlink>
    </w:p>
    <w:p w14:paraId="2ECD64C7" w14:textId="77777777" w:rsidR="009D59FB" w:rsidRPr="009D59FB" w:rsidRDefault="009D59FB" w:rsidP="009D59FB">
      <w:pPr>
        <w:pStyle w:val="MNewsTextAbstand"/>
      </w:pPr>
      <w:hyperlink r:id="rId21" w:tgtFrame="_blank" w:tooltip="+49 (0) 30 41 77 24-0" w:history="1">
        <w:r w:rsidRPr="009D59FB">
          <w:rPr>
            <w:rStyle w:val="Lienhypertexte"/>
            <w:color w:val="auto"/>
            <w:u w:val="none"/>
          </w:rPr>
          <w:t>+49 (0) 30 41 77 24-0</w:t>
        </w:r>
      </w:hyperlink>
    </w:p>
    <w:p w14:paraId="3DDD8171" w14:textId="1A179FE2" w:rsidR="009D59FB" w:rsidRPr="000D7FB1" w:rsidRDefault="009D59FB" w:rsidP="000D7FB1">
      <w:pPr>
        <w:pStyle w:val="MNewsTextAbstand"/>
      </w:pPr>
      <w:hyperlink r:id="rId22" w:tgtFrame="_blank" w:tooltip="neumann.com" w:history="1">
        <w:r w:rsidRPr="009D59FB">
          <w:rPr>
            <w:rStyle w:val="Lienhypertexte"/>
            <w:color w:val="auto"/>
            <w:u w:val="none"/>
          </w:rPr>
          <w:t>neumann.com</w:t>
        </w:r>
      </w:hyperlink>
    </w:p>
    <w:sectPr w:rsidR="009D59FB" w:rsidRPr="000D7FB1" w:rsidSect="00823C11">
      <w:headerReference w:type="default" r:id="rId23"/>
      <w:headerReference w:type="first" r:id="rId24"/>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53849" w14:textId="77777777" w:rsidR="0026350D" w:rsidRDefault="0026350D">
      <w:r>
        <w:separator/>
      </w:r>
    </w:p>
  </w:endnote>
  <w:endnote w:type="continuationSeparator" w:id="0">
    <w:p w14:paraId="26DE22AD" w14:textId="77777777" w:rsidR="0026350D" w:rsidRDefault="0026350D">
      <w:r>
        <w:continuationSeparator/>
      </w:r>
    </w:p>
  </w:endnote>
  <w:endnote w:type="continuationNotice" w:id="1">
    <w:p w14:paraId="16EDE21C" w14:textId="77777777" w:rsidR="0026350D" w:rsidRDefault="00263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Condensed Regular">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D9A6C" w14:textId="77777777" w:rsidR="0026350D" w:rsidRDefault="0026350D">
      <w:r>
        <w:separator/>
      </w:r>
    </w:p>
  </w:footnote>
  <w:footnote w:type="continuationSeparator" w:id="0">
    <w:p w14:paraId="1F8FB066" w14:textId="77777777" w:rsidR="0026350D" w:rsidRDefault="0026350D">
      <w:r>
        <w:continuationSeparator/>
      </w:r>
    </w:p>
  </w:footnote>
  <w:footnote w:type="continuationNotice" w:id="1">
    <w:p w14:paraId="4B0171B9" w14:textId="77777777" w:rsidR="0026350D" w:rsidRDefault="00263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511B" w14:textId="77777777" w:rsidR="001C7845" w:rsidRDefault="001C7845" w:rsidP="001C7845">
    <w:pPr>
      <w:pStyle w:val="MNewsHeader"/>
      <w:spacing w:after="120"/>
      <w:ind w:right="-512"/>
      <w:rPr>
        <w:rFonts w:ascii="Sennheiser Office" w:hAnsi="Sennheiser Office" w:cs="Times New Roman"/>
        <w:noProof/>
        <w:lang w:val="de-DE"/>
      </w:rPr>
    </w:pPr>
  </w:p>
  <w:p w14:paraId="171C5AAB" w14:textId="77777777" w:rsidR="001C7845" w:rsidRPr="008350DE" w:rsidRDefault="001C7845" w:rsidP="001C7845">
    <w:pPr>
      <w:pStyle w:val="MNewsHeader"/>
      <w:rPr>
        <w:b/>
        <w:bCs/>
      </w:rPr>
    </w:pPr>
    <w:r w:rsidRPr="008350DE">
      <w:rPr>
        <w:b/>
        <w:bCs/>
      </w:rPr>
      <w:t>PRESS RELEASE</w:t>
    </w:r>
  </w:p>
  <w:p w14:paraId="35CF0E24" w14:textId="77777777" w:rsidR="001C7845" w:rsidRPr="008350DE" w:rsidRDefault="001C7845" w:rsidP="001C7845">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Pr>
        <w:b/>
        <w:bCs/>
      </w:rPr>
      <w:t>4</w:t>
    </w:r>
    <w:r w:rsidRPr="008350DE">
      <w:rPr>
        <w:b/>
        <w:bCs/>
      </w:rPr>
      <w:fldChar w:fldCharType="end"/>
    </w:r>
  </w:p>
  <w:p w14:paraId="635E4182" w14:textId="77777777" w:rsidR="001C7845" w:rsidRPr="008350DE" w:rsidRDefault="001C7845" w:rsidP="001C7845">
    <w:pPr>
      <w:pStyle w:val="MNewsHeader"/>
    </w:pPr>
  </w:p>
  <w:p w14:paraId="32040E8A" w14:textId="77777777" w:rsidR="001C7845" w:rsidRPr="00C64FB8" w:rsidRDefault="001C7845" w:rsidP="001C7845">
    <w:pPr>
      <w:pStyle w:val="MNewsHeader"/>
      <w:spacing w:before="40"/>
      <w:ind w:right="-851"/>
      <w:rPr>
        <w:b/>
        <w:bCs/>
        <w:color w:val="FF0000"/>
        <w:sz w:val="21"/>
        <w:szCs w:val="21"/>
      </w:rPr>
    </w:pPr>
  </w:p>
  <w:p w14:paraId="60AE96B4" w14:textId="77777777" w:rsidR="001C7845" w:rsidRPr="00340AE4" w:rsidRDefault="001C7845" w:rsidP="001C7845">
    <w:pPr>
      <w:ind w:right="-852"/>
      <w:rPr>
        <w:rFonts w:ascii="Arial" w:hAnsi="Arial" w:cs="Arial"/>
        <w:color w:val="ED7D31" w:themeColor="accent2"/>
        <w:lang w:val="en-US"/>
      </w:rPr>
    </w:pPr>
    <w:r>
      <w:rPr>
        <w:noProof/>
      </w:rPr>
      <w:drawing>
        <wp:anchor distT="0" distB="0" distL="114300" distR="114300" simplePos="0" relativeHeight="251660288" behindDoc="0" locked="1" layoutInCell="1" allowOverlap="1" wp14:anchorId="1AA84AFC" wp14:editId="455175CC">
          <wp:simplePos x="0" y="0"/>
          <wp:positionH relativeFrom="page">
            <wp:posOffset>756285</wp:posOffset>
          </wp:positionH>
          <wp:positionV relativeFrom="page">
            <wp:posOffset>536575</wp:posOffset>
          </wp:positionV>
          <wp:extent cx="2041200" cy="540000"/>
          <wp:effectExtent l="0" t="0" r="3810" b="6350"/>
          <wp:wrapNone/>
          <wp:docPr id="3722202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24D857AD" w14:textId="77777777" w:rsidR="001C7845" w:rsidRPr="009C6F36" w:rsidRDefault="001C7845" w:rsidP="001C7845">
    <w:pPr>
      <w:rPr>
        <w:lang w:val="en-US"/>
      </w:rPr>
    </w:pPr>
  </w:p>
  <w:p w14:paraId="01CEB11B" w14:textId="19C621B8" w:rsidR="00126B0D" w:rsidRPr="001C7845" w:rsidRDefault="00126B0D" w:rsidP="001C78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128153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Titre1"/>
      <w:lvlText w:val="Artikel %1."/>
      <w:lvlJc w:val="left"/>
      <w:pPr>
        <w:ind w:left="0" w:firstLine="0"/>
      </w:pPr>
    </w:lvl>
    <w:lvl w:ilvl="1">
      <w:start w:val="1"/>
      <w:numFmt w:val="decimalZero"/>
      <w:pStyle w:val="Titre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47F63"/>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1DD"/>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972"/>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6F0D"/>
    <w:rsid w:val="00157473"/>
    <w:rsid w:val="00161F42"/>
    <w:rsid w:val="001620BA"/>
    <w:rsid w:val="00167D25"/>
    <w:rsid w:val="00167F96"/>
    <w:rsid w:val="00170CC4"/>
    <w:rsid w:val="001727F3"/>
    <w:rsid w:val="001748A1"/>
    <w:rsid w:val="00176528"/>
    <w:rsid w:val="0017774F"/>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845"/>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872"/>
    <w:rsid w:val="00203E5E"/>
    <w:rsid w:val="002042E7"/>
    <w:rsid w:val="002066BE"/>
    <w:rsid w:val="00206E5C"/>
    <w:rsid w:val="002102BC"/>
    <w:rsid w:val="00213C13"/>
    <w:rsid w:val="0021417B"/>
    <w:rsid w:val="00221FA6"/>
    <w:rsid w:val="00222108"/>
    <w:rsid w:val="00223035"/>
    <w:rsid w:val="002237DB"/>
    <w:rsid w:val="00224E78"/>
    <w:rsid w:val="00224F0C"/>
    <w:rsid w:val="00225680"/>
    <w:rsid w:val="00226194"/>
    <w:rsid w:val="0023054A"/>
    <w:rsid w:val="00232703"/>
    <w:rsid w:val="00232C5E"/>
    <w:rsid w:val="002336BD"/>
    <w:rsid w:val="00234875"/>
    <w:rsid w:val="00235C37"/>
    <w:rsid w:val="002400C9"/>
    <w:rsid w:val="00241D3F"/>
    <w:rsid w:val="00243000"/>
    <w:rsid w:val="0024397C"/>
    <w:rsid w:val="00243EB6"/>
    <w:rsid w:val="00244418"/>
    <w:rsid w:val="00251397"/>
    <w:rsid w:val="00254764"/>
    <w:rsid w:val="00255944"/>
    <w:rsid w:val="00255AFC"/>
    <w:rsid w:val="00260670"/>
    <w:rsid w:val="00261E7B"/>
    <w:rsid w:val="00262C9B"/>
    <w:rsid w:val="0026350D"/>
    <w:rsid w:val="0026388E"/>
    <w:rsid w:val="00263F66"/>
    <w:rsid w:val="002645F9"/>
    <w:rsid w:val="00266950"/>
    <w:rsid w:val="00267060"/>
    <w:rsid w:val="002670FE"/>
    <w:rsid w:val="00270557"/>
    <w:rsid w:val="002709F2"/>
    <w:rsid w:val="00270FE1"/>
    <w:rsid w:val="00271AA7"/>
    <w:rsid w:val="0027433D"/>
    <w:rsid w:val="002756D2"/>
    <w:rsid w:val="0027671E"/>
    <w:rsid w:val="002801F9"/>
    <w:rsid w:val="002806AA"/>
    <w:rsid w:val="00281974"/>
    <w:rsid w:val="002825C9"/>
    <w:rsid w:val="0028363A"/>
    <w:rsid w:val="00283755"/>
    <w:rsid w:val="00283CE1"/>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174"/>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52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356"/>
    <w:rsid w:val="004A7DF7"/>
    <w:rsid w:val="004B4E98"/>
    <w:rsid w:val="004B5E49"/>
    <w:rsid w:val="004B6DF7"/>
    <w:rsid w:val="004B714F"/>
    <w:rsid w:val="004B7B80"/>
    <w:rsid w:val="004B7DF8"/>
    <w:rsid w:val="004C32F2"/>
    <w:rsid w:val="004C33AB"/>
    <w:rsid w:val="004C4EC1"/>
    <w:rsid w:val="004D037D"/>
    <w:rsid w:val="004D124C"/>
    <w:rsid w:val="004D13F3"/>
    <w:rsid w:val="004D2528"/>
    <w:rsid w:val="004D2EA4"/>
    <w:rsid w:val="004D3361"/>
    <w:rsid w:val="004D55BE"/>
    <w:rsid w:val="004E17F2"/>
    <w:rsid w:val="004E4175"/>
    <w:rsid w:val="004E6759"/>
    <w:rsid w:val="004E6887"/>
    <w:rsid w:val="004E7CAE"/>
    <w:rsid w:val="004F00F4"/>
    <w:rsid w:val="004F075C"/>
    <w:rsid w:val="004F262A"/>
    <w:rsid w:val="004F341E"/>
    <w:rsid w:val="004F5E0F"/>
    <w:rsid w:val="004F60D5"/>
    <w:rsid w:val="0050246B"/>
    <w:rsid w:val="005040A3"/>
    <w:rsid w:val="005063F8"/>
    <w:rsid w:val="00510297"/>
    <w:rsid w:val="005112D2"/>
    <w:rsid w:val="00511CD3"/>
    <w:rsid w:val="00511FFB"/>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3F93"/>
    <w:rsid w:val="00534079"/>
    <w:rsid w:val="00535067"/>
    <w:rsid w:val="00535638"/>
    <w:rsid w:val="00535C91"/>
    <w:rsid w:val="00536345"/>
    <w:rsid w:val="005363B6"/>
    <w:rsid w:val="00540017"/>
    <w:rsid w:val="00545413"/>
    <w:rsid w:val="005459D9"/>
    <w:rsid w:val="005465BB"/>
    <w:rsid w:val="00546E57"/>
    <w:rsid w:val="00553F0D"/>
    <w:rsid w:val="00555297"/>
    <w:rsid w:val="005552C0"/>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2DF0"/>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0F40"/>
    <w:rsid w:val="00621E47"/>
    <w:rsid w:val="00622BCE"/>
    <w:rsid w:val="006234F2"/>
    <w:rsid w:val="00623F52"/>
    <w:rsid w:val="00624437"/>
    <w:rsid w:val="0062444D"/>
    <w:rsid w:val="00626470"/>
    <w:rsid w:val="00626B23"/>
    <w:rsid w:val="00626ED3"/>
    <w:rsid w:val="0062787C"/>
    <w:rsid w:val="00632387"/>
    <w:rsid w:val="006324FF"/>
    <w:rsid w:val="00633130"/>
    <w:rsid w:val="00634D4E"/>
    <w:rsid w:val="006364AE"/>
    <w:rsid w:val="00636D51"/>
    <w:rsid w:val="0063764E"/>
    <w:rsid w:val="00640738"/>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43F1"/>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110"/>
    <w:rsid w:val="006B03DD"/>
    <w:rsid w:val="006B0F45"/>
    <w:rsid w:val="006B1CA9"/>
    <w:rsid w:val="006B2BEB"/>
    <w:rsid w:val="006B2E49"/>
    <w:rsid w:val="006B3BA3"/>
    <w:rsid w:val="006B3C96"/>
    <w:rsid w:val="006B4D0D"/>
    <w:rsid w:val="006B64D3"/>
    <w:rsid w:val="006C3ADC"/>
    <w:rsid w:val="006C4DC3"/>
    <w:rsid w:val="006C5306"/>
    <w:rsid w:val="006C6FD0"/>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6679"/>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12A"/>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4A1"/>
    <w:rsid w:val="00784677"/>
    <w:rsid w:val="007869C8"/>
    <w:rsid w:val="00790E62"/>
    <w:rsid w:val="00790FF0"/>
    <w:rsid w:val="00790FFF"/>
    <w:rsid w:val="007931F6"/>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08DD"/>
    <w:rsid w:val="007D11F4"/>
    <w:rsid w:val="007D41C8"/>
    <w:rsid w:val="007D4B6D"/>
    <w:rsid w:val="007D531D"/>
    <w:rsid w:val="007D5FE5"/>
    <w:rsid w:val="007D64B7"/>
    <w:rsid w:val="007D6804"/>
    <w:rsid w:val="007D696A"/>
    <w:rsid w:val="007D72A1"/>
    <w:rsid w:val="007D7CF7"/>
    <w:rsid w:val="007E21B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3AB5"/>
    <w:rsid w:val="008847C1"/>
    <w:rsid w:val="0089051C"/>
    <w:rsid w:val="0089222C"/>
    <w:rsid w:val="0089548F"/>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9A4"/>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13D"/>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6EB"/>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1F1D"/>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13C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1B5B"/>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17A30"/>
    <w:rsid w:val="00B20E0F"/>
    <w:rsid w:val="00B2156C"/>
    <w:rsid w:val="00B218AD"/>
    <w:rsid w:val="00B3087D"/>
    <w:rsid w:val="00B31330"/>
    <w:rsid w:val="00B313DA"/>
    <w:rsid w:val="00B4071E"/>
    <w:rsid w:val="00B40E89"/>
    <w:rsid w:val="00B41409"/>
    <w:rsid w:val="00B42880"/>
    <w:rsid w:val="00B43E72"/>
    <w:rsid w:val="00B440D1"/>
    <w:rsid w:val="00B44A53"/>
    <w:rsid w:val="00B4684C"/>
    <w:rsid w:val="00B47E4E"/>
    <w:rsid w:val="00B5013B"/>
    <w:rsid w:val="00B51D6A"/>
    <w:rsid w:val="00B53571"/>
    <w:rsid w:val="00B5459C"/>
    <w:rsid w:val="00B563B2"/>
    <w:rsid w:val="00B60FF1"/>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0AC3"/>
    <w:rsid w:val="00B911EB"/>
    <w:rsid w:val="00B919FE"/>
    <w:rsid w:val="00B93562"/>
    <w:rsid w:val="00B93DBF"/>
    <w:rsid w:val="00B96CAA"/>
    <w:rsid w:val="00BA0B33"/>
    <w:rsid w:val="00BA159C"/>
    <w:rsid w:val="00BA2CE8"/>
    <w:rsid w:val="00BA37EC"/>
    <w:rsid w:val="00BA3BF0"/>
    <w:rsid w:val="00BA41A8"/>
    <w:rsid w:val="00BA4ADB"/>
    <w:rsid w:val="00BA4C75"/>
    <w:rsid w:val="00BA75CF"/>
    <w:rsid w:val="00BB17C1"/>
    <w:rsid w:val="00BB2E7D"/>
    <w:rsid w:val="00BB463F"/>
    <w:rsid w:val="00BB542B"/>
    <w:rsid w:val="00BB57C3"/>
    <w:rsid w:val="00BB745E"/>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2B08"/>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340"/>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0E70"/>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6249"/>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F1"/>
    <w:rsid w:val="00D05C05"/>
    <w:rsid w:val="00D10F90"/>
    <w:rsid w:val="00D11E59"/>
    <w:rsid w:val="00D12431"/>
    <w:rsid w:val="00D1255F"/>
    <w:rsid w:val="00D12F00"/>
    <w:rsid w:val="00D15967"/>
    <w:rsid w:val="00D16487"/>
    <w:rsid w:val="00D16DE9"/>
    <w:rsid w:val="00D20872"/>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5953"/>
    <w:rsid w:val="00D37189"/>
    <w:rsid w:val="00D37CBE"/>
    <w:rsid w:val="00D40B21"/>
    <w:rsid w:val="00D4255C"/>
    <w:rsid w:val="00D43A20"/>
    <w:rsid w:val="00D43E90"/>
    <w:rsid w:val="00D4406C"/>
    <w:rsid w:val="00D46A32"/>
    <w:rsid w:val="00D50A77"/>
    <w:rsid w:val="00D51300"/>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3C57"/>
    <w:rsid w:val="00DE583B"/>
    <w:rsid w:val="00DE6DEE"/>
    <w:rsid w:val="00DE6F7A"/>
    <w:rsid w:val="00DE76B8"/>
    <w:rsid w:val="00DF0EB4"/>
    <w:rsid w:val="00DF1A31"/>
    <w:rsid w:val="00DF2332"/>
    <w:rsid w:val="00E00DEC"/>
    <w:rsid w:val="00E0121F"/>
    <w:rsid w:val="00E039A5"/>
    <w:rsid w:val="00E1052E"/>
    <w:rsid w:val="00E13CEC"/>
    <w:rsid w:val="00E1463C"/>
    <w:rsid w:val="00E14A50"/>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994"/>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1FE9"/>
    <w:rsid w:val="00EA44A8"/>
    <w:rsid w:val="00EA44AD"/>
    <w:rsid w:val="00EA4A3E"/>
    <w:rsid w:val="00EA646C"/>
    <w:rsid w:val="00EA6B00"/>
    <w:rsid w:val="00EA764A"/>
    <w:rsid w:val="00EB068E"/>
    <w:rsid w:val="00EB081E"/>
    <w:rsid w:val="00EB3361"/>
    <w:rsid w:val="00EB3FD6"/>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5672"/>
    <w:rsid w:val="00EE6ABA"/>
    <w:rsid w:val="00EF07B8"/>
    <w:rsid w:val="00EF088A"/>
    <w:rsid w:val="00EF098A"/>
    <w:rsid w:val="00EF09FB"/>
    <w:rsid w:val="00EF1642"/>
    <w:rsid w:val="00EF2207"/>
    <w:rsid w:val="00EF3C0F"/>
    <w:rsid w:val="00EF42CF"/>
    <w:rsid w:val="00EF72C9"/>
    <w:rsid w:val="00F00D73"/>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1645"/>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Titre1">
    <w:name w:val="heading 1"/>
    <w:basedOn w:val="Normal"/>
    <w:next w:val="Normal"/>
    <w:link w:val="Titre1C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Titre2">
    <w:name w:val="heading 2"/>
    <w:basedOn w:val="Normal"/>
    <w:next w:val="Normal"/>
    <w:link w:val="Titre2C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Titre3">
    <w:name w:val="heading 3"/>
    <w:basedOn w:val="Normal"/>
    <w:next w:val="Normal"/>
    <w:link w:val="Titre3Car"/>
    <w:uiPriority w:val="9"/>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Lienhypertexte">
    <w:name w:val="Hyperlink"/>
    <w:basedOn w:val="Policepardfau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Numrodeligne">
    <w:name w:val="line number"/>
    <w:basedOn w:val="Policepardfaut"/>
    <w:uiPriority w:val="99"/>
    <w:unhideWhenUsed/>
    <w:rsid w:val="00BD55F8"/>
  </w:style>
  <w:style w:type="paragraph" w:styleId="Liste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En-tte">
    <w:name w:val="header"/>
    <w:basedOn w:val="Normal"/>
    <w:link w:val="En-tteCar"/>
    <w:unhideWhenUsed/>
    <w:rsid w:val="00962B40"/>
    <w:pPr>
      <w:tabs>
        <w:tab w:val="center" w:pos="4536"/>
        <w:tab w:val="right" w:pos="9072"/>
      </w:tabs>
    </w:pPr>
    <w:rPr>
      <w:rFonts w:eastAsia="Sennheiser Office"/>
    </w:rPr>
  </w:style>
  <w:style w:type="character" w:customStyle="1" w:styleId="En-tteCar">
    <w:name w:val="En-tête Car"/>
    <w:basedOn w:val="Policepardfaut"/>
    <w:link w:val="En-tte"/>
    <w:rsid w:val="00962B40"/>
    <w:rPr>
      <w:rFonts w:ascii="Times New Roman" w:eastAsia="Sennheiser Office" w:hAnsi="Times New Roman" w:cs="Times New Roman"/>
      <w:lang w:eastAsia="de-DE"/>
    </w:rPr>
  </w:style>
  <w:style w:type="paragraph" w:styleId="Pieddepage">
    <w:name w:val="footer"/>
    <w:basedOn w:val="Normal"/>
    <w:link w:val="PieddepageCar"/>
    <w:unhideWhenUsed/>
    <w:rsid w:val="00962B40"/>
    <w:pPr>
      <w:tabs>
        <w:tab w:val="center" w:pos="4536"/>
        <w:tab w:val="right" w:pos="9072"/>
      </w:tabs>
    </w:pPr>
    <w:rPr>
      <w:rFonts w:eastAsia="Sennheiser Office"/>
    </w:rPr>
  </w:style>
  <w:style w:type="character" w:customStyle="1" w:styleId="PieddepageCar">
    <w:name w:val="Pied de page Car"/>
    <w:basedOn w:val="Policepardfaut"/>
    <w:link w:val="Pieddepage"/>
    <w:rsid w:val="00962B40"/>
    <w:rPr>
      <w:rFonts w:ascii="Times New Roman" w:eastAsia="Sennheiser Office" w:hAnsi="Times New Roman" w:cs="Times New Roman"/>
      <w:lang w:eastAsia="de-DE"/>
    </w:rPr>
  </w:style>
  <w:style w:type="table" w:styleId="Grilledutableau">
    <w:name w:val="Table Grid"/>
    <w:basedOn w:val="Tableau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Policepardfaut"/>
    <w:unhideWhenUsed/>
    <w:rsid w:val="005D4529"/>
    <w:rPr>
      <w:color w:val="605E5C"/>
      <w:shd w:val="clear" w:color="auto" w:fill="E1DFDD"/>
    </w:rPr>
  </w:style>
  <w:style w:type="character" w:styleId="Lienhypertextesuivivisit">
    <w:name w:val="FollowedHyperlink"/>
    <w:basedOn w:val="Policepardfaut"/>
    <w:semiHidden/>
    <w:unhideWhenUsed/>
    <w:rsid w:val="005D4529"/>
    <w:rPr>
      <w:color w:val="954F72" w:themeColor="followedHyperlink"/>
      <w:u w:val="single"/>
    </w:rPr>
  </w:style>
  <w:style w:type="character" w:customStyle="1" w:styleId="Titre1Car">
    <w:name w:val="Titre 1 Car"/>
    <w:basedOn w:val="Policepardfaut"/>
    <w:link w:val="Titre1"/>
    <w:uiPriority w:val="9"/>
    <w:rsid w:val="004A1286"/>
    <w:rPr>
      <w:rFonts w:ascii="Sennheiser Office" w:eastAsia="Sennheiser Office" w:hAnsi="Sennheiser Office" w:cs="Times New Roman"/>
      <w:b/>
      <w:caps/>
      <w:color w:val="0095D5"/>
      <w:sz w:val="20"/>
      <w:szCs w:val="20"/>
      <w:lang w:eastAsia="x-none"/>
    </w:rPr>
  </w:style>
  <w:style w:type="character" w:customStyle="1" w:styleId="Titre2Car">
    <w:name w:val="Titre 2 Car"/>
    <w:basedOn w:val="Policepardfaut"/>
    <w:link w:val="Titre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Paragraphedeliste">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Policepardfaut"/>
    <w:rsid w:val="004A1286"/>
  </w:style>
  <w:style w:type="paragraph" w:styleId="Textedebulles">
    <w:name w:val="Balloon Text"/>
    <w:basedOn w:val="Normal"/>
    <w:link w:val="TextedebullesCar"/>
    <w:semiHidden/>
    <w:unhideWhenUsed/>
    <w:rsid w:val="004A1286"/>
    <w:rPr>
      <w:rFonts w:eastAsia="Sennheiser Office"/>
      <w:sz w:val="18"/>
      <w:szCs w:val="18"/>
    </w:rPr>
  </w:style>
  <w:style w:type="character" w:customStyle="1" w:styleId="TextedebullesCar">
    <w:name w:val="Texte de bulles Car"/>
    <w:basedOn w:val="Policepardfaut"/>
    <w:link w:val="Textedebulles"/>
    <w:semiHidden/>
    <w:rsid w:val="004A1286"/>
    <w:rPr>
      <w:rFonts w:ascii="Times New Roman" w:eastAsia="Sennheiser Office" w:hAnsi="Times New Roman" w:cs="Times New Roman"/>
      <w:sz w:val="18"/>
      <w:szCs w:val="18"/>
      <w:lang w:eastAsia="de-DE"/>
    </w:rPr>
  </w:style>
  <w:style w:type="paragraph" w:styleId="Rvision">
    <w:name w:val="Revision"/>
    <w:hidden/>
    <w:semiHidden/>
    <w:rsid w:val="004A1286"/>
    <w:rPr>
      <w:rFonts w:ascii="Times New Roman" w:eastAsia="Sennheiser Office" w:hAnsi="Times New Roman" w:cs="Times New Roman"/>
      <w:lang w:eastAsia="de-DE"/>
    </w:rPr>
  </w:style>
  <w:style w:type="character" w:styleId="Marquedecommentaire">
    <w:name w:val="annotation reference"/>
    <w:basedOn w:val="Policepardfaut"/>
    <w:uiPriority w:val="99"/>
    <w:semiHidden/>
    <w:unhideWhenUsed/>
    <w:rsid w:val="004A1286"/>
    <w:rPr>
      <w:sz w:val="16"/>
      <w:szCs w:val="16"/>
    </w:rPr>
  </w:style>
  <w:style w:type="paragraph" w:styleId="Commentaire">
    <w:name w:val="annotation text"/>
    <w:basedOn w:val="Normal"/>
    <w:link w:val="CommentaireCar"/>
    <w:uiPriority w:val="99"/>
    <w:unhideWhenUsed/>
    <w:rsid w:val="004A1286"/>
    <w:rPr>
      <w:rFonts w:eastAsia="Sennheiser Office"/>
      <w:sz w:val="20"/>
      <w:szCs w:val="20"/>
    </w:rPr>
  </w:style>
  <w:style w:type="character" w:customStyle="1" w:styleId="CommentaireCar">
    <w:name w:val="Commentaire Car"/>
    <w:basedOn w:val="Policepardfaut"/>
    <w:link w:val="Commentaire"/>
    <w:uiPriority w:val="99"/>
    <w:rsid w:val="004A1286"/>
    <w:rPr>
      <w:rFonts w:ascii="Times New Roman" w:eastAsia="Sennheiser Office" w:hAnsi="Times New Roman" w:cs="Times New Roman"/>
      <w:sz w:val="20"/>
      <w:szCs w:val="20"/>
      <w:lang w:eastAsia="de-DE"/>
    </w:rPr>
  </w:style>
  <w:style w:type="paragraph" w:styleId="Objetducommentaire">
    <w:name w:val="annotation subject"/>
    <w:basedOn w:val="Commentaire"/>
    <w:next w:val="Commentaire"/>
    <w:link w:val="ObjetducommentaireCar"/>
    <w:semiHidden/>
    <w:unhideWhenUsed/>
    <w:rsid w:val="004A1286"/>
    <w:rPr>
      <w:b/>
      <w:bCs/>
    </w:rPr>
  </w:style>
  <w:style w:type="character" w:customStyle="1" w:styleId="ObjetducommentaireCar">
    <w:name w:val="Objet du commentaire Car"/>
    <w:basedOn w:val="CommentaireCar"/>
    <w:link w:val="Objetducommentaire"/>
    <w:semiHidden/>
    <w:rsid w:val="004A1286"/>
    <w:rPr>
      <w:rFonts w:ascii="Times New Roman" w:eastAsia="Sennheiser Office" w:hAnsi="Times New Roman" w:cs="Times New Roman"/>
      <w:b/>
      <w:bCs/>
      <w:sz w:val="20"/>
      <w:szCs w:val="20"/>
      <w:lang w:eastAsia="de-DE"/>
    </w:rPr>
  </w:style>
  <w:style w:type="character" w:styleId="Mentionnonrsolue">
    <w:name w:val="Unresolved Mention"/>
    <w:basedOn w:val="Policepardfau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Policepardfau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Sansinterligne">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lev">
    <w:name w:val="Strong"/>
    <w:basedOn w:val="Policepardfaut"/>
    <w:uiPriority w:val="22"/>
    <w:qFormat/>
    <w:rsid w:val="00852B78"/>
    <w:rPr>
      <w:b/>
      <w:bCs/>
    </w:rPr>
  </w:style>
  <w:style w:type="character" w:customStyle="1" w:styleId="Titre3Car">
    <w:name w:val="Titre 3 Car"/>
    <w:basedOn w:val="Policepardfaut"/>
    <w:link w:val="Titre3"/>
    <w:uiPriority w:val="9"/>
    <w:rsid w:val="00DD0D93"/>
    <w:rPr>
      <w:rFonts w:asciiTheme="majorHAnsi" w:eastAsiaTheme="majorEastAsia" w:hAnsiTheme="majorHAnsi" w:cstheme="majorBidi"/>
      <w:color w:val="1F3763" w:themeColor="accent1" w:themeShade="7F"/>
      <w:lang w:eastAsia="de-DE"/>
    </w:rPr>
  </w:style>
  <w:style w:type="character" w:styleId="Accentuation">
    <w:name w:val="Emphasis"/>
    <w:basedOn w:val="Policepardfaut"/>
    <w:uiPriority w:val="20"/>
    <w:qFormat/>
    <w:rsid w:val="007D7CF7"/>
    <w:rPr>
      <w:i/>
      <w:iCs/>
    </w:rPr>
  </w:style>
  <w:style w:type="character" w:customStyle="1" w:styleId="Titre4Car">
    <w:name w:val="Titre 4 Car"/>
    <w:basedOn w:val="Policepardfaut"/>
    <w:link w:val="Titre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 w:type="paragraph" w:customStyle="1" w:styleId="paragraph">
    <w:name w:val="paragraph"/>
    <w:basedOn w:val="Normal"/>
    <w:rsid w:val="00283CE1"/>
    <w:pPr>
      <w:spacing w:before="100" w:beforeAutospacing="1" w:after="100" w:afterAutospacing="1"/>
    </w:pPr>
    <w:rPr>
      <w:lang w:val="fr-FR" w:eastAsia="fr-FR"/>
    </w:rPr>
  </w:style>
  <w:style w:type="character" w:customStyle="1" w:styleId="normaltextrun">
    <w:name w:val="normaltextrun"/>
    <w:basedOn w:val="Policepardfaut"/>
    <w:rsid w:val="00283CE1"/>
  </w:style>
  <w:style w:type="character" w:customStyle="1" w:styleId="eop">
    <w:name w:val="eop"/>
    <w:basedOn w:val="Policepardfaut"/>
    <w:rsid w:val="00283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erging.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tel:+49%20(0)%2030%2041%2077%202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user/GeorgNeumannGmb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neumann.berlin/" TargetMode="External"/><Relationship Id="rId20" Type="http://schemas.openxmlformats.org/officeDocument/2006/relationships/hyperlink" Target="mailto:newsroom@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euman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uma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3.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customXml/itemProps4.xml><?xml version="1.0" encoding="utf-8"?>
<ds:datastoreItem xmlns:ds="http://schemas.openxmlformats.org/officeDocument/2006/customXml" ds:itemID="{63AF8360-1CCE-4D2B-B4A6-8D6D789A749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1227</Words>
  <Characters>6749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Vialis, Valentine</cp:lastModifiedBy>
  <cp:revision>6</cp:revision>
  <cp:lastPrinted>2026-04-16T07:45:00Z</cp:lastPrinted>
  <dcterms:created xsi:type="dcterms:W3CDTF">2026-04-22T11:04:00Z</dcterms:created>
  <dcterms:modified xsi:type="dcterms:W3CDTF">2026-04-28T08:01:00Z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ies>
</file>