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2" w:before="2" w:line="276" w:lineRule="auto"/>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002">
      <w:pPr>
        <w:spacing w:line="276" w:lineRule="auto"/>
        <w:ind w:right="-855"/>
        <w:rPr>
          <w:rFonts w:ascii="Arial" w:cs="Arial" w:eastAsia="Arial" w:hAnsi="Arial"/>
          <w:sz w:val="28"/>
          <w:szCs w:val="28"/>
        </w:rPr>
      </w:pPr>
      <w:r w:rsidDel="00000000" w:rsidR="00000000" w:rsidRPr="00000000">
        <w:rPr>
          <w:rFonts w:ascii="Arial" w:cs="Arial" w:eastAsia="Arial" w:hAnsi="Arial"/>
          <w:sz w:val="28"/>
          <w:szCs w:val="28"/>
          <w:rtl w:val="0"/>
        </w:rPr>
        <w:t xml:space="preserve">Equipos de limpieza manuales: completar la cartera, ampliar la clientela</w:t>
      </w:r>
    </w:p>
    <w:p w:rsidR="00000000" w:rsidDel="00000000" w:rsidP="00000000" w:rsidRDefault="00000000" w:rsidRPr="00000000" w14:paraId="00000003">
      <w:pPr>
        <w:spacing w:line="276" w:lineRule="auto"/>
        <w:ind w:right="-855"/>
        <w:rPr>
          <w:rFonts w:ascii="Arial" w:cs="Arial" w:eastAsia="Arial" w:hAnsi="Arial"/>
          <w:b w:val="1"/>
        </w:rPr>
      </w:pPr>
      <w:r w:rsidDel="00000000" w:rsidR="00000000" w:rsidRPr="00000000">
        <w:rPr>
          <w:rtl w:val="0"/>
        </w:rPr>
      </w:r>
    </w:p>
    <w:p w:rsidR="00000000" w:rsidDel="00000000" w:rsidP="00000000" w:rsidRDefault="00000000" w:rsidRPr="00000000" w14:paraId="00000004">
      <w:pPr>
        <w:spacing w:line="276" w:lineRule="auto"/>
        <w:ind w:right="-855"/>
        <w:rPr>
          <w:rFonts w:ascii="Arial" w:cs="Arial" w:eastAsia="Arial" w:hAnsi="Arial"/>
          <w:sz w:val="22"/>
          <w:szCs w:val="22"/>
        </w:rPr>
      </w:pPr>
      <w:r w:rsidDel="00000000" w:rsidR="00000000" w:rsidRPr="00000000">
        <w:rPr>
          <w:rFonts w:ascii="Arial" w:cs="Arial" w:eastAsia="Arial" w:hAnsi="Arial"/>
          <w:b w:val="1"/>
          <w:sz w:val="32"/>
          <w:szCs w:val="32"/>
          <w:rtl w:val="0"/>
        </w:rPr>
        <w:t xml:space="preserve">Kärcher y TTS acuerdan una colaboración estratégica</w:t>
        <w:br w:type="textWrapping"/>
      </w:r>
      <w:r w:rsidDel="00000000" w:rsidR="00000000" w:rsidRPr="00000000">
        <w:rPr>
          <w:rtl w:val="0"/>
        </w:rPr>
      </w:r>
    </w:p>
    <w:p w:rsidR="00000000" w:rsidDel="00000000" w:rsidP="00000000" w:rsidRDefault="00000000" w:rsidRPr="00000000" w14:paraId="00000005">
      <w:pPr>
        <w:spacing w:after="240" w:before="240" w:line="360" w:lineRule="auto"/>
        <w:ind w:right="-855"/>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Winnenden y San Giustina, 24 de abril de</w:t>
      </w:r>
      <w:r w:rsidDel="00000000" w:rsidR="00000000" w:rsidRPr="00000000">
        <w:rPr>
          <w:rFonts w:ascii="Arial" w:cs="Arial" w:eastAsia="Arial" w:hAnsi="Arial"/>
          <w:b w:val="1"/>
          <w:sz w:val="20"/>
          <w:szCs w:val="20"/>
          <w:highlight w:val="white"/>
          <w:rtl w:val="0"/>
        </w:rPr>
        <w:t xml:space="preserve"> 2023</w:t>
      </w:r>
      <w:r w:rsidDel="00000000" w:rsidR="00000000" w:rsidRPr="00000000">
        <w:rPr>
          <w:rFonts w:ascii="Arial" w:cs="Arial" w:eastAsia="Arial" w:hAnsi="Arial"/>
          <w:sz w:val="20"/>
          <w:szCs w:val="20"/>
          <w:rtl w:val="0"/>
        </w:rPr>
        <w:t xml:space="preserve">. Kärcher y TTS Cleaning dan el tiro de salida a una estrecha cooperación. De este modo, los socios unen sus recursos y capacidades para ofrecer a los clientes de todo el mundo en el futuro una amplia variedad de productos y servicios adaptados a sus necesidades. Con los productos de TTS, Kärcher completa su cartera para la limpieza de edificios y refuerza así su posición como proveedor integral. TTS se beneficia de la notoriedad de marca mundial y extensa oferta de productos de Kärcher, con las que consolida su posición en el mercado.</w:t>
      </w:r>
    </w:p>
    <w:p w:rsidR="00000000" w:rsidDel="00000000" w:rsidP="00000000" w:rsidRDefault="00000000" w:rsidRPr="00000000" w14:paraId="00000006">
      <w:pPr>
        <w:spacing w:after="240" w:before="240" w:line="360" w:lineRule="auto"/>
        <w:ind w:right="-85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Una limpieza de edificios eficiente requiere una combinación de equipos, robots de limpieza y equipos manuales para lograr los mejores resultados higiénicos y optimizar al mismo tiempo el uso de los recursos desde un punto de vista económico y ecológico. TTS se ha especializado en equipos de limpieza manuales profesionales y desarrolla soluciones ergonómicas y efectivas para el uso en múltiples contextos, por ejemplo, en el sector de la hostelería, en el ámbito sanitario o en otras zonas de mucha afluencia. Marco Cardinale, vicepresidente de Floor Care Solutions de Alfred Kärcher SE &amp; Co. KG, expone: «Nosotros ya ofrecíamos productos en el ámbito de la limpieza manual, pero gracias a la colaboración con TTS ampliaremos y reforzaremos nuestra cartera. TTS será nuestro centro de competencia y controlará la cadena de suministro para las soluciones de limpieza manuales».</w:t>
      </w:r>
    </w:p>
    <w:p w:rsidR="00000000" w:rsidDel="00000000" w:rsidP="00000000" w:rsidRDefault="00000000" w:rsidRPr="00000000" w14:paraId="00000007">
      <w:pPr>
        <w:spacing w:after="240" w:before="240" w:line="360" w:lineRule="auto"/>
        <w:ind w:right="-85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Esta estrecha colaboración es ideal desde un punto de vista organizativo, y además ambas empresas familiares siguen una estrategia similar en cuanto a la dirección empresarial. Actualmente en TTS Cleaning S.R.L. está teniendo lugar la transición a la segunda generación, por lo que la atención se centra aún más en el desarrollo futuro de la empresa. Renato Zorzo, Director General y propietario de TTS Cleaning S.R.L., señala: «En Kärcher hemos encontrado un potente socio para aumentar nuestra notoriedad de marca, explotar nuevos mercados y canales de venta, ampliar la producción y aumentar nuestra competitividad. Además, podemos combinar nuestro enfoque innovador para los equipos manuales con la tecnología de limpieza innovadora de Kärcher». Para una clara diferenciación y una alta visibilidad en el mercado, Kärcher y TTS han optado por un co-branding con ambos logotipos.</w:t>
      </w:r>
    </w:p>
    <w:p w:rsidR="00000000" w:rsidDel="00000000" w:rsidP="00000000" w:rsidRDefault="00000000" w:rsidRPr="00000000" w14:paraId="00000008">
      <w:pPr>
        <w:spacing w:after="240" w:before="240" w:line="276" w:lineRule="auto"/>
        <w:ind w:right="-856"/>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9">
      <w:pPr>
        <w:spacing w:after="240" w:before="240" w:line="276" w:lineRule="auto"/>
        <w:ind w:right="-856"/>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TTS Cleaning</w:t>
        <w:br w:type="textWrapping"/>
      </w:r>
      <w:r w:rsidDel="00000000" w:rsidR="00000000" w:rsidRPr="00000000">
        <w:rPr>
          <w:rFonts w:ascii="Arial" w:cs="Arial" w:eastAsia="Arial" w:hAnsi="Arial"/>
          <w:sz w:val="20"/>
          <w:szCs w:val="20"/>
          <w:rtl w:val="0"/>
        </w:rPr>
        <w:t xml:space="preserve">TTS Cleaning es una empresa italiana que fue fundada en 1987, considerada actualmente como un modelo en la limpieza profesional. La fiabilidad, la calidad, la velocidad y la protección del medio ambiente son los principios por los que se guía nuestra empresa. La cartera de productos de la empresa comprende más de 5000 productos, entre los cuales, carros de limpieza, cubos, mopas y cubos de basura. Además de una amplia gama, TTS también ofrece asesoría técnica y un servicio de atención al cliente especializado. Gracias a su compromiso con el medio ambiente, la empresa ha logrado objetivos importantes a lo largo de los años. Es una de las primeras empresas en el mundo en utilizar un enfoque de huella de CO</w:t>
      </w:r>
      <w:r w:rsidDel="00000000" w:rsidR="00000000" w:rsidRPr="00000000">
        <w:rPr>
          <w:rFonts w:ascii="Arial" w:cs="Arial" w:eastAsia="Arial" w:hAnsi="Arial"/>
          <w:sz w:val="20"/>
          <w:szCs w:val="20"/>
          <w:vertAlign w:val="subscript"/>
          <w:rtl w:val="0"/>
        </w:rPr>
        <w:t xml:space="preserve">2</w:t>
      </w:r>
      <w:r w:rsidDel="00000000" w:rsidR="00000000" w:rsidRPr="00000000">
        <w:rPr>
          <w:rFonts w:ascii="Arial" w:cs="Arial" w:eastAsia="Arial" w:hAnsi="Arial"/>
          <w:sz w:val="20"/>
          <w:szCs w:val="20"/>
          <w:rtl w:val="0"/>
        </w:rPr>
        <w:t xml:space="preserve"> sistemático y certificado, que convierte la línea «Magic» en el único carro de limpieza neutro en CO</w:t>
      </w:r>
      <w:r w:rsidDel="00000000" w:rsidR="00000000" w:rsidRPr="00000000">
        <w:rPr>
          <w:rFonts w:ascii="Arial" w:cs="Arial" w:eastAsia="Arial" w:hAnsi="Arial"/>
          <w:sz w:val="20"/>
          <w:szCs w:val="20"/>
          <w:vertAlign w:val="subscript"/>
          <w:rtl w:val="0"/>
        </w:rPr>
        <w:t xml:space="preserve">2</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0A">
      <w:pPr>
        <w:spacing w:after="240" w:before="240" w:line="276" w:lineRule="auto"/>
        <w:ind w:right="-856"/>
        <w:jc w:val="both"/>
        <w:rPr>
          <w:rFonts w:ascii="Arial" w:cs="Arial" w:eastAsia="Arial" w:hAnsi="Arial"/>
          <w:sz w:val="20"/>
          <w:szCs w:val="20"/>
        </w:rPr>
      </w:pPr>
      <w:hyperlink r:id="rId7">
        <w:r w:rsidDel="00000000" w:rsidR="00000000" w:rsidRPr="00000000">
          <w:rPr>
            <w:rFonts w:ascii="Arial" w:cs="Arial" w:eastAsia="Arial" w:hAnsi="Arial"/>
            <w:color w:val="0000ff"/>
            <w:sz w:val="20"/>
            <w:szCs w:val="20"/>
            <w:u w:val="single"/>
            <w:rtl w:val="0"/>
          </w:rPr>
          <w:t xml:space="preserve">www.ttsystem.com</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0B">
      <w:pPr>
        <w:spacing w:after="240" w:before="240" w:line="276" w:lineRule="auto"/>
        <w:ind w:right="-856"/>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C">
      <w:pPr>
        <w:spacing w:after="240" w:before="240" w:line="276" w:lineRule="auto"/>
        <w:ind w:right="-856"/>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Alfred Kärcher SE &amp; Co. KG</w:t>
      </w:r>
      <w:r w:rsidDel="00000000" w:rsidR="00000000" w:rsidRPr="00000000">
        <w:rPr>
          <w:rFonts w:ascii="Arial" w:cs="Arial" w:eastAsia="Arial" w:hAnsi="Arial"/>
          <w:sz w:val="20"/>
          <w:szCs w:val="20"/>
          <w:rtl w:val="0"/>
        </w:rPr>
        <w:t xml:space="preserve"> </w:t>
        <w:br w:type="textWrapping"/>
        <w:t xml:space="preserve">Kärcher es un proveedor líder mundial de tecnología de limpieza. Esta empresa familiar tiene una plantilla de más de 15 330 personas repartidas entre más de 150 filiales en 80 países. Para garantizar una perfecta atención a los clientes, existen más de 50 000 centros de servicio en todos los países. Kärcher registró en el año 2022 el volumen de negocio más alto de su historia, con 3161 millones de euros.</w:t>
      </w:r>
    </w:p>
    <w:p w:rsidR="00000000" w:rsidDel="00000000" w:rsidP="00000000" w:rsidRDefault="00000000" w:rsidRPr="00000000" w14:paraId="0000000D">
      <w:pPr>
        <w:spacing w:after="240" w:before="240" w:line="276" w:lineRule="auto"/>
        <w:ind w:right="-856"/>
        <w:rPr>
          <w:rFonts w:ascii="Arial" w:cs="Arial" w:eastAsia="Arial" w:hAnsi="Arial"/>
          <w:sz w:val="20"/>
          <w:szCs w:val="20"/>
        </w:rPr>
      </w:pPr>
      <w:hyperlink r:id="rId8">
        <w:r w:rsidDel="00000000" w:rsidR="00000000" w:rsidRPr="00000000">
          <w:rPr>
            <w:rFonts w:ascii="Arial" w:cs="Arial" w:eastAsia="Arial" w:hAnsi="Arial"/>
            <w:color w:val="1155cc"/>
            <w:sz w:val="20"/>
            <w:szCs w:val="20"/>
            <w:u w:val="single"/>
            <w:rtl w:val="0"/>
          </w:rPr>
          <w:t xml:space="preserve">www.kaercher.com</w:t>
        </w:r>
      </w:hyperlink>
      <w:r w:rsidDel="00000000" w:rsidR="00000000" w:rsidRPr="00000000">
        <w:rPr>
          <w:rtl w:val="0"/>
        </w:rPr>
      </w:r>
    </w:p>
    <w:p w:rsidR="00000000" w:rsidDel="00000000" w:rsidP="00000000" w:rsidRDefault="00000000" w:rsidRPr="00000000" w14:paraId="0000000E">
      <w:pPr>
        <w:spacing w:after="240" w:line="276" w:lineRule="auto"/>
        <w:ind w:right="-856"/>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F">
      <w:pPr>
        <w:spacing w:after="240" w:line="276" w:lineRule="auto"/>
        <w:ind w:right="-856"/>
        <w:rPr>
          <w:rFonts w:ascii="Arial" w:cs="Arial" w:eastAsia="Arial" w:hAnsi="Arial"/>
          <w:b w:val="1"/>
          <w:sz w:val="20"/>
          <w:szCs w:val="20"/>
          <w:u w:val="single"/>
        </w:rPr>
        <w:sectPr>
          <w:headerReference r:id="rId9" w:type="default"/>
          <w:footerReference r:id="rId10" w:type="default"/>
          <w:pgSz w:h="16840" w:w="11900" w:orient="portrait"/>
          <w:pgMar w:bottom="1134" w:top="2692" w:left="1418" w:right="3123" w:header="709" w:footer="1385"/>
          <w:pgNumType w:start="1"/>
        </w:sectPr>
      </w:pPr>
      <w:r w:rsidDel="00000000" w:rsidR="00000000" w:rsidRPr="00000000">
        <w:rPr>
          <w:rFonts w:ascii="Arial" w:cs="Arial" w:eastAsia="Arial" w:hAnsi="Arial"/>
          <w:b w:val="1"/>
          <w:sz w:val="20"/>
          <w:szCs w:val="20"/>
          <w:u w:val="single"/>
          <w:rtl w:val="0"/>
        </w:rPr>
        <w:t xml:space="preserve">Contacto de prensa</w:t>
      </w:r>
    </w:p>
    <w:p w:rsidR="00000000" w:rsidDel="00000000" w:rsidP="00000000" w:rsidRDefault="00000000" w:rsidRPr="00000000" w14:paraId="00000010">
      <w:pPr>
        <w:spacing w:line="276" w:lineRule="auto"/>
        <w:ind w:right="-856"/>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TTS Cleaning S.R.L.</w:t>
      </w:r>
    </w:p>
    <w:p w:rsidR="00000000" w:rsidDel="00000000" w:rsidP="00000000" w:rsidRDefault="00000000" w:rsidRPr="00000000" w14:paraId="00000011">
      <w:pPr>
        <w:spacing w:line="276" w:lineRule="auto"/>
        <w:ind w:right="-856"/>
        <w:rPr>
          <w:rFonts w:ascii="Arial" w:cs="Arial" w:eastAsia="Arial" w:hAnsi="Arial"/>
          <w:sz w:val="20"/>
          <w:szCs w:val="20"/>
        </w:rPr>
      </w:pPr>
      <w:r w:rsidDel="00000000" w:rsidR="00000000" w:rsidRPr="00000000">
        <w:rPr>
          <w:rFonts w:ascii="Arial" w:cs="Arial" w:eastAsia="Arial" w:hAnsi="Arial"/>
          <w:sz w:val="20"/>
          <w:szCs w:val="20"/>
          <w:rtl w:val="0"/>
        </w:rPr>
        <w:t xml:space="preserve">Ida Mazzola</w:t>
      </w:r>
    </w:p>
    <w:p w:rsidR="00000000" w:rsidDel="00000000" w:rsidP="00000000" w:rsidRDefault="00000000" w:rsidRPr="00000000" w14:paraId="00000012">
      <w:pPr>
        <w:spacing w:line="276" w:lineRule="auto"/>
        <w:ind w:right="-856"/>
        <w:rPr>
          <w:rFonts w:ascii="Arial" w:cs="Arial" w:eastAsia="Arial" w:hAnsi="Arial"/>
          <w:sz w:val="20"/>
          <w:szCs w:val="20"/>
        </w:rPr>
      </w:pPr>
      <w:r w:rsidDel="00000000" w:rsidR="00000000" w:rsidRPr="00000000">
        <w:rPr>
          <w:rFonts w:ascii="Arial" w:cs="Arial" w:eastAsia="Arial" w:hAnsi="Arial"/>
          <w:sz w:val="20"/>
          <w:szCs w:val="20"/>
          <w:rtl w:val="0"/>
        </w:rPr>
        <w:t xml:space="preserve">Directora de Marketing</w:t>
      </w:r>
    </w:p>
    <w:p w:rsidR="00000000" w:rsidDel="00000000" w:rsidP="00000000" w:rsidRDefault="00000000" w:rsidRPr="00000000" w14:paraId="00000013">
      <w:pPr>
        <w:spacing w:line="276" w:lineRule="auto"/>
        <w:ind w:right="-856"/>
        <w:rPr>
          <w:rFonts w:ascii="Arial" w:cs="Arial" w:eastAsia="Arial" w:hAnsi="Arial"/>
          <w:sz w:val="20"/>
          <w:szCs w:val="20"/>
        </w:rPr>
      </w:pPr>
      <w:r w:rsidDel="00000000" w:rsidR="00000000" w:rsidRPr="00000000">
        <w:rPr>
          <w:rFonts w:ascii="Arial" w:cs="Arial" w:eastAsia="Arial" w:hAnsi="Arial"/>
          <w:sz w:val="20"/>
          <w:szCs w:val="20"/>
          <w:rtl w:val="0"/>
        </w:rPr>
        <w:t xml:space="preserve">marketing@ttsystem.com</w:t>
      </w:r>
    </w:p>
    <w:p w:rsidR="00000000" w:rsidDel="00000000" w:rsidP="00000000" w:rsidRDefault="00000000" w:rsidRPr="00000000" w14:paraId="00000014">
      <w:pPr>
        <w:spacing w:line="276" w:lineRule="auto"/>
        <w:ind w:right="-856"/>
        <w:rPr>
          <w:rFonts w:ascii="Arial" w:cs="Arial" w:eastAsia="Arial" w:hAnsi="Arial"/>
          <w:sz w:val="20"/>
          <w:szCs w:val="20"/>
        </w:rPr>
      </w:pPr>
      <w:r w:rsidDel="00000000" w:rsidR="00000000" w:rsidRPr="00000000">
        <w:rPr>
          <w:rFonts w:ascii="Arial" w:cs="Arial" w:eastAsia="Arial" w:hAnsi="Arial"/>
          <w:sz w:val="20"/>
          <w:szCs w:val="20"/>
          <w:rtl w:val="0"/>
        </w:rPr>
        <w:t xml:space="preserve">+39 049 9300710</w:t>
      </w:r>
    </w:p>
    <w:p w:rsidR="00000000" w:rsidDel="00000000" w:rsidP="00000000" w:rsidRDefault="00000000" w:rsidRPr="00000000" w14:paraId="00000015">
      <w:pPr>
        <w:spacing w:line="276" w:lineRule="auto"/>
        <w:ind w:right="-856"/>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6">
      <w:pPr>
        <w:spacing w:line="276" w:lineRule="auto"/>
        <w:ind w:right="-856"/>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Alfred Kärcher SE &amp; Co. KG</w:t>
      </w:r>
    </w:p>
    <w:p w:rsidR="00000000" w:rsidDel="00000000" w:rsidP="00000000" w:rsidRDefault="00000000" w:rsidRPr="00000000" w14:paraId="00000017">
      <w:pPr>
        <w:spacing w:line="276" w:lineRule="auto"/>
        <w:ind w:right="-856"/>
        <w:rPr>
          <w:rFonts w:ascii="Arial" w:cs="Arial" w:eastAsia="Arial" w:hAnsi="Arial"/>
          <w:sz w:val="20"/>
          <w:szCs w:val="20"/>
        </w:rPr>
      </w:pPr>
      <w:r w:rsidDel="00000000" w:rsidR="00000000" w:rsidRPr="00000000">
        <w:rPr>
          <w:rFonts w:ascii="Arial" w:cs="Arial" w:eastAsia="Arial" w:hAnsi="Arial"/>
          <w:sz w:val="20"/>
          <w:szCs w:val="20"/>
          <w:rtl w:val="0"/>
        </w:rPr>
        <w:t xml:space="preserve">David Wickel-Bajak</w:t>
      </w:r>
    </w:p>
    <w:p w:rsidR="00000000" w:rsidDel="00000000" w:rsidP="00000000" w:rsidRDefault="00000000" w:rsidRPr="00000000" w14:paraId="00000018">
      <w:pPr>
        <w:spacing w:line="276" w:lineRule="auto"/>
        <w:ind w:right="-856"/>
        <w:rPr>
          <w:rFonts w:ascii="Arial" w:cs="Arial" w:eastAsia="Arial" w:hAnsi="Arial"/>
          <w:sz w:val="20"/>
          <w:szCs w:val="20"/>
        </w:rPr>
      </w:pPr>
      <w:r w:rsidDel="00000000" w:rsidR="00000000" w:rsidRPr="00000000">
        <w:rPr>
          <w:rFonts w:ascii="Arial" w:cs="Arial" w:eastAsia="Arial" w:hAnsi="Arial"/>
          <w:sz w:val="20"/>
          <w:szCs w:val="20"/>
          <w:rtl w:val="0"/>
        </w:rPr>
        <w:t xml:space="preserve">Jefe de prensa y relaciones públicas</w:t>
      </w:r>
    </w:p>
    <w:p w:rsidR="00000000" w:rsidDel="00000000" w:rsidP="00000000" w:rsidRDefault="00000000" w:rsidRPr="00000000" w14:paraId="00000019">
      <w:pPr>
        <w:spacing w:line="276" w:lineRule="auto"/>
        <w:ind w:right="-856"/>
        <w:rPr>
          <w:rFonts w:ascii="Arial" w:cs="Arial" w:eastAsia="Arial" w:hAnsi="Arial"/>
          <w:sz w:val="20"/>
          <w:szCs w:val="20"/>
        </w:rPr>
      </w:pPr>
      <w:r w:rsidDel="00000000" w:rsidR="00000000" w:rsidRPr="00000000">
        <w:rPr>
          <w:rFonts w:ascii="Arial" w:cs="Arial" w:eastAsia="Arial" w:hAnsi="Arial"/>
          <w:sz w:val="20"/>
          <w:szCs w:val="20"/>
          <w:rtl w:val="0"/>
        </w:rPr>
        <w:t xml:space="preserve">david.wickel-bajak@de.kaercher.com </w:t>
      </w:r>
    </w:p>
    <w:p w:rsidR="00000000" w:rsidDel="00000000" w:rsidP="00000000" w:rsidRDefault="00000000" w:rsidRPr="00000000" w14:paraId="0000001A">
      <w:pPr>
        <w:spacing w:line="276" w:lineRule="auto"/>
        <w:ind w:right="-856"/>
        <w:rPr>
          <w:rFonts w:ascii="Arial" w:cs="Arial" w:eastAsia="Arial" w:hAnsi="Arial"/>
          <w:sz w:val="20"/>
          <w:szCs w:val="20"/>
        </w:rPr>
        <w:sectPr>
          <w:type w:val="continuous"/>
          <w:pgSz w:h="16840" w:w="11900" w:orient="portrait"/>
          <w:pgMar w:bottom="1134" w:top="2692" w:left="1418" w:right="3123" w:header="709" w:footer="1385"/>
          <w:cols w:equalWidth="0" w:num="2">
            <w:col w:space="720" w:w="3319.5000000000005"/>
            <w:col w:space="0" w:w="3319.5000000000005"/>
          </w:cols>
        </w:sectPr>
      </w:pPr>
      <w:r w:rsidDel="00000000" w:rsidR="00000000" w:rsidRPr="00000000">
        <w:rPr>
          <w:rFonts w:ascii="Arial" w:cs="Arial" w:eastAsia="Arial" w:hAnsi="Arial"/>
          <w:sz w:val="20"/>
          <w:szCs w:val="20"/>
          <w:rtl w:val="0"/>
        </w:rPr>
        <w:t xml:space="preserve">+49 7195 142309</w:t>
      </w:r>
    </w:p>
    <w:p w:rsidR="00000000" w:rsidDel="00000000" w:rsidP="00000000" w:rsidRDefault="00000000" w:rsidRPr="00000000" w14:paraId="0000001B">
      <w:pPr>
        <w:spacing w:after="240" w:before="240" w:line="276" w:lineRule="auto"/>
        <w:rPr>
          <w:rFonts w:ascii="Arial" w:cs="Arial" w:eastAsia="Arial" w:hAnsi="Arial"/>
          <w:i w:val="1"/>
          <w:color w:val="0000ff"/>
          <w:sz w:val="20"/>
          <w:szCs w:val="20"/>
        </w:rPr>
      </w:pPr>
      <w:r w:rsidDel="00000000" w:rsidR="00000000" w:rsidRPr="00000000">
        <w:rPr>
          <w:rtl w:val="0"/>
        </w:rPr>
      </w:r>
    </w:p>
    <w:sectPr>
      <w:type w:val="continuous"/>
      <w:pgSz w:h="16840" w:w="11900" w:orient="portrait"/>
      <w:pgMar w:bottom="1134" w:top="2692" w:left="1418" w:right="3123" w:header="709" w:footer="1385"/>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Arial"/>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spacing w:after="2" w:before="2" w:line="360" w:lineRule="auto"/>
      <w:ind w:right="4"/>
      <w:jc w:val="both"/>
      <w:rPr>
        <w:rFonts w:ascii="Arial" w:cs="Arial" w:eastAsia="Arial" w:hAnsi="Arial"/>
      </w:rPr>
    </w:pPr>
    <w:r w:rsidDel="00000000" w:rsidR="00000000" w:rsidRPr="00000000">
      <w:rPr>
        <w:rFonts w:ascii="Arial" w:cs="Arial" w:eastAsia="Arial" w:hAnsi="Arial"/>
        <w:sz w:val="24"/>
        <w:szCs w:val="24"/>
      </w:rPr>
      <w:drawing>
        <wp:anchor allowOverlap="1" behindDoc="0" distB="114300" distT="114300" distL="114300" distR="114300" hidden="0" layoutInCell="1" locked="0" relativeHeight="0" simplePos="0">
          <wp:simplePos x="0" y="0"/>
          <wp:positionH relativeFrom="page">
            <wp:posOffset>5224780</wp:posOffset>
          </wp:positionH>
          <wp:positionV relativeFrom="page">
            <wp:posOffset>392400</wp:posOffset>
          </wp:positionV>
          <wp:extent cx="1837896" cy="781200"/>
          <wp:effectExtent b="0" l="0" r="0" t="0"/>
          <wp:wrapNone/>
          <wp:docPr id="1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37896" cy="781200"/>
                  </a:xfrm>
                  <a:prstGeom prst="rect"/>
                  <a:ln/>
                </pic:spPr>
              </pic:pic>
            </a:graphicData>
          </a:graphic>
        </wp:anchor>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-552447</wp:posOffset>
          </wp:positionH>
          <wp:positionV relativeFrom="paragraph">
            <wp:posOffset>-335912</wp:posOffset>
          </wp:positionV>
          <wp:extent cx="1352233" cy="1352233"/>
          <wp:effectExtent b="0" l="0" r="0" t="0"/>
          <wp:wrapNone/>
          <wp:docPr id="14"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352233" cy="1352233"/>
                  </a:xfrm>
                  <a:prstGeom prst="rect"/>
                  <a:ln/>
                </pic:spPr>
              </pic:pic>
            </a:graphicData>
          </a:graphic>
        </wp:anchor>
      </w:drawing>
    </w:r>
  </w:p>
  <w:p w:rsidR="00000000" w:rsidDel="00000000" w:rsidP="00000000" w:rsidRDefault="00000000" w:rsidRPr="00000000" w14:paraId="0000001D">
    <w:pPr>
      <w:ind w:left="567" w:firstLine="0"/>
      <w:rPr>
        <w:rFonts w:ascii="Arial" w:cs="Arial" w:eastAsia="Arial" w:hAnsi="Arial"/>
        <w:sz w:val="44"/>
        <w:szCs w:val="44"/>
      </w:rPr>
    </w:pPr>
    <w:r w:rsidDel="00000000" w:rsidR="00000000" w:rsidRPr="00000000">
      <w:rPr>
        <w:rtl w:val="0"/>
      </w:rPr>
    </w:r>
  </w:p>
  <w:p w:rsidR="00000000" w:rsidDel="00000000" w:rsidP="00000000" w:rsidRDefault="00000000" w:rsidRPr="00000000" w14:paraId="0000001E">
    <w:pPr>
      <w:spacing w:after="2" w:before="2" w:line="360" w:lineRule="auto"/>
      <w:ind w:left="567" w:firstLine="0"/>
      <w:jc w:val="both"/>
      <w:rPr>
        <w:rFonts w:ascii="Arial" w:cs="Arial" w:eastAsia="Arial" w:hAnsi="Arial"/>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2" w:before="2" w:lineRule="auto"/>
    </w:pPr>
    <w:rPr>
      <w:rFonts w:ascii="Times" w:cs="Times" w:eastAsia="Times" w:hAnsi="Times"/>
      <w:b w:val="1"/>
      <w:sz w:val="48"/>
      <w:szCs w:val="48"/>
    </w:rPr>
  </w:style>
  <w:style w:type="paragraph" w:styleId="Heading2">
    <w:name w:val="heading 2"/>
    <w:basedOn w:val="Normal"/>
    <w:next w:val="Normal"/>
    <w:pPr>
      <w:keepNext w:val="1"/>
      <w:keepLines w:val="1"/>
      <w:spacing w:before="40" w:lineRule="auto"/>
    </w:pPr>
    <w:rPr>
      <w:rFonts w:ascii="Calibri" w:cs="Calibri" w:eastAsia="Calibri" w:hAnsi="Calibri"/>
      <w:color w:val="366091"/>
      <w:sz w:val="26"/>
      <w:szCs w:val="2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spacing w:before="40" w:lineRule="auto"/>
    </w:pPr>
    <w:rPr>
      <w:rFonts w:ascii="Calibri" w:cs="Calibri" w:eastAsia="Calibri" w:hAnsi="Calibri"/>
      <w:i w:val="1"/>
      <w:color w:val="366091"/>
    </w:rPr>
  </w:style>
  <w:style w:type="paragraph" w:styleId="Heading5">
    <w:name w:val="heading 5"/>
    <w:basedOn w:val="Normal"/>
    <w:next w:val="Normal"/>
    <w:pPr>
      <w:keepNext w:val="1"/>
      <w:keepLines w:val="1"/>
      <w:spacing w:before="200" w:lineRule="auto"/>
    </w:pPr>
    <w:rPr>
      <w:rFonts w:ascii="Calibri" w:cs="Calibri" w:eastAsia="Calibri" w:hAnsi="Calibri"/>
      <w:color w:val="243f61"/>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2" w:before="2" w:lineRule="auto"/>
    </w:pPr>
    <w:rPr>
      <w:rFonts w:ascii="Times" w:cs="Times" w:eastAsia="Times" w:hAnsi="Times"/>
      <w:b w:val="1"/>
      <w:sz w:val="48"/>
      <w:szCs w:val="48"/>
    </w:rPr>
  </w:style>
  <w:style w:type="paragraph" w:styleId="Heading2">
    <w:name w:val="heading 2"/>
    <w:basedOn w:val="Normal"/>
    <w:next w:val="Normal"/>
    <w:pPr>
      <w:keepNext w:val="1"/>
      <w:keepLines w:val="1"/>
      <w:spacing w:before="40" w:lineRule="auto"/>
    </w:pPr>
    <w:rPr>
      <w:rFonts w:ascii="Calibri" w:cs="Calibri" w:eastAsia="Calibri" w:hAnsi="Calibri"/>
      <w:color w:val="366091"/>
      <w:sz w:val="26"/>
      <w:szCs w:val="2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spacing w:before="40" w:lineRule="auto"/>
    </w:pPr>
    <w:rPr>
      <w:rFonts w:ascii="Calibri" w:cs="Calibri" w:eastAsia="Calibri" w:hAnsi="Calibri"/>
      <w:i w:val="1"/>
      <w:color w:val="366091"/>
    </w:rPr>
  </w:style>
  <w:style w:type="paragraph" w:styleId="Heading5">
    <w:name w:val="heading 5"/>
    <w:basedOn w:val="Normal"/>
    <w:next w:val="Normal"/>
    <w:pPr>
      <w:keepNext w:val="1"/>
      <w:keepLines w:val="1"/>
      <w:spacing w:before="200" w:lineRule="auto"/>
    </w:pPr>
    <w:rPr>
      <w:rFonts w:ascii="Calibri" w:cs="Calibri" w:eastAsia="Calibri" w:hAnsi="Calibri"/>
      <w:color w:val="243f61"/>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Standard" w:default="1">
    <w:name w:val="Normal"/>
  </w:style>
  <w:style w:type="paragraph" w:styleId="berschrift1">
    <w:name w:val="heading 1"/>
    <w:basedOn w:val="Standard"/>
    <w:next w:val="Standard"/>
    <w:pPr>
      <w:spacing w:after="2" w:before="2"/>
      <w:outlineLvl w:val="0"/>
    </w:pPr>
    <w:rPr>
      <w:rFonts w:ascii="Times" w:cs="Times" w:eastAsia="Times" w:hAnsi="Times"/>
      <w:b w:val="1"/>
      <w:sz w:val="48"/>
      <w:szCs w:val="48"/>
    </w:rPr>
  </w:style>
  <w:style w:type="paragraph" w:styleId="berschrift2">
    <w:name w:val="heading 2"/>
    <w:basedOn w:val="Standard"/>
    <w:next w:val="Standard"/>
    <w:pPr>
      <w:keepNext w:val="1"/>
      <w:keepLines w:val="1"/>
      <w:spacing w:before="40"/>
      <w:outlineLvl w:val="1"/>
    </w:pPr>
    <w:rPr>
      <w:rFonts w:ascii="Calibri" w:cs="Calibri" w:eastAsia="Calibri" w:hAnsi="Calibri"/>
      <w:color w:val="366091"/>
      <w:sz w:val="26"/>
      <w:szCs w:val="26"/>
    </w:rPr>
  </w:style>
  <w:style w:type="paragraph" w:styleId="berschrift3">
    <w:name w:val="heading 3"/>
    <w:basedOn w:val="Standard"/>
    <w:next w:val="Standard"/>
    <w:pPr>
      <w:keepNext w:val="1"/>
      <w:keepLines w:val="1"/>
      <w:pBdr>
        <w:top w:space="0" w:sz="0" w:val="nil"/>
        <w:left w:space="0" w:sz="0" w:val="nil"/>
        <w:bottom w:space="0" w:sz="0" w:val="nil"/>
        <w:right w:space="0" w:sz="0" w:val="nil"/>
        <w:between w:space="0" w:sz="0" w:val="nil"/>
      </w:pBdr>
      <w:spacing w:after="80" w:before="280"/>
      <w:outlineLvl w:val="2"/>
    </w:pPr>
    <w:rPr>
      <w:b w:val="1"/>
      <w:color w:val="000000"/>
      <w:sz w:val="28"/>
      <w:szCs w:val="28"/>
    </w:rPr>
  </w:style>
  <w:style w:type="paragraph" w:styleId="berschrift4">
    <w:name w:val="heading 4"/>
    <w:basedOn w:val="Standard"/>
    <w:next w:val="Standard"/>
    <w:pPr>
      <w:keepNext w:val="1"/>
      <w:keepLines w:val="1"/>
      <w:spacing w:before="40"/>
      <w:outlineLvl w:val="3"/>
    </w:pPr>
    <w:rPr>
      <w:rFonts w:ascii="Calibri" w:cs="Calibri" w:eastAsia="Calibri" w:hAnsi="Calibri"/>
      <w:i w:val="1"/>
      <w:color w:val="366091"/>
    </w:rPr>
  </w:style>
  <w:style w:type="paragraph" w:styleId="berschrift5">
    <w:name w:val="heading 5"/>
    <w:basedOn w:val="Standard"/>
    <w:next w:val="Standard"/>
    <w:pPr>
      <w:keepNext w:val="1"/>
      <w:keepLines w:val="1"/>
      <w:spacing w:before="200"/>
      <w:outlineLvl w:val="4"/>
    </w:pPr>
    <w:rPr>
      <w:rFonts w:ascii="Calibri" w:cs="Calibri" w:eastAsia="Calibri" w:hAnsi="Calibri"/>
      <w:color w:val="243f61"/>
    </w:rPr>
  </w:style>
  <w:style w:type="paragraph" w:styleId="berschrift6">
    <w:name w:val="heading 6"/>
    <w:basedOn w:val="Standard"/>
    <w:next w:val="Standard"/>
    <w:pPr>
      <w:keepNext w:val="1"/>
      <w:keepLines w:val="1"/>
      <w:pBdr>
        <w:top w:space="0" w:sz="0" w:val="nil"/>
        <w:left w:space="0" w:sz="0" w:val="nil"/>
        <w:bottom w:space="0" w:sz="0" w:val="nil"/>
        <w:right w:space="0" w:sz="0" w:val="nil"/>
        <w:between w:space="0" w:sz="0" w:val="nil"/>
      </w:pBdr>
      <w:spacing w:after="40" w:before="200"/>
      <w:outlineLvl w:val="5"/>
    </w:pPr>
    <w:rPr>
      <w:b w:val="1"/>
      <w:color w:val="000000"/>
      <w:sz w:val="20"/>
      <w:szCs w:val="20"/>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pPr>
      <w:keepNext w:val="1"/>
      <w:keepLines w:val="1"/>
      <w:pBdr>
        <w:top w:space="0" w:sz="0" w:val="nil"/>
        <w:left w:space="0" w:sz="0" w:val="nil"/>
        <w:bottom w:space="0" w:sz="0" w:val="nil"/>
        <w:right w:space="0" w:sz="0" w:val="nil"/>
        <w:between w:space="0" w:sz="0" w:val="nil"/>
      </w:pBdr>
      <w:spacing w:after="120" w:before="480"/>
    </w:pPr>
    <w:rPr>
      <w:b w:val="1"/>
      <w:color w:val="000000"/>
      <w:sz w:val="72"/>
      <w:szCs w:val="72"/>
    </w:rPr>
  </w:style>
  <w:style w:type="paragraph" w:styleId="Untertitel">
    <w:name w:val="Subtitle"/>
    <w:basedOn w:val="Standard"/>
    <w:next w:val="Standard"/>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character" w:styleId="Hyperlink">
    <w:name w:val="Hyperlink"/>
    <w:basedOn w:val="Absatz-Standardschriftart"/>
    <w:uiPriority w:val="99"/>
    <w:unhideWhenUsed w:val="1"/>
    <w:rsid w:val="00CF65EA"/>
    <w:rPr>
      <w:color w:val="0000ff" w:themeColor="hyperlink"/>
      <w:u w:val="single"/>
    </w:rPr>
  </w:style>
  <w:style w:type="character" w:styleId="UnresolvedMention" w:customStyle="1">
    <w:name w:val="Unresolved Mention"/>
    <w:basedOn w:val="Absatz-Standardschriftart"/>
    <w:uiPriority w:val="99"/>
    <w:semiHidden w:val="1"/>
    <w:unhideWhenUsed w:val="1"/>
    <w:rsid w:val="00CF65EA"/>
    <w:rPr>
      <w:color w:val="605e5c"/>
      <w:shd w:color="auto" w:fill="e1dfdd" w:val="clear"/>
    </w:rPr>
  </w:style>
  <w:style w:type="paragraph" w:styleId="Sprechblasentext">
    <w:name w:val="Balloon Text"/>
    <w:basedOn w:val="Standard"/>
    <w:link w:val="SprechblasentextZchn"/>
    <w:uiPriority w:val="99"/>
    <w:semiHidden w:val="1"/>
    <w:unhideWhenUsed w:val="1"/>
    <w:rsid w:val="00105C22"/>
    <w:rPr>
      <w:rFonts w:ascii="Segoe UI" w:cs="Segoe UI" w:hAnsi="Segoe UI"/>
      <w:sz w:val="18"/>
      <w:szCs w:val="18"/>
    </w:rPr>
  </w:style>
  <w:style w:type="character" w:styleId="SprechblasentextZchn" w:customStyle="1">
    <w:name w:val="Sprechblasentext Zchn"/>
    <w:basedOn w:val="Absatz-Standardschriftart"/>
    <w:link w:val="Sprechblasentext"/>
    <w:uiPriority w:val="99"/>
    <w:semiHidden w:val="1"/>
    <w:rsid w:val="00105C22"/>
    <w:rPr>
      <w:rFonts w:ascii="Segoe UI" w:cs="Segoe UI" w:hAnsi="Segoe UI"/>
      <w:sz w:val="18"/>
      <w:szCs w:val="18"/>
    </w:rPr>
  </w:style>
  <w:style w:type="character" w:styleId="Kommentarzeichen">
    <w:name w:val="annotation reference"/>
    <w:basedOn w:val="Absatz-Standardschriftart"/>
    <w:uiPriority w:val="99"/>
    <w:semiHidden w:val="1"/>
    <w:unhideWhenUsed w:val="1"/>
    <w:rsid w:val="00105C22"/>
    <w:rPr>
      <w:sz w:val="16"/>
      <w:szCs w:val="16"/>
    </w:rPr>
  </w:style>
  <w:style w:type="paragraph" w:styleId="Kommentartext">
    <w:name w:val="annotation text"/>
    <w:basedOn w:val="Standard"/>
    <w:link w:val="KommentartextZchn"/>
    <w:uiPriority w:val="99"/>
    <w:semiHidden w:val="1"/>
    <w:unhideWhenUsed w:val="1"/>
    <w:rsid w:val="00105C22"/>
    <w:rPr>
      <w:sz w:val="20"/>
      <w:szCs w:val="20"/>
    </w:rPr>
  </w:style>
  <w:style w:type="character" w:styleId="KommentartextZchn" w:customStyle="1">
    <w:name w:val="Kommentartext Zchn"/>
    <w:basedOn w:val="Absatz-Standardschriftart"/>
    <w:link w:val="Kommentartext"/>
    <w:uiPriority w:val="99"/>
    <w:semiHidden w:val="1"/>
    <w:rsid w:val="00105C22"/>
    <w:rPr>
      <w:sz w:val="20"/>
      <w:szCs w:val="20"/>
    </w:rPr>
  </w:style>
  <w:style w:type="paragraph" w:styleId="Kommentarthema">
    <w:name w:val="annotation subject"/>
    <w:basedOn w:val="Kommentartext"/>
    <w:next w:val="Kommentartext"/>
    <w:link w:val="KommentarthemaZchn"/>
    <w:uiPriority w:val="99"/>
    <w:semiHidden w:val="1"/>
    <w:unhideWhenUsed w:val="1"/>
    <w:rsid w:val="00105C22"/>
    <w:rPr>
      <w:b w:val="1"/>
      <w:bCs w:val="1"/>
    </w:rPr>
  </w:style>
  <w:style w:type="character" w:styleId="KommentarthemaZchn" w:customStyle="1">
    <w:name w:val="Kommentarthema Zchn"/>
    <w:basedOn w:val="KommentartextZchn"/>
    <w:link w:val="Kommentarthema"/>
    <w:uiPriority w:val="99"/>
    <w:semiHidden w:val="1"/>
    <w:rsid w:val="00105C22"/>
    <w:rPr>
      <w:b w:val="1"/>
      <w:bCs w:val="1"/>
      <w:sz w:val="20"/>
      <w:szCs w:val="20"/>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ttsystem.com" TargetMode="External"/><Relationship Id="rId8" Type="http://schemas.openxmlformats.org/officeDocument/2006/relationships/hyperlink" Target="http://www.kaerch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xmlns:star_td="http://www.star-group.net/schemas/transit/filters/textdata"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5uJyXpYN7xRAr18ES55PjzWDmJQ==">AMUW2mXQ+SmOGsT5WsS8v6OBPN07rslEDtQ/cyFudxpSHV9Olq4C834LZMOIryhmCF0dZ9kHMIp6Nngn5LnUoQk8T2vVTQk8FiV7cLPOBpD6o9vHJXBnv7M=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2023-04-14T07:34:00Z</dcterms:created>
  <dc:creator>Carla Zorzo</dc:creator>
</cp:coreProperties>
</file>