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NoSpacing"/>
        <w:ind w:left="993"/>
      </w:pPr>
    </w:p>
    <w:p w:rsidR="00B97593" w:rsidRDefault="00932BCB" w:rsidP="006917E1">
      <w:pPr>
        <w:pStyle w:val="NoSpacing"/>
        <w:ind w:left="993"/>
      </w:pPr>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1990725</wp:posOffset>
                </wp:positionH>
                <wp:positionV relativeFrom="paragraph">
                  <wp:posOffset>66040</wp:posOffset>
                </wp:positionV>
                <wp:extent cx="4709795" cy="67564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B00" w:rsidRPr="00D01FB0" w:rsidRDefault="00734B00"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p w:rsidR="00734B00" w:rsidRPr="00017FD1" w:rsidRDefault="00734B00" w:rsidP="00673D3E">
                            <w:pPr>
                              <w:rPr>
                                <w:color w:val="003768"/>
                                <w:szCs w:val="20"/>
                                <w:lang w:val="fr-FR"/>
                              </w:rPr>
                            </w:pPr>
                            <w:r w:rsidRPr="00017FD1">
                              <w:rPr>
                                <w:rFonts w:ascii="Rockwell" w:hAnsi="Rockwell" w:cs="Rockwell"/>
                                <w:color w:val="003768"/>
                                <w:sz w:val="20"/>
                                <w:szCs w:val="20"/>
                                <w:lang w:val="fr-FR" w:eastAsia="nl-BE"/>
                              </w:rPr>
                              <w:t>Hors séance boursière – Information réglementée*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kMtgIAALk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" filled="f" stroked="f">
                <v:textbox>
                  <w:txbxContent>
                    <w:p w:rsidR="00734B00" w:rsidRPr="00D01FB0" w:rsidRDefault="00734B00" w:rsidP="00673D3E">
                      <w:pPr>
                        <w:spacing w:after="0" w:line="240" w:lineRule="auto"/>
                        <w:rPr>
                          <w:rFonts w:ascii="Rockwell" w:hAnsi="Rockwell" w:cs="Rockwell"/>
                          <w:color w:val="00AEEF"/>
                          <w:sz w:val="48"/>
                          <w:szCs w:val="48"/>
                          <w:lang w:val="fr-FR" w:eastAsia="nl-BE"/>
                        </w:rPr>
                      </w:pPr>
                      <w:r w:rsidRPr="00D01FB0">
                        <w:rPr>
                          <w:rFonts w:ascii="Rockwell" w:hAnsi="Rockwell" w:cs="Rockwell"/>
                          <w:color w:val="00AEEF"/>
                          <w:sz w:val="48"/>
                          <w:szCs w:val="48"/>
                          <w:lang w:val="fr-FR" w:eastAsia="nl-BE"/>
                        </w:rPr>
                        <w:t>Communiqué de presse</w:t>
                      </w:r>
                    </w:p>
                    <w:p w:rsidR="00734B00" w:rsidRPr="00017FD1" w:rsidRDefault="00734B00" w:rsidP="00673D3E">
                      <w:pPr>
                        <w:rPr>
                          <w:color w:val="003768"/>
                          <w:szCs w:val="20"/>
                          <w:lang w:val="fr-FR"/>
                        </w:rPr>
                      </w:pPr>
                      <w:r w:rsidRPr="00017FD1">
                        <w:rPr>
                          <w:rFonts w:ascii="Rockwell" w:hAnsi="Rockwell" w:cs="Rockwell"/>
                          <w:color w:val="003768"/>
                          <w:sz w:val="20"/>
                          <w:szCs w:val="20"/>
                          <w:lang w:val="fr-FR" w:eastAsia="nl-BE"/>
                        </w:rPr>
                        <w:t>Hors séance boursière – Information réglementée*</w:t>
                      </w:r>
                    </w:p>
                  </w:txbxContent>
                </v:textbox>
              </v:shape>
            </w:pict>
          </mc:Fallback>
        </mc:AlternateContent>
      </w:r>
      <w:r w:rsidR="00D57A50">
        <w:rPr>
          <w:noProof/>
          <w:lang w:val="nl-BE" w:eastAsia="nl-BE"/>
        </w:rPr>
        <w:drawing>
          <wp:inline distT="0" distB="0" distL="0" distR="0">
            <wp:extent cx="808355" cy="61658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8355" cy="616585"/>
                    </a:xfrm>
                    <a:prstGeom prst="rect">
                      <a:avLst/>
                    </a:prstGeom>
                    <a:noFill/>
                    <a:ln w="9525">
                      <a:noFill/>
                      <a:miter lim="800000"/>
                      <a:headEnd/>
                      <a:tailEnd/>
                    </a:ln>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D57A50" w:rsidP="00FC36C2">
      <w:pPr>
        <w:pStyle w:val="NoSpacing"/>
        <w:ind w:left="284"/>
      </w:pPr>
      <w:r>
        <w:rPr>
          <w:noProof/>
          <w:lang w:val="nl-BE" w:eastAsia="nl-BE"/>
        </w:rPr>
        <w:drawing>
          <wp:inline distT="0" distB="0" distL="0" distR="0">
            <wp:extent cx="6772910" cy="170180"/>
            <wp:effectExtent l="19050" t="0" r="889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2910" cy="170180"/>
                    </a:xfrm>
                    <a:prstGeom prst="rect">
                      <a:avLst/>
                    </a:prstGeom>
                    <a:noFill/>
                    <a:ln w="9525">
                      <a:noFill/>
                      <a:miter lim="800000"/>
                      <a:headEnd/>
                      <a:tailEnd/>
                    </a:ln>
                  </pic:spPr>
                </pic:pic>
              </a:graphicData>
            </a:graphic>
          </wp:inline>
        </w:drawing>
      </w:r>
    </w:p>
    <w:p w:rsidR="00D14EBE" w:rsidRDefault="00D14EBE" w:rsidP="00D14EBE">
      <w:pPr>
        <w:pStyle w:val="NoSpacing"/>
        <w:ind w:left="993"/>
        <w:rPr>
          <w:lang w:val="fr-FR"/>
        </w:rPr>
      </w:pPr>
    </w:p>
    <w:p w:rsidR="0077354C" w:rsidRPr="009C1678" w:rsidRDefault="00001188" w:rsidP="0077354C">
      <w:pPr>
        <w:ind w:left="993"/>
        <w:rPr>
          <w:color w:val="003768"/>
          <w:lang w:val="fr-FR"/>
        </w:rPr>
      </w:pPr>
      <w:r>
        <w:rPr>
          <w:color w:val="003768"/>
          <w:lang w:val="fr-FR"/>
        </w:rPr>
        <w:t xml:space="preserve">Bruxelles, </w:t>
      </w:r>
      <w:r w:rsidR="00E84EB9">
        <w:rPr>
          <w:color w:val="003768"/>
          <w:lang w:val="fr-FR"/>
        </w:rPr>
        <w:t>13 novembre</w:t>
      </w:r>
      <w:r>
        <w:rPr>
          <w:color w:val="003768"/>
          <w:lang w:val="fr-FR"/>
        </w:rPr>
        <w:t xml:space="preserve"> 2014</w:t>
      </w:r>
      <w:r w:rsidR="00E84EB9">
        <w:rPr>
          <w:color w:val="003768"/>
          <w:lang w:val="fr-FR"/>
        </w:rPr>
        <w:t xml:space="preserve"> (07</w:t>
      </w:r>
      <w:r w:rsidR="0077354C" w:rsidRPr="009C1678">
        <w:rPr>
          <w:color w:val="003768"/>
          <w:lang w:val="fr-FR"/>
        </w:rPr>
        <w:t xml:space="preserve">.00 </w:t>
      </w:r>
      <w:proofErr w:type="spellStart"/>
      <w:r w:rsidR="0077354C" w:rsidRPr="009C1678">
        <w:rPr>
          <w:color w:val="003768"/>
          <w:lang w:val="fr-FR"/>
        </w:rPr>
        <w:t>a.m</w:t>
      </w:r>
      <w:proofErr w:type="spellEnd"/>
      <w:r w:rsidR="0077354C" w:rsidRPr="009C1678">
        <w:rPr>
          <w:color w:val="003768"/>
          <w:lang w:val="fr-FR"/>
        </w:rPr>
        <w:t>. CET)</w:t>
      </w:r>
    </w:p>
    <w:p w:rsidR="0077354C" w:rsidRPr="00017FD1" w:rsidRDefault="0077354C" w:rsidP="0077354C">
      <w:pPr>
        <w:autoSpaceDE w:val="0"/>
        <w:autoSpaceDN w:val="0"/>
        <w:adjustRightInd w:val="0"/>
        <w:spacing w:after="0" w:line="240" w:lineRule="auto"/>
        <w:ind w:left="993" w:right="4"/>
        <w:rPr>
          <w:rFonts w:cs="Arial"/>
          <w:b/>
          <w:bCs/>
          <w:color w:val="003768"/>
          <w:sz w:val="28"/>
          <w:szCs w:val="28"/>
          <w:lang w:val="fr-FR"/>
        </w:rPr>
      </w:pPr>
    </w:p>
    <w:p w:rsidR="0077354C" w:rsidRPr="00D01FB0" w:rsidRDefault="00734B00" w:rsidP="0077354C">
      <w:pPr>
        <w:ind w:left="993" w:right="-31"/>
        <w:rPr>
          <w:rFonts w:ascii="Rockwell" w:hAnsi="Rockwell"/>
          <w:b/>
          <w:color w:val="00AEEF"/>
          <w:lang w:val="fr-FR"/>
        </w:rPr>
      </w:pPr>
      <w:r>
        <w:rPr>
          <w:rFonts w:ascii="Rockwell" w:hAnsi="Rockwell" w:cs="Rockwell,Bold"/>
          <w:b/>
          <w:bCs/>
          <w:color w:val="00AEEF"/>
          <w:sz w:val="48"/>
          <w:szCs w:val="48"/>
          <w:lang w:val="fr-FR"/>
        </w:rPr>
        <w:t>R</w:t>
      </w:r>
      <w:r w:rsidRPr="00734B00">
        <w:rPr>
          <w:rFonts w:ascii="Rockwell" w:hAnsi="Rockwell" w:cs="Rockwell,Bold"/>
          <w:b/>
          <w:bCs/>
          <w:color w:val="00AEEF"/>
          <w:sz w:val="48"/>
          <w:szCs w:val="48"/>
          <w:lang w:val="fr-FR"/>
        </w:rPr>
        <w:t>obustes résultats et achèvement du programme de désinvestissements</w:t>
      </w:r>
      <w:r>
        <w:rPr>
          <w:rFonts w:ascii="Rockwell" w:hAnsi="Rockwell" w:cs="Rockwell,Bold"/>
          <w:b/>
          <w:bCs/>
          <w:color w:val="00AEEF"/>
          <w:sz w:val="48"/>
          <w:szCs w:val="48"/>
          <w:lang w:val="fr-FR"/>
        </w:rPr>
        <w:t xml:space="preserve"> </w:t>
      </w:r>
    </w:p>
    <w:p w:rsidR="00734B00" w:rsidRPr="00734B00" w:rsidRDefault="00734B00" w:rsidP="00734B00">
      <w:pPr>
        <w:autoSpaceDE w:val="0"/>
        <w:autoSpaceDN w:val="0"/>
        <w:adjustRightInd w:val="0"/>
        <w:spacing w:after="120" w:line="240" w:lineRule="auto"/>
        <w:ind w:left="992" w:right="6"/>
        <w:jc w:val="both"/>
        <w:rPr>
          <w:rFonts w:cs="Arial"/>
          <w:b/>
          <w:bCs/>
          <w:color w:val="003768"/>
          <w:lang w:val="fr-FR"/>
        </w:rPr>
      </w:pPr>
      <w:r w:rsidRPr="00734B00">
        <w:rPr>
          <w:rFonts w:cs="Arial"/>
          <w:b/>
          <w:bCs/>
          <w:color w:val="003768"/>
          <w:lang w:val="fr-FR"/>
        </w:rPr>
        <w:t>KBC clôture le troisième trimestre 2014 sur un bénéfice net de 591 millions d’euros, contre</w:t>
      </w:r>
      <w:r w:rsidR="003E2730">
        <w:rPr>
          <w:rFonts w:cs="Arial"/>
          <w:b/>
          <w:bCs/>
          <w:color w:val="003768"/>
          <w:lang w:val="fr-FR"/>
        </w:rPr>
        <w:t xml:space="preserve"> </w:t>
      </w:r>
      <w:r w:rsidRPr="00734B00">
        <w:rPr>
          <w:rFonts w:cs="Arial"/>
          <w:b/>
          <w:bCs/>
          <w:color w:val="003768"/>
          <w:lang w:val="fr-FR"/>
        </w:rPr>
        <w:t>317 millions d'euros pour le trimestre précédent et 272 millions d'euros au troisième trimestre 2013.</w:t>
      </w:r>
    </w:p>
    <w:p w:rsidR="0077354C" w:rsidRPr="00734B00" w:rsidRDefault="00734B00" w:rsidP="00734B00">
      <w:pPr>
        <w:autoSpaceDE w:val="0"/>
        <w:autoSpaceDN w:val="0"/>
        <w:adjustRightInd w:val="0"/>
        <w:spacing w:after="120" w:line="240" w:lineRule="auto"/>
        <w:ind w:left="992" w:right="6"/>
        <w:jc w:val="both"/>
        <w:rPr>
          <w:rFonts w:cs="Arial"/>
          <w:b/>
          <w:bCs/>
          <w:color w:val="003768"/>
          <w:lang w:val="fr-FR"/>
        </w:rPr>
      </w:pPr>
      <w:r w:rsidRPr="00734B00">
        <w:rPr>
          <w:rFonts w:cs="Arial"/>
          <w:b/>
          <w:bCs/>
          <w:color w:val="003768"/>
          <w:lang w:val="fr-FR"/>
        </w:rPr>
        <w:t xml:space="preserve">Abstraction faite de l'incidence des activités </w:t>
      </w:r>
      <w:proofErr w:type="spellStart"/>
      <w:r w:rsidRPr="00734B00">
        <w:rPr>
          <w:rFonts w:cs="Arial"/>
          <w:b/>
          <w:bCs/>
          <w:color w:val="003768"/>
          <w:lang w:val="fr-FR"/>
        </w:rPr>
        <w:t>legacy</w:t>
      </w:r>
      <w:proofErr w:type="spellEnd"/>
      <w:r w:rsidRPr="00734B00">
        <w:rPr>
          <w:rFonts w:cs="Arial"/>
          <w:b/>
          <w:bCs/>
          <w:color w:val="003768"/>
          <w:lang w:val="fr-FR"/>
        </w:rPr>
        <w:t xml:space="preserve"> (CDO, désinvestissements) et de la valorisation du risque de crédit propre, le bénéfice net ajusté s’élève à 477 millions d’euros au troisième trimestre 2014, contre 287 millions d'euros au deuxième trimestre 2014 et 457 millions d'euros au troisième trimestre 2013.</w:t>
      </w:r>
    </w:p>
    <w:p w:rsidR="00734B00" w:rsidRPr="00734B00" w:rsidRDefault="00734B00" w:rsidP="0077354C">
      <w:pPr>
        <w:autoSpaceDE w:val="0"/>
        <w:autoSpaceDN w:val="0"/>
        <w:adjustRightInd w:val="0"/>
        <w:spacing w:after="0" w:line="240" w:lineRule="auto"/>
        <w:ind w:left="993" w:right="4"/>
        <w:rPr>
          <w:rFonts w:cs="Arial"/>
          <w:b/>
          <w:bCs/>
          <w:i/>
          <w:color w:val="003768"/>
          <w:lang w:val="fr-FR"/>
        </w:rPr>
      </w:pPr>
      <w:r w:rsidRPr="0090019F">
        <w:rPr>
          <w:noProof/>
          <w:sz w:val="10"/>
          <w:szCs w:val="10"/>
          <w:lang w:val="nl-BE" w:eastAsia="nl-BE"/>
        </w:rPr>
        <w:drawing>
          <wp:anchor distT="0" distB="0" distL="114300" distR="114300" simplePos="0" relativeHeight="251660800" behindDoc="0" locked="0" layoutInCell="1" allowOverlap="1" wp14:anchorId="796C35D9" wp14:editId="475AD060">
            <wp:simplePos x="0" y="0"/>
            <wp:positionH relativeFrom="margin">
              <wp:posOffset>649605</wp:posOffset>
            </wp:positionH>
            <wp:positionV relativeFrom="margin">
              <wp:posOffset>3931920</wp:posOffset>
            </wp:positionV>
            <wp:extent cx="1541145" cy="2139950"/>
            <wp:effectExtent l="0" t="0" r="190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2139950"/>
                    </a:xfrm>
                    <a:prstGeom prst="rect">
                      <a:avLst/>
                    </a:prstGeom>
                    <a:noFill/>
                  </pic:spPr>
                </pic:pic>
              </a:graphicData>
            </a:graphic>
            <wp14:sizeRelH relativeFrom="margin">
              <wp14:pctWidth>0</wp14:pctWidth>
            </wp14:sizeRelH>
            <wp14:sizeRelV relativeFrom="margin">
              <wp14:pctHeight>0</wp14:pctHeight>
            </wp14:sizeRelV>
          </wp:anchor>
        </w:drawing>
      </w:r>
      <w:r w:rsidRPr="00734B00">
        <w:rPr>
          <w:rFonts w:cs="Arial"/>
          <w:b/>
          <w:bCs/>
          <w:i/>
          <w:color w:val="003768"/>
          <w:lang w:val="fr-FR"/>
        </w:rPr>
        <w:t>Johan Thijs, CEO du groupe :</w:t>
      </w:r>
    </w:p>
    <w:p w:rsidR="00734B00" w:rsidRPr="00734B00" w:rsidRDefault="00734B00" w:rsidP="0077354C">
      <w:pPr>
        <w:autoSpaceDE w:val="0"/>
        <w:autoSpaceDN w:val="0"/>
        <w:adjustRightInd w:val="0"/>
        <w:spacing w:after="0" w:line="240" w:lineRule="auto"/>
        <w:ind w:left="993" w:right="4"/>
        <w:rPr>
          <w:rFonts w:cs="Arial"/>
          <w:bCs/>
          <w:color w:val="003768"/>
          <w:lang w:val="fr-FR"/>
        </w:rPr>
      </w:pP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 xml:space="preserve">"L'été 2014 a été marqué par des conditions de taux d'intérêt bas et un essoufflement de la relance économique qui s'était amorcée plus tôt dans l'année dans un contexte de faible inflation. Malgré ces développements, KBC dégage un bénéfice net de 591 millions d'euros au troisième trimestre, soit </w:t>
      </w:r>
      <w:r>
        <w:rPr>
          <w:rFonts w:cs="Arial"/>
          <w:bCs/>
          <w:i/>
          <w:color w:val="003768"/>
          <w:lang w:val="fr-FR"/>
        </w:rPr>
        <w:t xml:space="preserve">  </w:t>
      </w:r>
      <w:r w:rsidRPr="00734B00">
        <w:rPr>
          <w:rFonts w:cs="Arial"/>
          <w:bCs/>
          <w:i/>
          <w:color w:val="003768"/>
          <w:lang w:val="fr-FR"/>
        </w:rPr>
        <w:t>477 millions d'euros en termes de bénéfice ajusté. Le groupe continue d'engranger d'excellents résultats commerciaux : hausse des revenus nets d'intérêts et gonflement du volume d'octroi de crédits et des dépôts de la clientèle. Nos revenus de commissions augmentent aussi, principalement dans les activités d'</w:t>
      </w:r>
      <w:proofErr w:type="spellStart"/>
      <w:r w:rsidRPr="00734B00">
        <w:rPr>
          <w:rFonts w:cs="Arial"/>
          <w:bCs/>
          <w:i/>
          <w:color w:val="003768"/>
          <w:lang w:val="fr-FR"/>
        </w:rPr>
        <w:t>asset</w:t>
      </w:r>
      <w:proofErr w:type="spellEnd"/>
      <w:r w:rsidRPr="00734B00">
        <w:rPr>
          <w:rFonts w:cs="Arial"/>
          <w:bCs/>
          <w:i/>
          <w:color w:val="003768"/>
          <w:lang w:val="fr-FR"/>
        </w:rPr>
        <w:t xml:space="preserve"> management. Le ratio combiné de nos activités d'assurance non vie demeure robuste et les ventes de produits d'assurance vie augmentent également. Le ratio charges/produits ajusté des éléments exceptionnels se maintient bien aussi. Les réductions de valeur pour pertes de crédit augmentent légèrement par rapport au niveau du trimestre précédent, mais demeurent globalement faibles, un recul pouvant être observé en Irlande. Nos revenus globaux continuent de se ressentir légèrement d'ajustements défavorables </w:t>
      </w:r>
      <w:proofErr w:type="spellStart"/>
      <w:r w:rsidRPr="00734B00">
        <w:rPr>
          <w:rFonts w:cs="Arial"/>
          <w:bCs/>
          <w:i/>
          <w:color w:val="003768"/>
          <w:lang w:val="fr-FR"/>
        </w:rPr>
        <w:t>marked</w:t>
      </w:r>
      <w:proofErr w:type="spellEnd"/>
      <w:r w:rsidRPr="00734B00">
        <w:rPr>
          <w:rFonts w:cs="Arial"/>
          <w:bCs/>
          <w:i/>
          <w:color w:val="003768"/>
          <w:lang w:val="fr-FR"/>
        </w:rPr>
        <w:t>-to-</w:t>
      </w:r>
      <w:proofErr w:type="spellStart"/>
      <w:r w:rsidRPr="00734B00">
        <w:rPr>
          <w:rFonts w:cs="Arial"/>
          <w:bCs/>
          <w:i/>
          <w:color w:val="003768"/>
          <w:lang w:val="fr-FR"/>
        </w:rPr>
        <w:t>market</w:t>
      </w:r>
      <w:proofErr w:type="spellEnd"/>
      <w:r w:rsidRPr="00734B00">
        <w:rPr>
          <w:rFonts w:cs="Arial"/>
          <w:bCs/>
          <w:i/>
          <w:color w:val="003768"/>
          <w:lang w:val="fr-FR"/>
        </w:rPr>
        <w:t xml:space="preserve"> de la valeur des produits dérivés utilisés à des fins de gestion de l'actif et du passif (ALM). </w:t>
      </w: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 xml:space="preserve">Outre ces excellents résultats commerciaux, le groupe a achevé son programme de désinvestissements convenu avec la Commission européenne en 2009. La cession de KBC </w:t>
      </w:r>
      <w:proofErr w:type="spellStart"/>
      <w:r w:rsidRPr="00734B00">
        <w:rPr>
          <w:rFonts w:cs="Arial"/>
          <w:bCs/>
          <w:i/>
          <w:color w:val="003768"/>
          <w:lang w:val="fr-FR"/>
        </w:rPr>
        <w:t>Deutschland</w:t>
      </w:r>
      <w:proofErr w:type="spellEnd"/>
      <w:r w:rsidRPr="00734B00">
        <w:rPr>
          <w:rFonts w:cs="Arial"/>
          <w:bCs/>
          <w:i/>
          <w:color w:val="003768"/>
          <w:lang w:val="fr-FR"/>
        </w:rPr>
        <w:t xml:space="preserve"> a été finalisée en septembre, la Banque Diamantaire Anversoise a été mise en cessation d'activités et les deux CDO restantes en portefeuille ont été démantelées. Ces opérations ont marqué le fin du programme de désinvestissements.</w:t>
      </w: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Au troisième trimestre, la division Belgique dégage un résultat net de 384 millions d’euros, dépassant légèrement la moyenne de 375 millions d'euros pour les quatre trimestres précédents. Par rapport au trimestre précédent, le troisième trimestre 2014 se caractérise par une hausse des revenus nets d'intérêts et des revenus nets de commissions, un ratio combiné sain pour l'assurance non vie et une augmentation des ventes de produits d'assurance vie de la branche 23. Les autres caractéristiques du trimestre sous revue sont l'impact réduit, mais toujours défavorable, de la valorisation des produits dérivés ALM, le tassement des bénéfices réalisés sur la cession d'actifs financiers, la baisse saisonnière des revenus de dividendes et la décrue des autres revenus nets. Les charges diminuent légèrement, tandis que les réductions de valeur augmentent par rapport au faible niveau du deuxième trimestre. Les activités bancaires et d’assurance génèrent respectivement 80% et 20% du résultat net pendant le trimestre sous revue.</w:t>
      </w:r>
    </w:p>
    <w:p w:rsidR="00164526" w:rsidRDefault="00164526" w:rsidP="00734B00">
      <w:pPr>
        <w:autoSpaceDE w:val="0"/>
        <w:autoSpaceDN w:val="0"/>
        <w:adjustRightInd w:val="0"/>
        <w:spacing w:after="240" w:line="240" w:lineRule="auto"/>
        <w:ind w:left="992" w:right="6"/>
        <w:jc w:val="both"/>
        <w:rPr>
          <w:rFonts w:cs="Arial"/>
          <w:bCs/>
          <w:i/>
          <w:color w:val="003768"/>
          <w:lang w:val="fr-FR"/>
        </w:rPr>
      </w:pP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Pendant le trimestre sous revue, la division Tchéquie a dégagé un résultat net de 130 millions d'euros, en léger recul par rapport à la moyenne de 139 millions des quatre derniers trimestres. Par rapport au trimestre précédent, les résultats du troisième trimestre se distinguent (en termes comparables) par la stagnation des revenus nets d'intérêts et une diminution des revenus nets de commissions, l'absence de bénéfices réalisés sur la cession d'actifs financiers, la hausse des résultats nets d'instruments financiers, la baisse du niveau des autres revenus, un robuste ratio combiné non-vie et la progression des ventes de produits d'assurance vie de la branche 23. Les charges s'allègent légèrement, tandis que les réductions de valeur pour pertes de crédit augmentent par rapport au niveau particulièrement bas mais insoutenable du trimestre précédent. Les activités bancaires et d’assurance génèrent respectivement 95% et 5% du résultat net pendant le trimestre sous revue.</w:t>
      </w: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 xml:space="preserve">Au cours du trimestre sous revue, la division Marchés internationaux enregistre un résultat net positif de </w:t>
      </w:r>
      <w:r>
        <w:rPr>
          <w:rFonts w:cs="Arial"/>
          <w:bCs/>
          <w:i/>
          <w:color w:val="003768"/>
          <w:lang w:val="fr-FR"/>
        </w:rPr>
        <w:t xml:space="preserve">   </w:t>
      </w:r>
      <w:r w:rsidRPr="00734B00">
        <w:rPr>
          <w:rFonts w:cs="Arial"/>
          <w:bCs/>
          <w:i/>
          <w:color w:val="003768"/>
          <w:lang w:val="fr-FR"/>
        </w:rPr>
        <w:t>27 millions d'euros, en nette amélioration par rapport à la moyenne négative de 236 millions d'euros pour les quatre trimestres précédents (qui avaient été marqués par la constitution de provisions supplémentaires pour pertes de crédits en Irlande au quatrième trimestre 2013 et par l'impact de la nouvelle loi sur les crédits aux particuliers en Hongrie au deuxième trimestre 2014). Par rapport au trimestre précédent, le troisième trimestre 2014 se caractérise par la légère hausse des revenus nets d'intérêts et la robustesse des revenus nets de commissions, le résultat stable des instruments financiers à la juste valeur et le léger tassement des gains sur actions et obligations, une détérioration du ratio combiné non vie et une contraction des ventes d'assurances vie. Il est à noter cependant que le trimestre précédent avait fortement pâti de l'impact de la nouvelle loi hongroise sur les crédits aux particuliers. Les charges restent stables au troisième trimestre et les provisions pour pertes de crédit diminuent, surtout en Irlande. Globalement, les activités bancaires enregistrent un résultat net de 23 millions d’euros (résultats positifs en Slovaquie, Hongrie et Bulgarie mais négatifs en Irlande), tandis que les activités d’assurance dégagent un résultat net de 4 millions d’euros.</w:t>
      </w: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La position de trésorerie du groupe demeure très solide, les ratios LCR et NSFR dépassant largement les 100%.</w:t>
      </w: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 xml:space="preserve">Notre position de capital reste très solide également, ainsi qu'en témoigne le ratio </w:t>
      </w:r>
      <w:proofErr w:type="spellStart"/>
      <w:r w:rsidRPr="00734B00">
        <w:rPr>
          <w:rFonts w:cs="Arial"/>
          <w:bCs/>
          <w:i/>
          <w:color w:val="003768"/>
          <w:lang w:val="fr-FR"/>
        </w:rPr>
        <w:t>common</w:t>
      </w:r>
      <w:proofErr w:type="spellEnd"/>
      <w:r w:rsidRPr="00734B00">
        <w:rPr>
          <w:rFonts w:cs="Arial"/>
          <w:bCs/>
          <w:i/>
          <w:color w:val="003768"/>
          <w:lang w:val="fr-FR"/>
        </w:rPr>
        <w:t xml:space="preserve"> </w:t>
      </w:r>
      <w:proofErr w:type="spellStart"/>
      <w:r w:rsidRPr="00734B00">
        <w:rPr>
          <w:rFonts w:cs="Arial"/>
          <w:bCs/>
          <w:i/>
          <w:color w:val="003768"/>
          <w:lang w:val="fr-FR"/>
        </w:rPr>
        <w:t>equity</w:t>
      </w:r>
      <w:proofErr w:type="spellEnd"/>
      <w:r w:rsidRPr="00734B00">
        <w:rPr>
          <w:rFonts w:cs="Arial"/>
          <w:bCs/>
          <w:i/>
          <w:color w:val="003768"/>
          <w:lang w:val="fr-FR"/>
        </w:rPr>
        <w:t xml:space="preserve"> de 13,7% (selon Bâle III, à pleine charge, compromis danois). L'analyse des neuf premiers mois de l'année tient compte du remboursement de 0,5 milliard d'euros au gouvernement régional flamand au début janvier, ainsi que des résultats des neuf premiers mois et d'une provision </w:t>
      </w:r>
      <w:proofErr w:type="spellStart"/>
      <w:r w:rsidRPr="00734B00">
        <w:rPr>
          <w:rFonts w:cs="Arial"/>
          <w:bCs/>
          <w:i/>
          <w:color w:val="003768"/>
          <w:lang w:val="fr-FR"/>
        </w:rPr>
        <w:t>proratée</w:t>
      </w:r>
      <w:proofErr w:type="spellEnd"/>
      <w:r w:rsidRPr="00734B00">
        <w:rPr>
          <w:rFonts w:cs="Arial"/>
          <w:bCs/>
          <w:i/>
          <w:color w:val="003768"/>
          <w:lang w:val="fr-FR"/>
        </w:rPr>
        <w:t xml:space="preserve"> pour le dividende proposé et les coupons sur les instruments Tier-1 additionnels et sur le solde des aides publiques à verser sur 2014. Par conséquent, le ratio </w:t>
      </w:r>
      <w:proofErr w:type="spellStart"/>
      <w:r w:rsidRPr="00734B00">
        <w:rPr>
          <w:rFonts w:cs="Arial"/>
          <w:bCs/>
          <w:i/>
          <w:color w:val="003768"/>
          <w:lang w:val="fr-FR"/>
        </w:rPr>
        <w:t>common</w:t>
      </w:r>
      <w:proofErr w:type="spellEnd"/>
      <w:r w:rsidRPr="00734B00">
        <w:rPr>
          <w:rFonts w:cs="Arial"/>
          <w:bCs/>
          <w:i/>
          <w:color w:val="003768"/>
          <w:lang w:val="fr-FR"/>
        </w:rPr>
        <w:t xml:space="preserve"> </w:t>
      </w:r>
      <w:proofErr w:type="spellStart"/>
      <w:r w:rsidRPr="00734B00">
        <w:rPr>
          <w:rFonts w:cs="Arial"/>
          <w:bCs/>
          <w:i/>
          <w:color w:val="003768"/>
          <w:lang w:val="fr-FR"/>
        </w:rPr>
        <w:t>equity</w:t>
      </w:r>
      <w:proofErr w:type="spellEnd"/>
      <w:r w:rsidRPr="00734B00">
        <w:rPr>
          <w:rFonts w:cs="Arial"/>
          <w:bCs/>
          <w:i/>
          <w:color w:val="003768"/>
          <w:lang w:val="fr-FR"/>
        </w:rPr>
        <w:t xml:space="preserve"> se maintient largement au-dessus de l'objectif de 10,5%.</w:t>
      </w: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Les résultats de l'examen approfondi de la qualité des actifs par la BCE confirment notre forte position de capital. KBC réussit en effet haut la main l'examen de la qualité de ses actifs et les tests de résistance, maintenant un ample tampon de 2,8 points de pourcentage (2,8 milliards d'euros) qui dépasse le seuil de 5,5% imposé par la BCE. Cette performance reflète l'excellente capacité de résistance de KBC.</w:t>
      </w: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 xml:space="preserve">Le groupe salue par ailleurs aussi l'extension des accords d'ancrage de KBC Groupe conclus par </w:t>
      </w:r>
      <w:proofErr w:type="spellStart"/>
      <w:r w:rsidRPr="00734B00">
        <w:rPr>
          <w:rFonts w:cs="Arial"/>
          <w:bCs/>
          <w:i/>
          <w:color w:val="003768"/>
          <w:lang w:val="fr-FR"/>
        </w:rPr>
        <w:t>Cera</w:t>
      </w:r>
      <w:proofErr w:type="spellEnd"/>
      <w:r w:rsidRPr="00734B00">
        <w:rPr>
          <w:rFonts w:cs="Arial"/>
          <w:bCs/>
          <w:i/>
          <w:color w:val="003768"/>
          <w:lang w:val="fr-FR"/>
        </w:rPr>
        <w:t xml:space="preserve">, KBC </w:t>
      </w:r>
      <w:proofErr w:type="spellStart"/>
      <w:r w:rsidRPr="00734B00">
        <w:rPr>
          <w:rFonts w:cs="Arial"/>
          <w:bCs/>
          <w:i/>
          <w:color w:val="003768"/>
          <w:lang w:val="fr-FR"/>
        </w:rPr>
        <w:t>Ancora</w:t>
      </w:r>
      <w:proofErr w:type="spellEnd"/>
      <w:r w:rsidRPr="00734B00">
        <w:rPr>
          <w:rFonts w:cs="Arial"/>
          <w:bCs/>
          <w:i/>
          <w:color w:val="003768"/>
          <w:lang w:val="fr-FR"/>
        </w:rPr>
        <w:t>, MRBB et les autres actionnaires stables. Tous ont confirmé leur intention de continuer à agir conjointement dans l'intérêt de KBC Groupe SA pour une nouvelle période de 10 ans. Ils continueront donc à assurer la stabilité de l'actionnariat et à soutenir le développement futur du groupe KBC.</w:t>
      </w:r>
    </w:p>
    <w:p w:rsidR="00734B00" w:rsidRPr="00734B00" w:rsidRDefault="00734B00" w:rsidP="00734B00">
      <w:pPr>
        <w:autoSpaceDE w:val="0"/>
        <w:autoSpaceDN w:val="0"/>
        <w:adjustRightInd w:val="0"/>
        <w:spacing w:after="240" w:line="240" w:lineRule="auto"/>
        <w:ind w:left="992" w:right="6"/>
        <w:jc w:val="both"/>
        <w:rPr>
          <w:rFonts w:cs="Arial"/>
          <w:bCs/>
          <w:i/>
          <w:color w:val="003768"/>
          <w:lang w:val="fr-FR"/>
        </w:rPr>
      </w:pPr>
      <w:r w:rsidRPr="00734B00">
        <w:rPr>
          <w:rFonts w:cs="Arial"/>
          <w:bCs/>
          <w:i/>
          <w:color w:val="003768"/>
          <w:lang w:val="fr-FR"/>
        </w:rPr>
        <w:t>L'accord d'ancrage aidera KBC à réaliser son ambition de se classer parmi les établissements financiers orientés client les plus performants d'Europe et de devenir la référence en matière de bancassurance sur ses marchés domestiques. Nous atteindrons cet objectif en renforçant de manière rentable notre modèle de bancassurance axé sur notre clientèle de particuliers, de PME et de moyennes capitalisations sur nos marchés domestiques, en nous concentrant sur une croissance profitable et durable dans le cadre d'une gestion rigoureuse des risques, des capitaux et des liquidités et en magnifiant la satisfaction des clients grâce à notre politique de distribution fluide, multicanal et orientée client. Le groupe est très reconnaissant de la confiance que ses clients et parties prenantes manifestent à l'égard de la société et de ses employés."</w:t>
      </w:r>
    </w:p>
    <w:p w:rsidR="00734B00" w:rsidRDefault="00734B00" w:rsidP="00734B00">
      <w:pPr>
        <w:autoSpaceDE w:val="0"/>
        <w:autoSpaceDN w:val="0"/>
        <w:adjustRightInd w:val="0"/>
        <w:spacing w:after="0" w:line="240" w:lineRule="auto"/>
        <w:ind w:left="993" w:right="4"/>
        <w:rPr>
          <w:rFonts w:cs="Arial"/>
          <w:bCs/>
          <w:color w:val="003768"/>
          <w:lang w:val="fr-FR"/>
        </w:rPr>
      </w:pPr>
    </w:p>
    <w:p w:rsidR="00734B00" w:rsidRDefault="00734B00" w:rsidP="00734B00">
      <w:pPr>
        <w:autoSpaceDE w:val="0"/>
        <w:autoSpaceDN w:val="0"/>
        <w:adjustRightInd w:val="0"/>
        <w:spacing w:after="0" w:line="240" w:lineRule="auto"/>
        <w:ind w:left="993" w:right="4"/>
        <w:rPr>
          <w:rFonts w:cs="Arial"/>
          <w:bCs/>
          <w:color w:val="003768"/>
          <w:lang w:val="fr-FR"/>
        </w:rPr>
      </w:pPr>
    </w:p>
    <w:p w:rsid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Default="00734B00" w:rsidP="00734B00">
      <w:pPr>
        <w:autoSpaceDE w:val="0"/>
        <w:autoSpaceDN w:val="0"/>
        <w:adjustRightInd w:val="0"/>
        <w:spacing w:after="120" w:line="240" w:lineRule="auto"/>
        <w:ind w:left="992" w:right="6"/>
        <w:jc w:val="both"/>
        <w:rPr>
          <w:rFonts w:ascii="Rockwell" w:hAnsi="Rockwell" w:cs="Arial"/>
          <w:b/>
          <w:bCs/>
          <w:color w:val="003366"/>
          <w:sz w:val="28"/>
          <w:szCs w:val="28"/>
        </w:rPr>
      </w:pPr>
    </w:p>
    <w:p w:rsidR="00734B00" w:rsidRPr="00734B00" w:rsidRDefault="00734B00" w:rsidP="00734B00">
      <w:pPr>
        <w:autoSpaceDE w:val="0"/>
        <w:autoSpaceDN w:val="0"/>
        <w:adjustRightInd w:val="0"/>
        <w:spacing w:after="120" w:line="240" w:lineRule="auto"/>
        <w:ind w:left="992" w:right="6"/>
        <w:jc w:val="both"/>
        <w:rPr>
          <w:rFonts w:ascii="Rockwell" w:hAnsi="Rockwell" w:cs="Arial"/>
          <w:b/>
          <w:bCs/>
          <w:color w:val="003366"/>
          <w:sz w:val="28"/>
          <w:szCs w:val="28"/>
          <w:lang w:val="fr-FR"/>
        </w:rPr>
      </w:pPr>
      <w:r w:rsidRPr="00734B00">
        <w:rPr>
          <w:rFonts w:ascii="Rockwell" w:hAnsi="Rockwell" w:cs="Arial"/>
          <w:b/>
          <w:bCs/>
          <w:color w:val="003366"/>
          <w:sz w:val="28"/>
          <w:szCs w:val="28"/>
          <w:lang w:val="fr-FR"/>
        </w:rPr>
        <w:t xml:space="preserve">Incidence des activités </w:t>
      </w:r>
      <w:proofErr w:type="spellStart"/>
      <w:r w:rsidRPr="00734B00">
        <w:rPr>
          <w:rFonts w:ascii="Rockwell" w:hAnsi="Rockwell" w:cs="Arial"/>
          <w:b/>
          <w:bCs/>
          <w:color w:val="003366"/>
          <w:sz w:val="28"/>
          <w:szCs w:val="28"/>
          <w:lang w:val="fr-FR"/>
        </w:rPr>
        <w:t>legacy</w:t>
      </w:r>
      <w:proofErr w:type="spellEnd"/>
      <w:r w:rsidRPr="00734B00">
        <w:rPr>
          <w:rFonts w:ascii="Rockwell" w:hAnsi="Rockwell" w:cs="Arial"/>
          <w:b/>
          <w:bCs/>
          <w:color w:val="003366"/>
          <w:sz w:val="28"/>
          <w:szCs w:val="28"/>
          <w:lang w:val="fr-FR"/>
        </w:rPr>
        <w:t xml:space="preserve"> et valorisation du risque de crédit propre :</w:t>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r w:rsidRPr="00734B00">
        <w:rPr>
          <w:rFonts w:cs="Arial"/>
          <w:bCs/>
          <w:color w:val="003768"/>
          <w:lang w:val="fr-FR"/>
        </w:rPr>
        <w:t xml:space="preserve">Afin de fournir un aperçu fiable des activités en cours, KBC publie des chiffres ajustés qui ne prennent pas en compte a) l'incidence des activités </w:t>
      </w:r>
      <w:proofErr w:type="spellStart"/>
      <w:r w:rsidRPr="00734B00">
        <w:rPr>
          <w:rFonts w:cs="Arial"/>
          <w:bCs/>
          <w:color w:val="003768"/>
          <w:lang w:val="fr-FR"/>
        </w:rPr>
        <w:t>legacy</w:t>
      </w:r>
      <w:proofErr w:type="spellEnd"/>
      <w:r w:rsidRPr="00734B00">
        <w:rPr>
          <w:rFonts w:cs="Arial"/>
          <w:bCs/>
          <w:color w:val="003768"/>
          <w:lang w:val="fr-FR"/>
        </w:rPr>
        <w:t xml:space="preserve">, c'est-à-dire la valorisation des CDO restantes en portefeuille </w:t>
      </w:r>
      <w:r>
        <w:rPr>
          <w:rFonts w:cs="Arial"/>
          <w:bCs/>
          <w:color w:val="003768"/>
          <w:lang w:val="fr-FR"/>
        </w:rPr>
        <w:t xml:space="preserve">   </w:t>
      </w:r>
      <w:r w:rsidRPr="00734B00">
        <w:rPr>
          <w:rFonts w:cs="Arial"/>
          <w:bCs/>
          <w:color w:val="003768"/>
          <w:lang w:val="fr-FR"/>
        </w:rPr>
        <w:t>(y compris les commissions pour le système de garantie y afférent conclu avec l'État belge) et l'impact des désinvestissements, et b) l'incidence de la valorisation du risque de crédit propre. Pendant le trimestre sous revue, ces éléments ont eu l'influence suivante :</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CDO : au troisième trimestre, KBC a démantelé les deux dernières CDO en portefeuille, ce qui a légèrement plombé ses résultats, tout en améliorant le capital. L'impact total de l'opération sur les revenus de KBC au troisième trimestre se chiffre à -24 millions d'euros (après impôts), après prise en compte également des fluctuations des différentiels de crédit et des commissions liées aux garanties CDO. La liquidation de ces CDO a permis de libérer 0,3 milliard d'euros de capital et d'améliorer de 0,4% la solvabilité de KBC.</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Désinvestissements restants : nous enregistrons un effet positif global après impôts de</w:t>
      </w:r>
      <w:r w:rsidR="003E2730">
        <w:rPr>
          <w:rFonts w:cs="Arial"/>
          <w:bCs/>
          <w:color w:val="003768"/>
          <w:lang w:val="fr-FR"/>
        </w:rPr>
        <w:t xml:space="preserve"> </w:t>
      </w:r>
      <w:r w:rsidRPr="00734B00">
        <w:rPr>
          <w:rFonts w:cs="Arial"/>
          <w:bCs/>
          <w:color w:val="003768"/>
          <w:lang w:val="fr-FR"/>
        </w:rPr>
        <w:t xml:space="preserve">132 millions pour le trimestre sous revue, principalement dû à une reprise des réductions de valeur actées sur la participation dans la Banque Diamantaire Anversoise en 2012 et en 2013. </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 xml:space="preserve">Incidence de la valorisation du risque de crédit propre : le resserrement des différentiels de crédit senior, combiné à l'élargissement du différentiel de crédit subordonné sur la dette de KBC entre fin juin 2014 et fin septembre 2014, se traduit par un ajustement </w:t>
      </w:r>
      <w:proofErr w:type="spellStart"/>
      <w:r w:rsidRPr="00734B00">
        <w:rPr>
          <w:rFonts w:cs="Arial"/>
          <w:bCs/>
          <w:color w:val="003768"/>
          <w:lang w:val="fr-FR"/>
        </w:rPr>
        <w:t>marked</w:t>
      </w:r>
      <w:proofErr w:type="spellEnd"/>
      <w:r w:rsidRPr="00734B00">
        <w:rPr>
          <w:rFonts w:cs="Arial"/>
          <w:bCs/>
          <w:color w:val="003768"/>
          <w:lang w:val="fr-FR"/>
        </w:rPr>
        <w:t>-to-</w:t>
      </w:r>
      <w:proofErr w:type="spellStart"/>
      <w:r w:rsidRPr="00734B00">
        <w:rPr>
          <w:rFonts w:cs="Arial"/>
          <w:bCs/>
          <w:color w:val="003768"/>
          <w:lang w:val="fr-FR"/>
        </w:rPr>
        <w:t>market</w:t>
      </w:r>
      <w:proofErr w:type="spellEnd"/>
      <w:r w:rsidRPr="00734B00">
        <w:rPr>
          <w:rFonts w:cs="Arial"/>
          <w:bCs/>
          <w:color w:val="003768"/>
          <w:lang w:val="fr-FR"/>
        </w:rPr>
        <w:t xml:space="preserve"> légèrement positif de</w:t>
      </w:r>
      <w:r w:rsidR="003E2730">
        <w:rPr>
          <w:rFonts w:cs="Arial"/>
          <w:bCs/>
          <w:color w:val="003768"/>
          <w:lang w:val="fr-FR"/>
        </w:rPr>
        <w:t xml:space="preserve"> </w:t>
      </w:r>
      <w:r w:rsidR="003E2730">
        <w:rPr>
          <w:rFonts w:cs="Arial"/>
          <w:bCs/>
          <w:color w:val="003768"/>
          <w:lang w:val="fr-FR"/>
        </w:rPr>
        <w:br/>
      </w:r>
      <w:r w:rsidRPr="00734B00">
        <w:rPr>
          <w:rFonts w:cs="Arial"/>
          <w:bCs/>
          <w:color w:val="003768"/>
          <w:lang w:val="fr-FR"/>
        </w:rPr>
        <w:t>6 millions d'euros (après impôts), mais est sans incidence sur le capital réglementaire.</w:t>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pPr>
        <w:spacing w:after="0" w:line="240" w:lineRule="auto"/>
        <w:rPr>
          <w:rFonts w:cs="Arial"/>
          <w:bCs/>
          <w:color w:val="003768"/>
          <w:lang w:val="fr-FR"/>
        </w:rPr>
      </w:pPr>
      <w:r w:rsidRPr="00734B00">
        <w:rPr>
          <w:rFonts w:cs="Arial"/>
          <w:bCs/>
          <w:color w:val="003768"/>
          <w:lang w:val="fr-FR"/>
        </w:rPr>
        <w:br w:type="page"/>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ascii="Rockwell" w:hAnsi="Rockwell" w:cs="Arial"/>
          <w:b/>
          <w:bCs/>
          <w:color w:val="003366"/>
          <w:sz w:val="28"/>
          <w:szCs w:val="28"/>
          <w:lang w:val="fr-FR"/>
        </w:rPr>
      </w:pPr>
    </w:p>
    <w:p w:rsidR="00734B00" w:rsidRPr="00734B00" w:rsidRDefault="00734B00" w:rsidP="00734B00">
      <w:pPr>
        <w:autoSpaceDE w:val="0"/>
        <w:autoSpaceDN w:val="0"/>
        <w:adjustRightInd w:val="0"/>
        <w:spacing w:after="120" w:line="240" w:lineRule="auto"/>
        <w:ind w:left="992" w:right="6"/>
        <w:jc w:val="both"/>
        <w:rPr>
          <w:rFonts w:ascii="Rockwell" w:hAnsi="Rockwell" w:cs="Arial"/>
          <w:b/>
          <w:bCs/>
          <w:color w:val="003366"/>
          <w:sz w:val="28"/>
          <w:szCs w:val="28"/>
          <w:lang w:val="fr-FR"/>
        </w:rPr>
      </w:pPr>
      <w:r w:rsidRPr="00734B00">
        <w:rPr>
          <w:rFonts w:ascii="Rockwell" w:hAnsi="Rockwell" w:cs="Arial"/>
          <w:b/>
          <w:bCs/>
          <w:color w:val="003366"/>
          <w:sz w:val="28"/>
          <w:szCs w:val="28"/>
          <w:lang w:val="fr-FR"/>
        </w:rPr>
        <w:t>Principales données financières du 3Tr2014 par rapport au 2Tr2014 :</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Robuste résultat commercial net.</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Revenus nets d'intérêts en hausse de 6%.</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Marge nette d'intérêt en hausse de 2,05% à 2,15%.</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Forte progression de l'octroi de crédit et des dépôts sur tous nos marchés domestiques.</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Excellent ratio combiné non vie de 93% (</w:t>
      </w:r>
      <w:proofErr w:type="spellStart"/>
      <w:r w:rsidRPr="00734B00">
        <w:rPr>
          <w:rFonts w:cs="Arial"/>
          <w:bCs/>
          <w:color w:val="003768"/>
          <w:lang w:val="fr-FR"/>
        </w:rPr>
        <w:t>year</w:t>
      </w:r>
      <w:proofErr w:type="spellEnd"/>
      <w:r w:rsidRPr="00734B00">
        <w:rPr>
          <w:rFonts w:cs="Arial"/>
          <w:bCs/>
          <w:color w:val="003768"/>
          <w:lang w:val="fr-FR"/>
        </w:rPr>
        <w:t xml:space="preserve">-to-date). </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Augmentation des ventes d'assurances vie.</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Hausse de 4% des revenus nets de commissions, malgré les mois d'été.</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Ratio charges/produits de 59% (</w:t>
      </w:r>
      <w:proofErr w:type="spellStart"/>
      <w:r w:rsidRPr="00734B00">
        <w:rPr>
          <w:rFonts w:cs="Arial"/>
          <w:bCs/>
          <w:color w:val="003768"/>
          <w:lang w:val="fr-FR"/>
        </w:rPr>
        <w:t>year</w:t>
      </w:r>
      <w:proofErr w:type="spellEnd"/>
      <w:r w:rsidRPr="00734B00">
        <w:rPr>
          <w:rFonts w:cs="Arial"/>
          <w:bCs/>
          <w:color w:val="003768"/>
          <w:lang w:val="fr-FR"/>
        </w:rPr>
        <w:t xml:space="preserve">-to-date) et de 54% après ajustement pour éléments exceptionnels (principalement l'impact des valorisations </w:t>
      </w:r>
      <w:proofErr w:type="spellStart"/>
      <w:r w:rsidRPr="00734B00">
        <w:rPr>
          <w:rFonts w:cs="Arial"/>
          <w:bCs/>
          <w:color w:val="003768"/>
          <w:lang w:val="fr-FR"/>
        </w:rPr>
        <w:t>marked</w:t>
      </w:r>
      <w:proofErr w:type="spellEnd"/>
      <w:r w:rsidRPr="00734B00">
        <w:rPr>
          <w:rFonts w:cs="Arial"/>
          <w:bCs/>
          <w:color w:val="003768"/>
          <w:lang w:val="fr-FR"/>
        </w:rPr>
        <w:t>-to-</w:t>
      </w:r>
      <w:proofErr w:type="spellStart"/>
      <w:r w:rsidRPr="00734B00">
        <w:rPr>
          <w:rFonts w:cs="Arial"/>
          <w:bCs/>
          <w:color w:val="003768"/>
          <w:lang w:val="fr-FR"/>
        </w:rPr>
        <w:t>market</w:t>
      </w:r>
      <w:proofErr w:type="spellEnd"/>
      <w:r w:rsidRPr="00734B00">
        <w:rPr>
          <w:rFonts w:cs="Arial"/>
          <w:bCs/>
          <w:color w:val="003768"/>
          <w:lang w:val="fr-FR"/>
        </w:rPr>
        <w:t xml:space="preserve"> des dérivés ALM et de la taxe hongroise sur les crédits aux particuliers au trimestre précédent).</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Faible ratio de pertes sur crédits de 0,41% (</w:t>
      </w:r>
      <w:proofErr w:type="spellStart"/>
      <w:r w:rsidRPr="00734B00">
        <w:rPr>
          <w:rFonts w:cs="Arial"/>
          <w:bCs/>
          <w:color w:val="003768"/>
          <w:lang w:val="fr-FR"/>
        </w:rPr>
        <w:t>year</w:t>
      </w:r>
      <w:proofErr w:type="spellEnd"/>
      <w:r w:rsidRPr="00734B00">
        <w:rPr>
          <w:rFonts w:cs="Arial"/>
          <w:bCs/>
          <w:color w:val="003768"/>
          <w:lang w:val="fr-FR"/>
        </w:rPr>
        <w:t>-to-date).</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Position de trésorerie solide : LCR de 120% et NSFR de 109%.</w:t>
      </w:r>
    </w:p>
    <w:p w:rsidR="00734B00" w:rsidRPr="00734B00" w:rsidRDefault="00734B00" w:rsidP="00734B00">
      <w:pPr>
        <w:pStyle w:val="ListParagraph"/>
        <w:numPr>
          <w:ilvl w:val="0"/>
          <w:numId w:val="2"/>
        </w:numPr>
        <w:autoSpaceDE w:val="0"/>
        <w:autoSpaceDN w:val="0"/>
        <w:adjustRightInd w:val="0"/>
        <w:spacing w:after="120" w:line="240" w:lineRule="auto"/>
        <w:ind w:left="1440" w:right="6" w:hanging="448"/>
        <w:contextualSpacing w:val="0"/>
        <w:jc w:val="both"/>
        <w:rPr>
          <w:rFonts w:cs="Arial"/>
          <w:bCs/>
          <w:color w:val="003768"/>
          <w:lang w:val="fr-FR"/>
        </w:rPr>
      </w:pPr>
      <w:r w:rsidRPr="00734B00">
        <w:rPr>
          <w:rFonts w:cs="Arial"/>
          <w:bCs/>
          <w:color w:val="003768"/>
          <w:lang w:val="fr-FR"/>
        </w:rPr>
        <w:t xml:space="preserve">Solvabilité : robuste base de capital : ratio </w:t>
      </w:r>
      <w:proofErr w:type="spellStart"/>
      <w:r w:rsidRPr="00734B00">
        <w:rPr>
          <w:rFonts w:cs="Arial"/>
          <w:bCs/>
          <w:color w:val="003768"/>
          <w:lang w:val="fr-FR"/>
        </w:rPr>
        <w:t>common</w:t>
      </w:r>
      <w:proofErr w:type="spellEnd"/>
      <w:r w:rsidRPr="00734B00">
        <w:rPr>
          <w:rFonts w:cs="Arial"/>
          <w:bCs/>
          <w:color w:val="003768"/>
          <w:lang w:val="fr-FR"/>
        </w:rPr>
        <w:t xml:space="preserve"> </w:t>
      </w:r>
      <w:proofErr w:type="spellStart"/>
      <w:r w:rsidRPr="00734B00">
        <w:rPr>
          <w:rFonts w:cs="Arial"/>
          <w:bCs/>
          <w:color w:val="003768"/>
          <w:lang w:val="fr-FR"/>
        </w:rPr>
        <w:t>equity</w:t>
      </w:r>
      <w:proofErr w:type="spellEnd"/>
      <w:r w:rsidRPr="00734B00">
        <w:rPr>
          <w:rFonts w:cs="Arial"/>
          <w:bCs/>
          <w:color w:val="003768"/>
          <w:lang w:val="fr-FR"/>
        </w:rPr>
        <w:t xml:space="preserve"> selon Bâle III (à pleine charge) de 13,7%, nettement supérieur à l'objectif de 10,5%.</w:t>
      </w:r>
    </w:p>
    <w:tbl>
      <w:tblPr>
        <w:tblW w:w="10348" w:type="dxa"/>
        <w:tblInd w:w="1148" w:type="dxa"/>
        <w:tblLayout w:type="fixed"/>
        <w:tblLook w:val="01E0" w:firstRow="1" w:lastRow="1" w:firstColumn="1" w:lastColumn="1" w:noHBand="0" w:noVBand="0"/>
      </w:tblPr>
      <w:tblGrid>
        <w:gridCol w:w="5103"/>
        <w:gridCol w:w="1134"/>
        <w:gridCol w:w="993"/>
        <w:gridCol w:w="992"/>
        <w:gridCol w:w="992"/>
        <w:gridCol w:w="1134"/>
      </w:tblGrid>
      <w:tr w:rsidR="00734B00" w:rsidRPr="00734B00" w:rsidTr="00734B00">
        <w:tc>
          <w:tcPr>
            <w:tcW w:w="5103" w:type="dxa"/>
            <w:shd w:val="clear" w:color="auto" w:fill="365F91" w:themeFill="accent1" w:themeFillShade="BF"/>
            <w:vAlign w:val="center"/>
          </w:tcPr>
          <w:p w:rsidR="00734B00" w:rsidRPr="00734B00" w:rsidRDefault="00734B00" w:rsidP="00734B00">
            <w:pPr>
              <w:spacing w:after="0" w:line="240" w:lineRule="auto"/>
              <w:rPr>
                <w:rFonts w:ascii="Arial" w:eastAsia="Times New Roman" w:hAnsi="Arial"/>
                <w:bCs/>
                <w:snapToGrid w:val="0"/>
                <w:color w:val="FFFFFF" w:themeColor="background1"/>
                <w:sz w:val="14"/>
                <w:szCs w:val="14"/>
                <w:lang w:val="fr-FR"/>
              </w:rPr>
            </w:pPr>
            <w:r w:rsidRPr="00734B00">
              <w:rPr>
                <w:rFonts w:ascii="Arial" w:eastAsia="Times New Roman" w:hAnsi="Arial" w:cs="Arial"/>
                <w:b/>
                <w:bCs/>
                <w:snapToGrid w:val="0"/>
                <w:sz w:val="18"/>
                <w:szCs w:val="18"/>
                <w:highlight w:val="yellow"/>
                <w:lang w:val="fr-FR"/>
              </w:rPr>
              <w:br w:type="page"/>
            </w:r>
            <w:r w:rsidRPr="00734B00">
              <w:rPr>
                <w:rFonts w:ascii="Arial" w:eastAsia="Times New Roman" w:hAnsi="Arial"/>
                <w:bCs/>
                <w:snapToGrid w:val="0"/>
                <w:color w:val="FFFFFF" w:themeColor="background1"/>
                <w:sz w:val="14"/>
                <w:szCs w:val="14"/>
                <w:lang w:val="fr-FR"/>
              </w:rPr>
              <w:t>Aperçu</w:t>
            </w:r>
          </w:p>
          <w:p w:rsidR="00734B00" w:rsidRPr="00734B00" w:rsidRDefault="00734B00" w:rsidP="00734B00">
            <w:pPr>
              <w:spacing w:after="0" w:line="240" w:lineRule="auto"/>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Groupe KBC (consolidé)</w:t>
            </w:r>
          </w:p>
        </w:tc>
        <w:tc>
          <w:tcPr>
            <w:tcW w:w="1134" w:type="dxa"/>
            <w:shd w:val="clear" w:color="auto" w:fill="365F91" w:themeFill="accent1" w:themeFillShade="BF"/>
            <w:vAlign w:val="center"/>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3Tr2013</w:t>
            </w:r>
          </w:p>
        </w:tc>
        <w:tc>
          <w:tcPr>
            <w:tcW w:w="993" w:type="dxa"/>
            <w:shd w:val="clear" w:color="auto" w:fill="365F91" w:themeFill="accent1" w:themeFillShade="BF"/>
            <w:vAlign w:val="center"/>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2Tr2014</w:t>
            </w:r>
          </w:p>
        </w:tc>
        <w:tc>
          <w:tcPr>
            <w:tcW w:w="992" w:type="dxa"/>
            <w:shd w:val="clear" w:color="auto" w:fill="365F91" w:themeFill="accent1" w:themeFillShade="BF"/>
            <w:vAlign w:val="center"/>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3Tr2014</w:t>
            </w:r>
          </w:p>
        </w:tc>
        <w:tc>
          <w:tcPr>
            <w:tcW w:w="992" w:type="dxa"/>
            <w:shd w:val="clear" w:color="auto" w:fill="365F91" w:themeFill="accent1" w:themeFillShade="BF"/>
            <w:vAlign w:val="center"/>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9M2013</w:t>
            </w:r>
          </w:p>
        </w:tc>
        <w:tc>
          <w:tcPr>
            <w:tcW w:w="1134" w:type="dxa"/>
            <w:shd w:val="clear" w:color="auto" w:fill="365F91" w:themeFill="accent1" w:themeFillShade="BF"/>
            <w:vAlign w:val="center"/>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9M2014</w:t>
            </w:r>
          </w:p>
        </w:tc>
      </w:tr>
      <w:tr w:rsidR="00734B00" w:rsidRPr="00734B00" w:rsidTr="00734B00">
        <w:trPr>
          <w:trHeight w:val="284"/>
        </w:trPr>
        <w:tc>
          <w:tcPr>
            <w:tcW w:w="5103" w:type="dxa"/>
            <w:tcBorders>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IFRS (en millions d'EUR)</w:t>
            </w:r>
          </w:p>
        </w:tc>
        <w:tc>
          <w:tcPr>
            <w:tcW w:w="1134" w:type="dxa"/>
            <w:tcBorders>
              <w:left w:val="single" w:sz="4" w:space="0" w:color="365F91" w:themeColor="accent1" w:themeShade="BF"/>
            </w:tcBorders>
            <w:vAlign w:val="center"/>
          </w:tcPr>
          <w:p w:rsidR="00734B00" w:rsidRPr="00734B00" w:rsidRDefault="00734B00" w:rsidP="00734B00">
            <w:pPr>
              <w:spacing w:after="0" w:line="240" w:lineRule="auto"/>
              <w:ind w:left="-108" w:hanging="142"/>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272</w:t>
            </w:r>
          </w:p>
        </w:tc>
        <w:tc>
          <w:tcPr>
            <w:tcW w:w="993" w:type="dxa"/>
            <w:vAlign w:val="center"/>
          </w:tcPr>
          <w:p w:rsidR="00734B00" w:rsidRPr="00734B00" w:rsidRDefault="00734B00" w:rsidP="00734B00">
            <w:pPr>
              <w:spacing w:after="0" w:line="240" w:lineRule="auto"/>
              <w:ind w:left="-108" w:hanging="142"/>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317</w:t>
            </w:r>
          </w:p>
        </w:tc>
        <w:tc>
          <w:tcPr>
            <w:tcW w:w="992" w:type="dxa"/>
            <w:tcBorders>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ind w:left="-108" w:hanging="142"/>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591</w:t>
            </w:r>
          </w:p>
        </w:tc>
        <w:tc>
          <w:tcPr>
            <w:tcW w:w="992" w:type="dxa"/>
            <w:shd w:val="clear" w:color="auto" w:fill="FFFFFF" w:themeFill="background1"/>
            <w:vAlign w:val="center"/>
          </w:tcPr>
          <w:p w:rsidR="00734B00" w:rsidRPr="00734B00" w:rsidRDefault="00734B00" w:rsidP="00734B00">
            <w:pPr>
              <w:spacing w:after="0" w:line="240" w:lineRule="auto"/>
              <w:ind w:left="-108" w:hanging="142"/>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1 309</w:t>
            </w:r>
          </w:p>
        </w:tc>
        <w:tc>
          <w:tcPr>
            <w:tcW w:w="1134" w:type="dxa"/>
            <w:tcBorders>
              <w:left w:val="nil"/>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ind w:left="-108" w:hanging="142"/>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1 305</w:t>
            </w:r>
          </w:p>
        </w:tc>
      </w:tr>
      <w:tr w:rsidR="00734B00" w:rsidRPr="00734B00" w:rsidTr="00734B00">
        <w:trPr>
          <w:trHeight w:val="284"/>
        </w:trPr>
        <w:tc>
          <w:tcPr>
            <w:tcW w:w="5103" w:type="dxa"/>
            <w:tcBorders>
              <w:bottom w:val="single" w:sz="4" w:space="0" w:color="365F91" w:themeColor="accent1" w:themeShade="BF"/>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vertAlign w:val="superscript"/>
                <w:lang w:val="fr-FR"/>
              </w:rPr>
            </w:pPr>
            <w:r w:rsidRPr="00734B00">
              <w:rPr>
                <w:rFonts w:ascii="Arial" w:eastAsia="Times New Roman" w:hAnsi="Arial"/>
                <w:bCs/>
                <w:snapToGrid w:val="0"/>
                <w:sz w:val="14"/>
                <w:szCs w:val="14"/>
                <w:lang w:val="fr-FR"/>
              </w:rPr>
              <w:t>Bénéfice de base par action, IFRS (en EUR)</w:t>
            </w:r>
            <w:r w:rsidRPr="00734B00">
              <w:rPr>
                <w:rFonts w:ascii="Arial" w:eastAsia="Times New Roman" w:hAnsi="Arial"/>
                <w:bCs/>
                <w:snapToGrid w:val="0"/>
                <w:sz w:val="14"/>
                <w:szCs w:val="14"/>
                <w:vertAlign w:val="superscript"/>
                <w:lang w:val="fr-FR"/>
              </w:rPr>
              <w:t>1</w:t>
            </w:r>
          </w:p>
        </w:tc>
        <w:tc>
          <w:tcPr>
            <w:tcW w:w="1134" w:type="dxa"/>
            <w:tcBorders>
              <w:left w:val="single" w:sz="4" w:space="0" w:color="365F91" w:themeColor="accent1" w:themeShade="BF"/>
              <w:bottom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-0.75</w:t>
            </w:r>
          </w:p>
        </w:tc>
        <w:tc>
          <w:tcPr>
            <w:tcW w:w="993" w:type="dxa"/>
            <w:tcBorders>
              <w:bottom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0.63</w:t>
            </w:r>
          </w:p>
        </w:tc>
        <w:tc>
          <w:tcPr>
            <w:tcW w:w="992"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1.28</w:t>
            </w:r>
          </w:p>
        </w:tc>
        <w:tc>
          <w:tcPr>
            <w:tcW w:w="992" w:type="dxa"/>
            <w:tcBorders>
              <w:bottom w:val="single" w:sz="4" w:space="0" w:color="365F91" w:themeColor="accent1" w:themeShade="BF"/>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1.74</w:t>
            </w:r>
          </w:p>
        </w:tc>
        <w:tc>
          <w:tcPr>
            <w:tcW w:w="1134" w:type="dxa"/>
            <w:tcBorders>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2.35</w:t>
            </w:r>
          </w:p>
        </w:tc>
      </w:tr>
      <w:tr w:rsidR="00734B00" w:rsidRPr="00734B00" w:rsidTr="00734B00">
        <w:trPr>
          <w:trHeight w:val="284"/>
        </w:trPr>
        <w:tc>
          <w:tcPr>
            <w:tcW w:w="5103" w:type="dxa"/>
            <w:tcBorders>
              <w:top w:val="single" w:sz="4" w:space="0" w:color="365F91" w:themeColor="accent1" w:themeShade="BF"/>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ajusté (en millions d'EUR)</w:t>
            </w:r>
          </w:p>
        </w:tc>
        <w:tc>
          <w:tcPr>
            <w:tcW w:w="1134" w:type="dxa"/>
            <w:tcBorders>
              <w:top w:val="single" w:sz="4" w:space="0" w:color="365F91" w:themeColor="accent1" w:themeShade="BF"/>
              <w:left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457</w:t>
            </w:r>
          </w:p>
        </w:tc>
        <w:tc>
          <w:tcPr>
            <w:tcW w:w="993" w:type="dxa"/>
            <w:tcBorders>
              <w:top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287</w:t>
            </w:r>
          </w:p>
        </w:tc>
        <w:tc>
          <w:tcPr>
            <w:tcW w:w="992" w:type="dxa"/>
            <w:tcBorders>
              <w:top w:val="single" w:sz="4" w:space="0" w:color="365F91" w:themeColor="accent1" w:themeShade="BF"/>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477</w:t>
            </w:r>
          </w:p>
        </w:tc>
        <w:tc>
          <w:tcPr>
            <w:tcW w:w="992" w:type="dxa"/>
            <w:tcBorders>
              <w:top w:val="single" w:sz="4" w:space="0" w:color="365F91" w:themeColor="accent1" w:themeShade="BF"/>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1 300</w:t>
            </w:r>
          </w:p>
        </w:tc>
        <w:tc>
          <w:tcPr>
            <w:tcW w:w="1134" w:type="dxa"/>
            <w:tcBorders>
              <w:top w:val="single" w:sz="4" w:space="0" w:color="365F91" w:themeColor="accent1" w:themeShade="BF"/>
              <w:left w:val="nil"/>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1 151</w:t>
            </w:r>
          </w:p>
        </w:tc>
      </w:tr>
      <w:tr w:rsidR="00734B00" w:rsidRPr="00734B00" w:rsidTr="00734B00">
        <w:trPr>
          <w:trHeight w:val="284"/>
        </w:trPr>
        <w:tc>
          <w:tcPr>
            <w:tcW w:w="5103" w:type="dxa"/>
            <w:tcBorders>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Bénéfice de base par action, en fonction du résultat net ajusté (en EUR)</w:t>
            </w:r>
            <w:r w:rsidRPr="00734B00">
              <w:rPr>
                <w:rFonts w:ascii="Arial" w:eastAsia="Times New Roman" w:hAnsi="Arial"/>
                <w:bCs/>
                <w:snapToGrid w:val="0"/>
                <w:sz w:val="14"/>
                <w:szCs w:val="14"/>
                <w:vertAlign w:val="superscript"/>
                <w:lang w:val="fr-FR"/>
              </w:rPr>
              <w:t>1</w:t>
            </w:r>
            <w:r w:rsidRPr="00734B00">
              <w:rPr>
                <w:rFonts w:ascii="Arial" w:eastAsia="Times New Roman" w:hAnsi="Arial"/>
                <w:bCs/>
                <w:snapToGrid w:val="0"/>
                <w:sz w:val="14"/>
                <w:szCs w:val="14"/>
                <w:lang w:val="fr-FR"/>
              </w:rPr>
              <w:t xml:space="preserve"> </w:t>
            </w:r>
          </w:p>
        </w:tc>
        <w:tc>
          <w:tcPr>
            <w:tcW w:w="1134" w:type="dxa"/>
            <w:tcBorders>
              <w:left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-0.30</w:t>
            </w:r>
          </w:p>
        </w:tc>
        <w:tc>
          <w:tcPr>
            <w:tcW w:w="993" w:type="dxa"/>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0.56</w:t>
            </w:r>
          </w:p>
        </w:tc>
        <w:tc>
          <w:tcPr>
            <w:tcW w:w="992" w:type="dxa"/>
            <w:tcBorders>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1.00</w:t>
            </w:r>
          </w:p>
        </w:tc>
        <w:tc>
          <w:tcPr>
            <w:tcW w:w="99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1.72</w:t>
            </w:r>
          </w:p>
        </w:tc>
        <w:tc>
          <w:tcPr>
            <w:tcW w:w="1134" w:type="dxa"/>
            <w:tcBorders>
              <w:left w:val="nil"/>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1.99</w:t>
            </w:r>
          </w:p>
        </w:tc>
      </w:tr>
      <w:tr w:rsidR="00734B00" w:rsidRPr="00734B00" w:rsidTr="00734B00">
        <w:trPr>
          <w:trHeight w:val="284"/>
        </w:trPr>
        <w:tc>
          <w:tcPr>
            <w:tcW w:w="5103" w:type="dxa"/>
            <w:tcBorders>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Ventilation par division (en millions d'EUR)</w:t>
            </w:r>
          </w:p>
        </w:tc>
        <w:tc>
          <w:tcPr>
            <w:tcW w:w="1134" w:type="dxa"/>
            <w:tcBorders>
              <w:left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p>
        </w:tc>
        <w:tc>
          <w:tcPr>
            <w:tcW w:w="993" w:type="dxa"/>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p>
        </w:tc>
        <w:tc>
          <w:tcPr>
            <w:tcW w:w="992" w:type="dxa"/>
            <w:tcBorders>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p>
        </w:tc>
        <w:tc>
          <w:tcPr>
            <w:tcW w:w="99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p>
        </w:tc>
        <w:tc>
          <w:tcPr>
            <w:tcW w:w="1134" w:type="dxa"/>
            <w:tcBorders>
              <w:left w:val="nil"/>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p>
        </w:tc>
      </w:tr>
      <w:tr w:rsidR="00734B00" w:rsidRPr="00734B00" w:rsidTr="00734B00">
        <w:trPr>
          <w:trHeight w:val="227"/>
        </w:trPr>
        <w:tc>
          <w:tcPr>
            <w:tcW w:w="5103" w:type="dxa"/>
            <w:tcBorders>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Belgique</w:t>
            </w:r>
          </w:p>
        </w:tc>
        <w:tc>
          <w:tcPr>
            <w:tcW w:w="1134" w:type="dxa"/>
            <w:tcBorders>
              <w:left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391</w:t>
            </w:r>
          </w:p>
        </w:tc>
        <w:tc>
          <w:tcPr>
            <w:tcW w:w="993" w:type="dxa"/>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383</w:t>
            </w:r>
          </w:p>
        </w:tc>
        <w:tc>
          <w:tcPr>
            <w:tcW w:w="992" w:type="dxa"/>
            <w:tcBorders>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384</w:t>
            </w:r>
          </w:p>
        </w:tc>
        <w:tc>
          <w:tcPr>
            <w:tcW w:w="99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1 193</w:t>
            </w:r>
          </w:p>
        </w:tc>
        <w:tc>
          <w:tcPr>
            <w:tcW w:w="1134" w:type="dxa"/>
            <w:tcBorders>
              <w:left w:val="nil"/>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1 117</w:t>
            </w:r>
          </w:p>
        </w:tc>
      </w:tr>
      <w:tr w:rsidR="00734B00" w:rsidRPr="00734B00" w:rsidTr="00734B00">
        <w:trPr>
          <w:trHeight w:val="227"/>
        </w:trPr>
        <w:tc>
          <w:tcPr>
            <w:tcW w:w="5103" w:type="dxa"/>
            <w:tcBorders>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République tchèque </w:t>
            </w:r>
          </w:p>
        </w:tc>
        <w:tc>
          <w:tcPr>
            <w:tcW w:w="1134" w:type="dxa"/>
            <w:tcBorders>
              <w:left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157</w:t>
            </w:r>
          </w:p>
        </w:tc>
        <w:tc>
          <w:tcPr>
            <w:tcW w:w="993" w:type="dxa"/>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140</w:t>
            </w:r>
          </w:p>
        </w:tc>
        <w:tc>
          <w:tcPr>
            <w:tcW w:w="992" w:type="dxa"/>
            <w:tcBorders>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130</w:t>
            </w:r>
          </w:p>
        </w:tc>
        <w:tc>
          <w:tcPr>
            <w:tcW w:w="99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435</w:t>
            </w:r>
          </w:p>
        </w:tc>
        <w:tc>
          <w:tcPr>
            <w:tcW w:w="1134" w:type="dxa"/>
            <w:tcBorders>
              <w:left w:val="nil"/>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408</w:t>
            </w:r>
          </w:p>
        </w:tc>
      </w:tr>
      <w:tr w:rsidR="00734B00" w:rsidRPr="00734B00" w:rsidTr="00734B00">
        <w:trPr>
          <w:trHeight w:val="227"/>
        </w:trPr>
        <w:tc>
          <w:tcPr>
            <w:tcW w:w="5103" w:type="dxa"/>
            <w:tcBorders>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Marchés internationaux</w:t>
            </w:r>
          </w:p>
        </w:tc>
        <w:tc>
          <w:tcPr>
            <w:tcW w:w="1134" w:type="dxa"/>
            <w:tcBorders>
              <w:left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-12</w:t>
            </w:r>
          </w:p>
        </w:tc>
        <w:tc>
          <w:tcPr>
            <w:tcW w:w="993" w:type="dxa"/>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-176</w:t>
            </w:r>
          </w:p>
        </w:tc>
        <w:tc>
          <w:tcPr>
            <w:tcW w:w="992" w:type="dxa"/>
            <w:tcBorders>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27</w:t>
            </w:r>
          </w:p>
        </w:tc>
        <w:tc>
          <w:tcPr>
            <w:tcW w:w="99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-122</w:t>
            </w:r>
          </w:p>
        </w:tc>
        <w:tc>
          <w:tcPr>
            <w:tcW w:w="1134" w:type="dxa"/>
            <w:tcBorders>
              <w:left w:val="nil"/>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-175</w:t>
            </w:r>
          </w:p>
        </w:tc>
      </w:tr>
      <w:tr w:rsidR="00734B00" w:rsidRPr="00734B00" w:rsidTr="00734B00">
        <w:trPr>
          <w:trHeight w:val="227"/>
        </w:trPr>
        <w:tc>
          <w:tcPr>
            <w:tcW w:w="5103" w:type="dxa"/>
            <w:tcBorders>
              <w:bottom w:val="single" w:sz="4" w:space="0" w:color="365F91" w:themeColor="accent1" w:themeShade="BF"/>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Centre de groupe</w:t>
            </w:r>
          </w:p>
        </w:tc>
        <w:tc>
          <w:tcPr>
            <w:tcW w:w="1134" w:type="dxa"/>
            <w:tcBorders>
              <w:left w:val="single" w:sz="4" w:space="0" w:color="365F91" w:themeColor="accent1" w:themeShade="BF"/>
              <w:bottom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-79</w:t>
            </w:r>
          </w:p>
        </w:tc>
        <w:tc>
          <w:tcPr>
            <w:tcW w:w="993" w:type="dxa"/>
            <w:tcBorders>
              <w:bottom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-59</w:t>
            </w:r>
          </w:p>
        </w:tc>
        <w:tc>
          <w:tcPr>
            <w:tcW w:w="992" w:type="dxa"/>
            <w:tcBorders>
              <w:bottom w:val="single" w:sz="4" w:space="0" w:color="365F91" w:themeColor="accent1" w:themeShade="BF"/>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-64</w:t>
            </w:r>
          </w:p>
        </w:tc>
        <w:tc>
          <w:tcPr>
            <w:tcW w:w="992" w:type="dxa"/>
            <w:tcBorders>
              <w:bottom w:val="single" w:sz="4" w:space="0" w:color="365F91" w:themeColor="accent1" w:themeShade="BF"/>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-207</w:t>
            </w:r>
          </w:p>
        </w:tc>
        <w:tc>
          <w:tcPr>
            <w:tcW w:w="1134" w:type="dxa"/>
            <w:tcBorders>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-199</w:t>
            </w:r>
          </w:p>
        </w:tc>
      </w:tr>
      <w:tr w:rsidR="00734B00" w:rsidRPr="00734B00" w:rsidTr="00734B00">
        <w:trPr>
          <w:trHeight w:val="284"/>
        </w:trPr>
        <w:tc>
          <w:tcPr>
            <w:tcW w:w="5103" w:type="dxa"/>
            <w:tcBorders>
              <w:top w:val="single" w:sz="4" w:space="0" w:color="365F91" w:themeColor="accent1" w:themeShade="BF"/>
              <w:bottom w:val="single" w:sz="4" w:space="0" w:color="365F91" w:themeColor="accent1" w:themeShade="BF"/>
              <w:right w:val="single" w:sz="4" w:space="0" w:color="365F91" w:themeColor="accent1" w:themeShade="BF"/>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Capitaux propres de la société mère par action (en EUR, fin de période)</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28.5</w:t>
            </w:r>
          </w:p>
        </w:tc>
        <w:tc>
          <w:tcPr>
            <w:tcW w:w="993" w:type="dxa"/>
            <w:tcBorders>
              <w:top w:val="single" w:sz="4" w:space="0" w:color="365F91" w:themeColor="accent1" w:themeShade="BF"/>
              <w:bottom w:val="single" w:sz="4" w:space="0" w:color="365F91" w:themeColor="accent1" w:themeShade="BF"/>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29.5</w:t>
            </w:r>
          </w:p>
        </w:tc>
        <w:tc>
          <w:tcPr>
            <w:tcW w:w="992"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30.8</w:t>
            </w:r>
          </w:p>
        </w:tc>
        <w:tc>
          <w:tcPr>
            <w:tcW w:w="992" w:type="dxa"/>
            <w:tcBorders>
              <w:top w:val="single" w:sz="4" w:space="0" w:color="365F91" w:themeColor="accent1" w:themeShade="BF"/>
              <w:bottom w:val="single" w:sz="4" w:space="0" w:color="365F91" w:themeColor="accent1" w:themeShade="BF"/>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28.5</w:t>
            </w:r>
          </w:p>
        </w:tc>
        <w:tc>
          <w:tcPr>
            <w:tcW w:w="1134"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30.8</w:t>
            </w:r>
          </w:p>
        </w:tc>
      </w:tr>
    </w:tbl>
    <w:p w:rsidR="00734B00" w:rsidRPr="00734B00" w:rsidRDefault="00734B00" w:rsidP="00734B00">
      <w:pPr>
        <w:autoSpaceDE w:val="0"/>
        <w:autoSpaceDN w:val="0"/>
        <w:adjustRightInd w:val="0"/>
        <w:spacing w:after="120" w:line="240" w:lineRule="auto"/>
        <w:ind w:left="992" w:right="6"/>
        <w:jc w:val="both"/>
        <w:rPr>
          <w:rFonts w:cs="Arial"/>
          <w:bCs/>
          <w:color w:val="003768"/>
          <w:sz w:val="16"/>
          <w:szCs w:val="16"/>
          <w:lang w:val="fr-FR"/>
        </w:rPr>
      </w:pPr>
      <w:r w:rsidRPr="00734B00">
        <w:rPr>
          <w:rFonts w:cs="Arial"/>
          <w:bCs/>
          <w:color w:val="003768"/>
          <w:sz w:val="16"/>
          <w:szCs w:val="16"/>
          <w:lang w:val="fr-FR"/>
        </w:rPr>
        <w:t>1 Note : en cas de paiement d'un coupon sur les titres de capital de base vendus aux gouvernements belge et flamand et sur les instruments additionnels Tier-1 inclus, il sera déduit du numérateur (au prorata). Si une pénalité est due sur les titres de capital de base, elle sera déduite de la même manière</w:t>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Default="00734B00" w:rsidP="00734B00">
      <w:pPr>
        <w:autoSpaceDE w:val="0"/>
        <w:autoSpaceDN w:val="0"/>
        <w:adjustRightInd w:val="0"/>
        <w:spacing w:after="120" w:line="240" w:lineRule="auto"/>
        <w:ind w:left="992" w:right="6"/>
        <w:jc w:val="both"/>
        <w:rPr>
          <w:rFonts w:cs="Arial"/>
          <w:bCs/>
          <w:color w:val="003768"/>
        </w:rPr>
      </w:pPr>
      <w:r>
        <w:rPr>
          <w:rFonts w:cs="Arial"/>
          <w:bCs/>
          <w:noProof/>
          <w:color w:val="003768"/>
          <w:lang w:val="nl-BE" w:eastAsia="nl-BE"/>
        </w:rPr>
        <w:drawing>
          <wp:inline distT="0" distB="0" distL="0" distR="0" wp14:anchorId="65C2D775">
            <wp:extent cx="6450330" cy="499745"/>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0330" cy="499745"/>
                    </a:xfrm>
                    <a:prstGeom prst="rect">
                      <a:avLst/>
                    </a:prstGeom>
                    <a:noFill/>
                  </pic:spPr>
                </pic:pic>
              </a:graphicData>
            </a:graphic>
          </wp:inline>
        </w:drawing>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r w:rsidRPr="00734B00">
        <w:rPr>
          <w:rFonts w:cs="Arial"/>
          <w:bCs/>
          <w:color w:val="003768"/>
          <w:lang w:val="fr-FR"/>
        </w:rPr>
        <w:t>Pour les données complètes du compte de résultat et du bilan consolidés selon les normes IFRS, nous vous renvoyons au chapitre "</w:t>
      </w:r>
      <w:proofErr w:type="spellStart"/>
      <w:r w:rsidRPr="00734B00">
        <w:rPr>
          <w:rFonts w:cs="Arial"/>
          <w:bCs/>
          <w:color w:val="003768"/>
          <w:lang w:val="fr-FR"/>
        </w:rPr>
        <w:t>Consolidated</w:t>
      </w:r>
      <w:proofErr w:type="spellEnd"/>
      <w:r w:rsidRPr="00734B00">
        <w:rPr>
          <w:rFonts w:cs="Arial"/>
          <w:bCs/>
          <w:color w:val="003768"/>
          <w:lang w:val="fr-FR"/>
        </w:rPr>
        <w:t xml:space="preserve"> </w:t>
      </w:r>
      <w:proofErr w:type="spellStart"/>
      <w:r w:rsidRPr="00734B00">
        <w:rPr>
          <w:rFonts w:cs="Arial"/>
          <w:bCs/>
          <w:color w:val="003768"/>
          <w:lang w:val="fr-FR"/>
        </w:rPr>
        <w:t>financial</w:t>
      </w:r>
      <w:proofErr w:type="spellEnd"/>
      <w:r w:rsidRPr="00734B00">
        <w:rPr>
          <w:rFonts w:cs="Arial"/>
          <w:bCs/>
          <w:color w:val="003768"/>
          <w:lang w:val="fr-FR"/>
        </w:rPr>
        <w:t xml:space="preserve"> </w:t>
      </w:r>
      <w:proofErr w:type="spellStart"/>
      <w:r w:rsidRPr="00734B00">
        <w:rPr>
          <w:rFonts w:cs="Arial"/>
          <w:bCs/>
          <w:color w:val="003768"/>
          <w:lang w:val="fr-FR"/>
        </w:rPr>
        <w:t>statements</w:t>
      </w:r>
      <w:proofErr w:type="spellEnd"/>
      <w:r w:rsidRPr="00734B00">
        <w:rPr>
          <w:rFonts w:cs="Arial"/>
          <w:bCs/>
          <w:color w:val="003768"/>
          <w:lang w:val="fr-FR"/>
        </w:rPr>
        <w:t xml:space="preserve">" du rapport trimestriel, qui reprend également un résumé du résultat global, des variations des capitaux propres des actionnaires et des flux de trésorerie, ainsi que plusieurs annexes relatives aux comptes. </w:t>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r w:rsidRPr="00734B00">
        <w:rPr>
          <w:rFonts w:cs="Arial"/>
          <w:bCs/>
          <w:color w:val="003768"/>
          <w:lang w:val="fr-FR"/>
        </w:rPr>
        <w:t xml:space="preserve">Pour une appréciation correcte des activités en cours, KBC publie aussi un aperçu des résultats ajustés, qui exclut l'incidence des activités </w:t>
      </w:r>
      <w:proofErr w:type="spellStart"/>
      <w:r w:rsidRPr="00734B00">
        <w:rPr>
          <w:rFonts w:cs="Arial"/>
          <w:bCs/>
          <w:color w:val="003768"/>
          <w:lang w:val="fr-FR"/>
        </w:rPr>
        <w:t>legacy</w:t>
      </w:r>
      <w:proofErr w:type="spellEnd"/>
      <w:r w:rsidRPr="00734B00">
        <w:rPr>
          <w:rFonts w:cs="Arial"/>
          <w:bCs/>
          <w:color w:val="003768"/>
          <w:lang w:val="fr-FR"/>
        </w:rPr>
        <w:t xml:space="preserve"> (désinvestissements, CDO) et de la valorisation du risque de crédit propre du compte de résultat. Celle-ci est résumée en trois lignes au bas de la présentation (voir section suivante).</w:t>
      </w:r>
    </w:p>
    <w:tbl>
      <w:tblPr>
        <w:tblW w:w="10348" w:type="dxa"/>
        <w:tblInd w:w="1118" w:type="dxa"/>
        <w:tblLayout w:type="fixed"/>
        <w:tblLook w:val="01E0" w:firstRow="1" w:lastRow="1" w:firstColumn="1" w:lastColumn="1" w:noHBand="0" w:noVBand="0"/>
      </w:tblPr>
      <w:tblGrid>
        <w:gridCol w:w="3686"/>
        <w:gridCol w:w="687"/>
        <w:gridCol w:w="723"/>
        <w:gridCol w:w="614"/>
        <w:gridCol w:w="662"/>
        <w:gridCol w:w="662"/>
        <w:gridCol w:w="649"/>
        <w:gridCol w:w="680"/>
        <w:gridCol w:w="654"/>
        <w:gridCol w:w="622"/>
        <w:gridCol w:w="709"/>
      </w:tblGrid>
      <w:tr w:rsidR="00734B00" w:rsidRPr="00734B00" w:rsidTr="00734B00">
        <w:tc>
          <w:tcPr>
            <w:tcW w:w="3686" w:type="dxa"/>
            <w:shd w:val="clear" w:color="auto" w:fill="365F91" w:themeFill="accent1" w:themeFillShade="BF"/>
            <w:vAlign w:val="center"/>
          </w:tcPr>
          <w:p w:rsidR="00734B00" w:rsidRPr="00734B00" w:rsidRDefault="00734B00" w:rsidP="00734B00">
            <w:pPr>
              <w:spacing w:after="0" w:line="240" w:lineRule="auto"/>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Compte de résultat consolidé selon IFRS,</w:t>
            </w:r>
            <w:r w:rsidRPr="00734B00">
              <w:rPr>
                <w:rFonts w:ascii="Arial" w:eastAsia="Times New Roman" w:hAnsi="Arial"/>
                <w:bCs/>
                <w:snapToGrid w:val="0"/>
                <w:color w:val="FFFFFF" w:themeColor="background1"/>
                <w:sz w:val="14"/>
                <w:szCs w:val="14"/>
                <w:lang w:val="fr-FR"/>
              </w:rPr>
              <w:br/>
              <w:t>KBC Groupe (en millions d’EUR)</w:t>
            </w:r>
          </w:p>
        </w:tc>
        <w:tc>
          <w:tcPr>
            <w:tcW w:w="687" w:type="dxa"/>
            <w:shd w:val="clear" w:color="auto" w:fill="365F91" w:themeFill="accent1" w:themeFillShade="BF"/>
            <w:vAlign w:val="bottom"/>
          </w:tcPr>
          <w:p w:rsidR="00565993"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1Tr</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2013</w:t>
            </w:r>
          </w:p>
        </w:tc>
        <w:tc>
          <w:tcPr>
            <w:tcW w:w="723"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2Tr 2013</w:t>
            </w:r>
          </w:p>
        </w:tc>
        <w:tc>
          <w:tcPr>
            <w:tcW w:w="614"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 xml:space="preserve">3Tr </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2013</w:t>
            </w:r>
          </w:p>
        </w:tc>
        <w:tc>
          <w:tcPr>
            <w:tcW w:w="662" w:type="dxa"/>
            <w:shd w:val="clear" w:color="auto" w:fill="365F91" w:themeFill="accent1" w:themeFillShade="BF"/>
            <w:vAlign w:val="bottom"/>
          </w:tcPr>
          <w:p w:rsidR="00565993"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4Tr</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2013</w:t>
            </w:r>
          </w:p>
        </w:tc>
        <w:tc>
          <w:tcPr>
            <w:tcW w:w="662"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1Tr 2014</w:t>
            </w:r>
          </w:p>
        </w:tc>
        <w:tc>
          <w:tcPr>
            <w:tcW w:w="649"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2Tr 2014</w:t>
            </w:r>
          </w:p>
        </w:tc>
        <w:tc>
          <w:tcPr>
            <w:tcW w:w="680"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 xml:space="preserve">3Tr </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2014</w:t>
            </w:r>
          </w:p>
        </w:tc>
        <w:tc>
          <w:tcPr>
            <w:tcW w:w="654" w:type="dxa"/>
            <w:tcBorders>
              <w:right w:val="single" w:sz="8" w:space="0" w:color="1F497D" w:themeColor="text2"/>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4Tr 2014</w:t>
            </w:r>
          </w:p>
        </w:tc>
        <w:tc>
          <w:tcPr>
            <w:tcW w:w="622" w:type="dxa"/>
            <w:tcBorders>
              <w:left w:val="single" w:sz="8" w:space="0" w:color="1F497D" w:themeColor="text2"/>
            </w:tcBorders>
            <w:shd w:val="clear" w:color="auto" w:fill="365F91" w:themeFill="accent1" w:themeFillShade="BF"/>
            <w:vAlign w:val="bottom"/>
          </w:tcPr>
          <w:p w:rsidR="00734B00" w:rsidRPr="00734B00" w:rsidRDefault="00734B00" w:rsidP="00734B00">
            <w:pPr>
              <w:spacing w:after="0" w:line="240" w:lineRule="auto"/>
              <w:ind w:left="-53" w:firstLine="53"/>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9M</w:t>
            </w:r>
            <w:r w:rsidRPr="00734B00">
              <w:rPr>
                <w:rFonts w:ascii="Arial" w:eastAsia="Times New Roman" w:hAnsi="Arial"/>
                <w:bCs/>
                <w:snapToGrid w:val="0"/>
                <w:color w:val="FFFFFF" w:themeColor="background1"/>
                <w:sz w:val="14"/>
                <w:szCs w:val="14"/>
                <w:lang w:val="fr-FR"/>
              </w:rPr>
              <w:br/>
              <w:t>2013</w:t>
            </w:r>
          </w:p>
        </w:tc>
        <w:tc>
          <w:tcPr>
            <w:tcW w:w="709"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9M</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2014</w:t>
            </w:r>
          </w:p>
        </w:tc>
      </w:tr>
      <w:tr w:rsidR="00734B00" w:rsidRPr="00734B00" w:rsidTr="00734B00">
        <w:trPr>
          <w:trHeight w:val="238"/>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Revenus nets d’intérêts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1 053</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1 003</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1 014</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1 008</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1 010</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1 056</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1 120</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3 069</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3 185</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 xml:space="preserve">   Revenus d’intérêts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2 161</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2 079</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2 037</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2 067</w:t>
            </w:r>
          </w:p>
        </w:tc>
        <w:tc>
          <w:tcPr>
            <w:tcW w:w="662" w:type="dxa"/>
            <w:shd w:val="clear" w:color="auto" w:fill="auto"/>
            <w:vAlign w:val="center"/>
          </w:tcPr>
          <w:p w:rsidR="00734B00" w:rsidRPr="00734B00" w:rsidRDefault="00734B00" w:rsidP="00734B00">
            <w:pPr>
              <w:keepNext/>
              <w:spacing w:after="0" w:line="240" w:lineRule="auto"/>
              <w:ind w:left="-242"/>
              <w:jc w:val="right"/>
              <w:outlineLvl w:val="3"/>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1 930</w:t>
            </w:r>
          </w:p>
        </w:tc>
        <w:tc>
          <w:tcPr>
            <w:tcW w:w="649" w:type="dxa"/>
            <w:shd w:val="clear" w:color="auto" w:fill="auto"/>
            <w:vAlign w:val="center"/>
          </w:tcPr>
          <w:p w:rsidR="00734B00" w:rsidRPr="00734B00" w:rsidRDefault="00734B00" w:rsidP="00734B00">
            <w:pPr>
              <w:spacing w:before="100" w:beforeAutospacing="1" w:after="0" w:line="240" w:lineRule="auto"/>
              <w:ind w:left="-242"/>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1 971</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ind w:left="-242"/>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2 010</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ind w:left="-242"/>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ind w:left="-242"/>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6 276</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ind w:left="-242"/>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5 911</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 xml:space="preserve">   Charges d’intérêts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-1 108</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-1 076</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-1 023</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-1 060</w:t>
            </w:r>
          </w:p>
        </w:tc>
        <w:tc>
          <w:tcPr>
            <w:tcW w:w="662" w:type="dxa"/>
            <w:shd w:val="clear" w:color="auto" w:fill="auto"/>
            <w:vAlign w:val="center"/>
          </w:tcPr>
          <w:p w:rsidR="00734B00" w:rsidRPr="00734B00" w:rsidRDefault="00734B00" w:rsidP="00734B00">
            <w:pPr>
              <w:keepNext/>
              <w:spacing w:after="0" w:line="240" w:lineRule="auto"/>
              <w:jc w:val="right"/>
              <w:outlineLvl w:val="3"/>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-920</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-915</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-890</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-3 207</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-2 726</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cs="Arial"/>
                <w:sz w:val="14"/>
                <w:szCs w:val="14"/>
                <w:lang w:val="fr-FR"/>
              </w:rPr>
            </w:pPr>
            <w:r w:rsidRPr="00734B00">
              <w:rPr>
                <w:rFonts w:ascii="Arial" w:eastAsia="Times New Roman" w:hAnsi="Arial" w:cs="Arial"/>
                <w:sz w:val="14"/>
                <w:szCs w:val="14"/>
                <w:lang w:val="fr-FR"/>
              </w:rPr>
              <w:t>Assurance non-vie (avant réassurance)</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149</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115</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145</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127</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149</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102</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139</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409</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389</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ind w:firstLineChars="400" w:firstLine="560"/>
              <w:rPr>
                <w:rFonts w:ascii="Arial" w:eastAsia="Times New Roman" w:hAnsi="Arial" w:cs="Arial"/>
                <w:i/>
                <w:iCs/>
                <w:color w:val="404040" w:themeColor="text1" w:themeTint="BF"/>
                <w:sz w:val="14"/>
                <w:szCs w:val="14"/>
                <w:lang w:val="fr-FR"/>
              </w:rPr>
            </w:pPr>
            <w:r w:rsidRPr="00734B00">
              <w:rPr>
                <w:rFonts w:ascii="Arial" w:eastAsia="Times New Roman" w:hAnsi="Arial" w:cs="Arial"/>
                <w:i/>
                <w:iCs/>
                <w:sz w:val="14"/>
                <w:szCs w:val="14"/>
                <w:lang w:val="fr-FR"/>
              </w:rPr>
              <w:t>Primes acquises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305</w:t>
            </w:r>
          </w:p>
        </w:tc>
        <w:tc>
          <w:tcPr>
            <w:tcW w:w="723"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316</w:t>
            </w:r>
          </w:p>
        </w:tc>
        <w:tc>
          <w:tcPr>
            <w:tcW w:w="614"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321</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317</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307</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315</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321</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942</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944</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ind w:firstLineChars="400" w:firstLine="560"/>
              <w:rPr>
                <w:rFonts w:ascii="Arial" w:eastAsia="Times New Roman" w:hAnsi="Arial" w:cs="Arial"/>
                <w:i/>
                <w:iCs/>
                <w:color w:val="404040" w:themeColor="text1" w:themeTint="BF"/>
                <w:sz w:val="14"/>
                <w:szCs w:val="14"/>
                <w:lang w:val="fr-FR"/>
              </w:rPr>
            </w:pPr>
            <w:r w:rsidRPr="00734B00">
              <w:rPr>
                <w:rFonts w:ascii="Arial" w:eastAsia="Times New Roman" w:hAnsi="Arial" w:cs="Arial"/>
                <w:i/>
                <w:iCs/>
                <w:sz w:val="14"/>
                <w:szCs w:val="14"/>
                <w:lang w:val="fr-FR"/>
              </w:rPr>
              <w:t>Charges techniques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-156</w:t>
            </w:r>
          </w:p>
        </w:tc>
        <w:tc>
          <w:tcPr>
            <w:tcW w:w="723"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-201</w:t>
            </w:r>
          </w:p>
        </w:tc>
        <w:tc>
          <w:tcPr>
            <w:tcW w:w="614"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-176</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-190</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-158</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-214</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-183</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-533</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-555</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cs="Arial"/>
                <w:sz w:val="14"/>
                <w:szCs w:val="14"/>
                <w:lang w:val="fr-FR"/>
              </w:rPr>
            </w:pPr>
            <w:r w:rsidRPr="00734B00">
              <w:rPr>
                <w:rFonts w:ascii="Arial" w:eastAsia="Times New Roman" w:hAnsi="Arial" w:cs="Arial"/>
                <w:sz w:val="14"/>
                <w:szCs w:val="14"/>
                <w:lang w:val="fr-FR"/>
              </w:rPr>
              <w:t>Assurance vie (avant réassurance)</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-59</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-62</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-63</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-57</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-59</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-56</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-57</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-185</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-171</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ind w:firstLineChars="400" w:firstLine="560"/>
              <w:rPr>
                <w:rFonts w:ascii="Arial" w:eastAsia="Times New Roman" w:hAnsi="Arial" w:cs="Arial"/>
                <w:i/>
                <w:iCs/>
                <w:sz w:val="14"/>
                <w:szCs w:val="14"/>
                <w:lang w:val="fr-FR"/>
              </w:rPr>
            </w:pPr>
            <w:r w:rsidRPr="00734B00">
              <w:rPr>
                <w:rFonts w:ascii="Arial" w:eastAsia="Times New Roman" w:hAnsi="Arial" w:cs="Arial"/>
                <w:i/>
                <w:iCs/>
                <w:sz w:val="14"/>
                <w:szCs w:val="14"/>
                <w:lang w:val="fr-FR"/>
              </w:rPr>
              <w:t>Primes acquises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271</w:t>
            </w:r>
          </w:p>
        </w:tc>
        <w:tc>
          <w:tcPr>
            <w:tcW w:w="723"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241</w:t>
            </w:r>
          </w:p>
        </w:tc>
        <w:tc>
          <w:tcPr>
            <w:tcW w:w="614"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238</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381</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308</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297</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299</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750</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904</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ind w:firstLineChars="400" w:firstLine="560"/>
              <w:rPr>
                <w:rFonts w:ascii="Arial" w:eastAsia="Times New Roman" w:hAnsi="Arial" w:cs="Arial"/>
                <w:i/>
                <w:iCs/>
                <w:sz w:val="14"/>
                <w:szCs w:val="14"/>
                <w:lang w:val="fr-FR"/>
              </w:rPr>
            </w:pPr>
            <w:r w:rsidRPr="00734B00">
              <w:rPr>
                <w:rFonts w:ascii="Arial" w:eastAsia="Times New Roman" w:hAnsi="Arial" w:cs="Arial"/>
                <w:i/>
                <w:iCs/>
                <w:sz w:val="14"/>
                <w:szCs w:val="14"/>
                <w:lang w:val="fr-FR"/>
              </w:rPr>
              <w:t>Charges techniques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-331</w:t>
            </w:r>
          </w:p>
        </w:tc>
        <w:tc>
          <w:tcPr>
            <w:tcW w:w="723"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-303</w:t>
            </w:r>
          </w:p>
        </w:tc>
        <w:tc>
          <w:tcPr>
            <w:tcW w:w="614"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-302</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-438</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-367</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-353</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-355</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-936</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-1 075</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de la réassurance cédée</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-12</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13</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Revenus de dividendes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20</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14</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8</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24</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39</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47</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d’instruments financiers à la juste valeur par le biais du compte de résultat</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314</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425</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223</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229</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40</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44</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34</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962</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118</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réalisé sur des actifs financiers disponibles à la vente</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142</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47</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34</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29</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51</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49</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28</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223</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128</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Revenus nets de commissions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389</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381</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337</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362</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374</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387</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402</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1 107</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1 163</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 xml:space="preserve">   Revenus de commissions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636</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560</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507</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564</w:t>
            </w:r>
          </w:p>
        </w:tc>
        <w:tc>
          <w:tcPr>
            <w:tcW w:w="662" w:type="dxa"/>
            <w:shd w:val="clear" w:color="auto" w:fill="auto"/>
            <w:vAlign w:val="center"/>
          </w:tcPr>
          <w:p w:rsidR="00734B00" w:rsidRPr="00734B00" w:rsidRDefault="00734B00" w:rsidP="00734B00">
            <w:pPr>
              <w:keepNext/>
              <w:spacing w:after="0" w:line="240" w:lineRule="auto"/>
              <w:jc w:val="right"/>
              <w:outlineLvl w:val="3"/>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557</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533</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579</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1 704</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1 668</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 xml:space="preserve">   Charges de commissions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-247</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-179</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-170</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-202</w:t>
            </w:r>
          </w:p>
        </w:tc>
        <w:tc>
          <w:tcPr>
            <w:tcW w:w="662" w:type="dxa"/>
            <w:shd w:val="clear" w:color="auto" w:fill="auto"/>
            <w:vAlign w:val="center"/>
          </w:tcPr>
          <w:p w:rsidR="00734B00" w:rsidRPr="00734B00" w:rsidRDefault="00734B00" w:rsidP="00734B00">
            <w:pPr>
              <w:keepNext/>
              <w:spacing w:after="0" w:line="240" w:lineRule="auto"/>
              <w:jc w:val="right"/>
              <w:outlineLvl w:val="3"/>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-182</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-147</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-177</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-596</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2"/>
                <w:szCs w:val="12"/>
                <w:lang w:val="fr-FR"/>
              </w:rPr>
            </w:pPr>
            <w:r w:rsidRPr="00734B00">
              <w:rPr>
                <w:rFonts w:ascii="Arial" w:eastAsia="Times New Roman" w:hAnsi="Arial"/>
                <w:bCs/>
                <w:snapToGrid w:val="0"/>
                <w:sz w:val="12"/>
                <w:szCs w:val="12"/>
                <w:lang w:val="fr-FR"/>
              </w:rPr>
              <w:t>-505</w:t>
            </w:r>
          </w:p>
        </w:tc>
      </w:tr>
      <w:tr w:rsidR="00734B00" w:rsidRPr="00734B00" w:rsidTr="00734B00">
        <w:trPr>
          <w:trHeight w:val="284"/>
        </w:trPr>
        <w:tc>
          <w:tcPr>
            <w:tcW w:w="3686" w:type="dxa"/>
            <w:tcBorders>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Autres revenus nets</w:t>
            </w:r>
          </w:p>
        </w:tc>
        <w:tc>
          <w:tcPr>
            <w:tcW w:w="687"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76</w:t>
            </w:r>
          </w:p>
        </w:tc>
        <w:tc>
          <w:tcPr>
            <w:tcW w:w="723"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-20</w:t>
            </w:r>
          </w:p>
        </w:tc>
        <w:tc>
          <w:tcPr>
            <w:tcW w:w="614"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51</w:t>
            </w:r>
          </w:p>
        </w:tc>
        <w:tc>
          <w:tcPr>
            <w:tcW w:w="662" w:type="dxa"/>
            <w:tcBorders>
              <w:bottom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15</w:t>
            </w:r>
          </w:p>
        </w:tc>
        <w:tc>
          <w:tcPr>
            <w:tcW w:w="662"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52</w:t>
            </w:r>
          </w:p>
        </w:tc>
        <w:tc>
          <w:tcPr>
            <w:tcW w:w="649" w:type="dxa"/>
            <w:tcBorders>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-99</w:t>
            </w:r>
          </w:p>
        </w:tc>
        <w:tc>
          <w:tcPr>
            <w:tcW w:w="680"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73</w:t>
            </w:r>
          </w:p>
        </w:tc>
        <w:tc>
          <w:tcPr>
            <w:tcW w:w="654" w:type="dxa"/>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107</w:t>
            </w:r>
          </w:p>
        </w:tc>
        <w:tc>
          <w:tcPr>
            <w:tcW w:w="709"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26</w:t>
            </w:r>
          </w:p>
        </w:tc>
      </w:tr>
      <w:tr w:rsidR="00734B00" w:rsidRPr="00734B00" w:rsidTr="00734B00">
        <w:trPr>
          <w:trHeight w:val="284"/>
        </w:trPr>
        <w:tc>
          <w:tcPr>
            <w:tcW w:w="3686" w:type="dxa"/>
            <w:tcBorders>
              <w:top w:val="single" w:sz="8" w:space="0" w:color="1F497D" w:themeColor="text2"/>
              <w:bottom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Total des produits</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2 058</w:t>
            </w:r>
          </w:p>
        </w:tc>
        <w:tc>
          <w:tcPr>
            <w:tcW w:w="723"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1 921</w:t>
            </w:r>
          </w:p>
        </w:tc>
        <w:tc>
          <w:tcPr>
            <w:tcW w:w="614"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1 754</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1 715</w:t>
            </w:r>
          </w:p>
        </w:tc>
        <w:tc>
          <w:tcPr>
            <w:tcW w:w="662"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1 615</w:t>
            </w:r>
          </w:p>
        </w:tc>
        <w:tc>
          <w:tcPr>
            <w:tcW w:w="649"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1 526</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1 752</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5 733</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4 892</w:t>
            </w:r>
          </w:p>
        </w:tc>
      </w:tr>
      <w:tr w:rsidR="00734B00" w:rsidRPr="00734B00" w:rsidTr="00734B00">
        <w:trPr>
          <w:trHeight w:val="284"/>
        </w:trPr>
        <w:tc>
          <w:tcPr>
            <w:tcW w:w="3686" w:type="dxa"/>
            <w:tcBorders>
              <w:top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Charges d'exploitation</w:t>
            </w:r>
          </w:p>
        </w:tc>
        <w:tc>
          <w:tcPr>
            <w:tcW w:w="687" w:type="dxa"/>
            <w:tcBorders>
              <w:top w:val="single" w:sz="8" w:space="0" w:color="1F497D" w:themeColor="text2"/>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-1 033</w:t>
            </w:r>
          </w:p>
        </w:tc>
        <w:tc>
          <w:tcPr>
            <w:tcW w:w="723"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-924</w:t>
            </w:r>
          </w:p>
        </w:tc>
        <w:tc>
          <w:tcPr>
            <w:tcW w:w="614"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-918</w:t>
            </w:r>
          </w:p>
        </w:tc>
        <w:tc>
          <w:tcPr>
            <w:tcW w:w="662" w:type="dxa"/>
            <w:tcBorders>
              <w:top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-968</w:t>
            </w:r>
          </w:p>
        </w:tc>
        <w:tc>
          <w:tcPr>
            <w:tcW w:w="662"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-973</w:t>
            </w:r>
          </w:p>
        </w:tc>
        <w:tc>
          <w:tcPr>
            <w:tcW w:w="649" w:type="dxa"/>
            <w:tcBorders>
              <w:top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-933</w:t>
            </w:r>
          </w:p>
        </w:tc>
        <w:tc>
          <w:tcPr>
            <w:tcW w:w="680" w:type="dxa"/>
            <w:tcBorders>
              <w:top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-923</w:t>
            </w:r>
          </w:p>
        </w:tc>
        <w:tc>
          <w:tcPr>
            <w:tcW w:w="654" w:type="dxa"/>
            <w:tcBorders>
              <w:top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top w:val="single" w:sz="8" w:space="0" w:color="1F497D" w:themeColor="text2"/>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-2 875</w:t>
            </w:r>
          </w:p>
        </w:tc>
        <w:tc>
          <w:tcPr>
            <w:tcW w:w="709" w:type="dxa"/>
            <w:tcBorders>
              <w:top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-2 829</w:t>
            </w:r>
          </w:p>
        </w:tc>
      </w:tr>
      <w:tr w:rsidR="00734B00" w:rsidRPr="00734B00" w:rsidTr="00734B00">
        <w:trPr>
          <w:trHeight w:val="284"/>
        </w:trPr>
        <w:tc>
          <w:tcPr>
            <w:tcW w:w="3686" w:type="dxa"/>
            <w:tcBorders>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Réductions de valeur :</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-350</w:t>
            </w:r>
          </w:p>
        </w:tc>
        <w:tc>
          <w:tcPr>
            <w:tcW w:w="723"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-275</w:t>
            </w:r>
          </w:p>
        </w:tc>
        <w:tc>
          <w:tcPr>
            <w:tcW w:w="614"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-362</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-940</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-114</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-142</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-58</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-987</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-313</w:t>
            </w:r>
          </w:p>
        </w:tc>
      </w:tr>
      <w:tr w:rsidR="00734B00" w:rsidRPr="00734B00" w:rsidTr="00734B00">
        <w:trPr>
          <w:trHeight w:val="227"/>
        </w:trPr>
        <w:tc>
          <w:tcPr>
            <w:tcW w:w="3686" w:type="dxa"/>
            <w:tcBorders>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Sur prêts et créances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-293</w:t>
            </w:r>
          </w:p>
        </w:tc>
        <w:tc>
          <w:tcPr>
            <w:tcW w:w="723" w:type="dxa"/>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-254</w:t>
            </w:r>
          </w:p>
        </w:tc>
        <w:tc>
          <w:tcPr>
            <w:tcW w:w="614" w:type="dxa"/>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-230</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-937</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-102</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-136</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-190</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-777</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-429</w:t>
            </w:r>
          </w:p>
        </w:tc>
      </w:tr>
      <w:tr w:rsidR="00734B00" w:rsidRPr="00734B00" w:rsidTr="00734B00">
        <w:trPr>
          <w:trHeight w:val="227"/>
        </w:trPr>
        <w:tc>
          <w:tcPr>
            <w:tcW w:w="3686" w:type="dxa"/>
            <w:tcBorders>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Sur actifs financiers disponibles à la vente</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-13</w:t>
            </w:r>
          </w:p>
        </w:tc>
        <w:tc>
          <w:tcPr>
            <w:tcW w:w="723" w:type="dxa"/>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-3</w:t>
            </w:r>
          </w:p>
        </w:tc>
        <w:tc>
          <w:tcPr>
            <w:tcW w:w="614" w:type="dxa"/>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-8</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-10</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-24</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w:t>
            </w:r>
          </w:p>
        </w:tc>
      </w:tr>
      <w:tr w:rsidR="00734B00" w:rsidRPr="00734B00" w:rsidTr="00734B00">
        <w:trPr>
          <w:trHeight w:val="227"/>
        </w:trPr>
        <w:tc>
          <w:tcPr>
            <w:tcW w:w="3686" w:type="dxa"/>
            <w:tcBorders>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Sur goodwill</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-7</w:t>
            </w:r>
          </w:p>
        </w:tc>
        <w:tc>
          <w:tcPr>
            <w:tcW w:w="723" w:type="dxa"/>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0</w:t>
            </w:r>
          </w:p>
        </w:tc>
        <w:tc>
          <w:tcPr>
            <w:tcW w:w="614" w:type="dxa"/>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0</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0</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r>
      <w:tr w:rsidR="00734B00" w:rsidRPr="00734B00" w:rsidTr="00734B00">
        <w:trPr>
          <w:trHeight w:val="227"/>
        </w:trPr>
        <w:tc>
          <w:tcPr>
            <w:tcW w:w="3686" w:type="dxa"/>
            <w:tcBorders>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Sur autres</w:t>
            </w:r>
          </w:p>
        </w:tc>
        <w:tc>
          <w:tcPr>
            <w:tcW w:w="687"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-37</w:t>
            </w:r>
          </w:p>
        </w:tc>
        <w:tc>
          <w:tcPr>
            <w:tcW w:w="723" w:type="dxa"/>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-18</w:t>
            </w:r>
          </w:p>
        </w:tc>
        <w:tc>
          <w:tcPr>
            <w:tcW w:w="614" w:type="dxa"/>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-125</w:t>
            </w:r>
          </w:p>
        </w:tc>
        <w:tc>
          <w:tcPr>
            <w:tcW w:w="662" w:type="dxa"/>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iCs/>
                <w:sz w:val="14"/>
                <w:szCs w:val="14"/>
                <w:lang w:val="fr-FR"/>
              </w:rPr>
            </w:pPr>
            <w:r w:rsidRPr="00734B00">
              <w:rPr>
                <w:rFonts w:ascii="Arial" w:eastAsia="Times New Roman" w:hAnsi="Arial" w:cs="Arial"/>
                <w:iCs/>
                <w:sz w:val="14"/>
                <w:szCs w:val="14"/>
                <w:lang w:val="fr-FR"/>
              </w:rPr>
              <w:t>7</w:t>
            </w:r>
          </w:p>
        </w:tc>
        <w:tc>
          <w:tcPr>
            <w:tcW w:w="662"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w:t>
            </w:r>
          </w:p>
        </w:tc>
        <w:tc>
          <w:tcPr>
            <w:tcW w:w="649" w:type="dxa"/>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w:t>
            </w:r>
          </w:p>
        </w:tc>
        <w:tc>
          <w:tcPr>
            <w:tcW w:w="680"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139</w:t>
            </w:r>
          </w:p>
        </w:tc>
        <w:tc>
          <w:tcPr>
            <w:tcW w:w="654" w:type="dxa"/>
            <w:tcBorders>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-179</w:t>
            </w:r>
          </w:p>
        </w:tc>
        <w:tc>
          <w:tcPr>
            <w:tcW w:w="709" w:type="dxa"/>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130</w:t>
            </w:r>
          </w:p>
        </w:tc>
      </w:tr>
      <w:tr w:rsidR="00734B00" w:rsidRPr="00734B00" w:rsidTr="00734B00">
        <w:trPr>
          <w:trHeight w:val="284"/>
        </w:trPr>
        <w:tc>
          <w:tcPr>
            <w:tcW w:w="3686" w:type="dxa"/>
            <w:tcBorders>
              <w:bottom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Quote-part dans le résultat des entreprises associées et joint-ventures</w:t>
            </w:r>
          </w:p>
        </w:tc>
        <w:tc>
          <w:tcPr>
            <w:tcW w:w="687"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8</w:t>
            </w:r>
          </w:p>
        </w:tc>
        <w:tc>
          <w:tcPr>
            <w:tcW w:w="723"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8</w:t>
            </w:r>
          </w:p>
        </w:tc>
        <w:tc>
          <w:tcPr>
            <w:tcW w:w="614"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w:t>
            </w:r>
          </w:p>
        </w:tc>
        <w:tc>
          <w:tcPr>
            <w:tcW w:w="662" w:type="dxa"/>
            <w:tcBorders>
              <w:bottom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w:t>
            </w:r>
          </w:p>
        </w:tc>
        <w:tc>
          <w:tcPr>
            <w:tcW w:w="662"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w:t>
            </w:r>
          </w:p>
        </w:tc>
        <w:tc>
          <w:tcPr>
            <w:tcW w:w="649" w:type="dxa"/>
            <w:tcBorders>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w:t>
            </w:r>
          </w:p>
        </w:tc>
        <w:tc>
          <w:tcPr>
            <w:tcW w:w="680"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w:t>
            </w:r>
          </w:p>
        </w:tc>
        <w:tc>
          <w:tcPr>
            <w:tcW w:w="654" w:type="dxa"/>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24</w:t>
            </w:r>
          </w:p>
        </w:tc>
        <w:tc>
          <w:tcPr>
            <w:tcW w:w="709"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w:t>
            </w:r>
          </w:p>
        </w:tc>
      </w:tr>
      <w:tr w:rsidR="00734B00" w:rsidRPr="00734B00" w:rsidTr="00734B00">
        <w:trPr>
          <w:trHeight w:val="284"/>
        </w:trPr>
        <w:tc>
          <w:tcPr>
            <w:tcW w:w="3686" w:type="dxa"/>
            <w:tcBorders>
              <w:top w:val="single" w:sz="8" w:space="0" w:color="1F497D" w:themeColor="text2"/>
              <w:bottom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avant impôts</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683</w:t>
            </w:r>
          </w:p>
        </w:tc>
        <w:tc>
          <w:tcPr>
            <w:tcW w:w="723"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729</w:t>
            </w:r>
          </w:p>
        </w:tc>
        <w:tc>
          <w:tcPr>
            <w:tcW w:w="614"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483</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-187</w:t>
            </w:r>
          </w:p>
        </w:tc>
        <w:tc>
          <w:tcPr>
            <w:tcW w:w="662"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535</w:t>
            </w:r>
          </w:p>
        </w:tc>
        <w:tc>
          <w:tcPr>
            <w:tcW w:w="649"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457</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777</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1 895</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1 769</w:t>
            </w:r>
          </w:p>
        </w:tc>
      </w:tr>
      <w:tr w:rsidR="00734B00" w:rsidRPr="00734B00" w:rsidTr="00734B00">
        <w:trPr>
          <w:trHeight w:val="284"/>
        </w:trPr>
        <w:tc>
          <w:tcPr>
            <w:tcW w:w="3686" w:type="dxa"/>
            <w:tcBorders>
              <w:top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Impôts</w:t>
            </w:r>
          </w:p>
        </w:tc>
        <w:tc>
          <w:tcPr>
            <w:tcW w:w="687" w:type="dxa"/>
            <w:tcBorders>
              <w:top w:val="single" w:sz="8" w:space="0" w:color="1F497D" w:themeColor="text2"/>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-159</w:t>
            </w:r>
          </w:p>
        </w:tc>
        <w:tc>
          <w:tcPr>
            <w:tcW w:w="723"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-210</w:t>
            </w:r>
          </w:p>
        </w:tc>
        <w:tc>
          <w:tcPr>
            <w:tcW w:w="614"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-207</w:t>
            </w:r>
          </w:p>
        </w:tc>
        <w:tc>
          <w:tcPr>
            <w:tcW w:w="662" w:type="dxa"/>
            <w:tcBorders>
              <w:top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-103</w:t>
            </w:r>
          </w:p>
        </w:tc>
        <w:tc>
          <w:tcPr>
            <w:tcW w:w="662"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-138</w:t>
            </w:r>
          </w:p>
        </w:tc>
        <w:tc>
          <w:tcPr>
            <w:tcW w:w="649" w:type="dxa"/>
            <w:tcBorders>
              <w:top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-140</w:t>
            </w:r>
          </w:p>
        </w:tc>
        <w:tc>
          <w:tcPr>
            <w:tcW w:w="680" w:type="dxa"/>
            <w:tcBorders>
              <w:top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-186</w:t>
            </w:r>
          </w:p>
        </w:tc>
        <w:tc>
          <w:tcPr>
            <w:tcW w:w="654" w:type="dxa"/>
            <w:tcBorders>
              <w:top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top w:val="single" w:sz="8" w:space="0" w:color="1F497D" w:themeColor="text2"/>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-575</w:t>
            </w:r>
          </w:p>
        </w:tc>
        <w:tc>
          <w:tcPr>
            <w:tcW w:w="709" w:type="dxa"/>
            <w:tcBorders>
              <w:top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-464</w:t>
            </w:r>
          </w:p>
        </w:tc>
      </w:tr>
      <w:tr w:rsidR="00734B00" w:rsidRPr="00734B00" w:rsidTr="00734B00">
        <w:trPr>
          <w:trHeight w:val="284"/>
        </w:trPr>
        <w:tc>
          <w:tcPr>
            <w:tcW w:w="3686" w:type="dxa"/>
            <w:tcBorders>
              <w:bottom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après impôts des activités abandonnées</w:t>
            </w:r>
          </w:p>
        </w:tc>
        <w:tc>
          <w:tcPr>
            <w:tcW w:w="687"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0</w:t>
            </w:r>
          </w:p>
        </w:tc>
        <w:tc>
          <w:tcPr>
            <w:tcW w:w="723"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0</w:t>
            </w:r>
          </w:p>
        </w:tc>
        <w:tc>
          <w:tcPr>
            <w:tcW w:w="614"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0</w:t>
            </w:r>
          </w:p>
        </w:tc>
        <w:tc>
          <w:tcPr>
            <w:tcW w:w="662" w:type="dxa"/>
            <w:tcBorders>
              <w:bottom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0</w:t>
            </w:r>
          </w:p>
        </w:tc>
        <w:tc>
          <w:tcPr>
            <w:tcW w:w="662"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49" w:type="dxa"/>
            <w:tcBorders>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80"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54" w:type="dxa"/>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709"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r>
      <w:tr w:rsidR="00734B00" w:rsidRPr="00734B00" w:rsidTr="00734B00">
        <w:trPr>
          <w:trHeight w:val="284"/>
        </w:trPr>
        <w:tc>
          <w:tcPr>
            <w:tcW w:w="3686" w:type="dxa"/>
            <w:tcBorders>
              <w:top w:val="single" w:sz="8" w:space="0" w:color="1F497D" w:themeColor="text2"/>
              <w:bottom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après impôts</w:t>
            </w:r>
          </w:p>
        </w:tc>
        <w:tc>
          <w:tcPr>
            <w:tcW w:w="687" w:type="dxa"/>
            <w:tcBorders>
              <w:top w:val="single" w:sz="8" w:space="0" w:color="1F497D" w:themeColor="text2"/>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524</w:t>
            </w:r>
          </w:p>
        </w:tc>
        <w:tc>
          <w:tcPr>
            <w:tcW w:w="723"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520</w:t>
            </w:r>
          </w:p>
        </w:tc>
        <w:tc>
          <w:tcPr>
            <w:tcW w:w="614"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276</w:t>
            </w:r>
          </w:p>
        </w:tc>
        <w:tc>
          <w:tcPr>
            <w:tcW w:w="662" w:type="dxa"/>
            <w:tcBorders>
              <w:top w:val="single" w:sz="8" w:space="0" w:color="1F497D" w:themeColor="text2"/>
              <w:bottom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-290</w:t>
            </w:r>
          </w:p>
        </w:tc>
        <w:tc>
          <w:tcPr>
            <w:tcW w:w="662"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397</w:t>
            </w:r>
          </w:p>
        </w:tc>
        <w:tc>
          <w:tcPr>
            <w:tcW w:w="649"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317</w:t>
            </w:r>
          </w:p>
        </w:tc>
        <w:tc>
          <w:tcPr>
            <w:tcW w:w="680"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591</w:t>
            </w:r>
          </w:p>
        </w:tc>
        <w:tc>
          <w:tcPr>
            <w:tcW w:w="654" w:type="dxa"/>
            <w:tcBorders>
              <w:top w:val="single" w:sz="8" w:space="0" w:color="1F497D" w:themeColor="text2"/>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1 319</w:t>
            </w:r>
          </w:p>
        </w:tc>
        <w:tc>
          <w:tcPr>
            <w:tcW w:w="709"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1 305</w:t>
            </w:r>
          </w:p>
        </w:tc>
      </w:tr>
      <w:tr w:rsidR="00734B00" w:rsidRPr="00734B00" w:rsidTr="00734B00">
        <w:trPr>
          <w:trHeight w:val="284"/>
        </w:trPr>
        <w:tc>
          <w:tcPr>
            <w:tcW w:w="3686" w:type="dxa"/>
            <w:tcBorders>
              <w:top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attribuable à des participations minoritaires</w:t>
            </w:r>
          </w:p>
        </w:tc>
        <w:tc>
          <w:tcPr>
            <w:tcW w:w="687" w:type="dxa"/>
            <w:tcBorders>
              <w:top w:val="single" w:sz="8" w:space="0" w:color="1F497D" w:themeColor="text2"/>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w:t>
            </w:r>
          </w:p>
        </w:tc>
        <w:tc>
          <w:tcPr>
            <w:tcW w:w="723"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w:t>
            </w:r>
          </w:p>
        </w:tc>
        <w:tc>
          <w:tcPr>
            <w:tcW w:w="614"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w:t>
            </w:r>
          </w:p>
        </w:tc>
        <w:tc>
          <w:tcPr>
            <w:tcW w:w="662" w:type="dxa"/>
            <w:tcBorders>
              <w:top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w:t>
            </w:r>
          </w:p>
        </w:tc>
        <w:tc>
          <w:tcPr>
            <w:tcW w:w="662"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49" w:type="dxa"/>
            <w:tcBorders>
              <w:top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80" w:type="dxa"/>
            <w:tcBorders>
              <w:top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54" w:type="dxa"/>
            <w:tcBorders>
              <w:top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top w:val="single" w:sz="8" w:space="0" w:color="1F497D" w:themeColor="text2"/>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w:t>
            </w:r>
          </w:p>
        </w:tc>
        <w:tc>
          <w:tcPr>
            <w:tcW w:w="709" w:type="dxa"/>
            <w:tcBorders>
              <w:top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r>
      <w:tr w:rsidR="00734B00" w:rsidRPr="00734B00" w:rsidTr="00734B00">
        <w:trPr>
          <w:trHeight w:val="284"/>
        </w:trPr>
        <w:tc>
          <w:tcPr>
            <w:tcW w:w="3686" w:type="dxa"/>
            <w:tcBorders>
              <w:bottom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ind w:left="176" w:hanging="176"/>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 xml:space="preserve">   attribuable aux actionnaires de la société mère</w:t>
            </w:r>
          </w:p>
        </w:tc>
        <w:tc>
          <w:tcPr>
            <w:tcW w:w="687"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
                <w:bCs/>
                <w:sz w:val="14"/>
                <w:szCs w:val="14"/>
                <w:lang w:val="fr-FR"/>
              </w:rPr>
            </w:pPr>
            <w:r w:rsidRPr="00734B00">
              <w:rPr>
                <w:rFonts w:ascii="Arial" w:eastAsia="Times New Roman" w:hAnsi="Arial" w:cs="Arial"/>
                <w:b/>
                <w:bCs/>
                <w:sz w:val="14"/>
                <w:szCs w:val="14"/>
                <w:lang w:val="fr-FR"/>
              </w:rPr>
              <w:t>520</w:t>
            </w:r>
          </w:p>
        </w:tc>
        <w:tc>
          <w:tcPr>
            <w:tcW w:w="723"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
                <w:bCs/>
                <w:sz w:val="14"/>
                <w:szCs w:val="14"/>
                <w:lang w:val="fr-FR"/>
              </w:rPr>
            </w:pPr>
            <w:r w:rsidRPr="00734B00">
              <w:rPr>
                <w:rFonts w:ascii="Arial" w:eastAsia="Times New Roman" w:hAnsi="Arial" w:cs="Arial"/>
                <w:b/>
                <w:bCs/>
                <w:sz w:val="14"/>
                <w:szCs w:val="14"/>
                <w:lang w:val="fr-FR"/>
              </w:rPr>
              <w:t>517</w:t>
            </w:r>
          </w:p>
        </w:tc>
        <w:tc>
          <w:tcPr>
            <w:tcW w:w="614"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
                <w:bCs/>
                <w:sz w:val="14"/>
                <w:szCs w:val="14"/>
                <w:lang w:val="fr-FR"/>
              </w:rPr>
            </w:pPr>
            <w:r w:rsidRPr="00734B00">
              <w:rPr>
                <w:rFonts w:ascii="Arial" w:eastAsia="Times New Roman" w:hAnsi="Arial" w:cs="Arial"/>
                <w:b/>
                <w:bCs/>
                <w:sz w:val="14"/>
                <w:szCs w:val="14"/>
                <w:lang w:val="fr-FR"/>
              </w:rPr>
              <w:t>272</w:t>
            </w:r>
          </w:p>
        </w:tc>
        <w:tc>
          <w:tcPr>
            <w:tcW w:w="662" w:type="dxa"/>
            <w:tcBorders>
              <w:bottom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b/>
                <w:bCs/>
                <w:sz w:val="14"/>
                <w:szCs w:val="14"/>
                <w:lang w:val="fr-FR"/>
              </w:rPr>
            </w:pPr>
            <w:r w:rsidRPr="00734B00">
              <w:rPr>
                <w:rFonts w:ascii="Arial" w:eastAsia="Times New Roman" w:hAnsi="Arial" w:cs="Arial"/>
                <w:b/>
                <w:bCs/>
                <w:sz w:val="14"/>
                <w:szCs w:val="14"/>
                <w:lang w:val="fr-FR"/>
              </w:rPr>
              <w:t>-294</w:t>
            </w:r>
          </w:p>
        </w:tc>
        <w:tc>
          <w:tcPr>
            <w:tcW w:w="662"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397</w:t>
            </w:r>
          </w:p>
        </w:tc>
        <w:tc>
          <w:tcPr>
            <w:tcW w:w="649" w:type="dxa"/>
            <w:tcBorders>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317</w:t>
            </w:r>
          </w:p>
        </w:tc>
        <w:tc>
          <w:tcPr>
            <w:tcW w:w="680"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591</w:t>
            </w:r>
          </w:p>
        </w:tc>
        <w:tc>
          <w:tcPr>
            <w:tcW w:w="654" w:type="dxa"/>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w:t>
            </w:r>
          </w:p>
        </w:tc>
        <w:tc>
          <w:tcPr>
            <w:tcW w:w="622"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1 309</w:t>
            </w:r>
          </w:p>
        </w:tc>
        <w:tc>
          <w:tcPr>
            <w:tcW w:w="709"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1 305</w:t>
            </w:r>
          </w:p>
        </w:tc>
      </w:tr>
      <w:tr w:rsidR="00734B00" w:rsidRPr="00734B00" w:rsidTr="00734B00">
        <w:trPr>
          <w:trHeight w:val="57"/>
        </w:trPr>
        <w:tc>
          <w:tcPr>
            <w:tcW w:w="3686" w:type="dxa"/>
            <w:tcBorders>
              <w:top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vertAlign w:val="superscript"/>
                <w:lang w:val="fr-FR"/>
              </w:rPr>
            </w:pPr>
            <w:r w:rsidRPr="00734B00">
              <w:rPr>
                <w:rFonts w:ascii="Arial" w:eastAsia="Times New Roman" w:hAnsi="Arial"/>
                <w:bCs/>
                <w:snapToGrid w:val="0"/>
                <w:sz w:val="14"/>
                <w:szCs w:val="14"/>
                <w:lang w:val="fr-FR"/>
              </w:rPr>
              <w:t>Bénéfice par action (EUR), ordinaire</w:t>
            </w:r>
          </w:p>
        </w:tc>
        <w:tc>
          <w:tcPr>
            <w:tcW w:w="687" w:type="dxa"/>
            <w:tcBorders>
              <w:top w:val="single" w:sz="8" w:space="0" w:color="1F497D" w:themeColor="text2"/>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1.25</w:t>
            </w:r>
          </w:p>
        </w:tc>
        <w:tc>
          <w:tcPr>
            <w:tcW w:w="723"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1.24</w:t>
            </w:r>
          </w:p>
        </w:tc>
        <w:tc>
          <w:tcPr>
            <w:tcW w:w="614"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-0.75</w:t>
            </w:r>
          </w:p>
        </w:tc>
        <w:tc>
          <w:tcPr>
            <w:tcW w:w="662" w:type="dxa"/>
            <w:tcBorders>
              <w:top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-0.71</w:t>
            </w:r>
          </w:p>
        </w:tc>
        <w:tc>
          <w:tcPr>
            <w:tcW w:w="662"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0.45</w:t>
            </w:r>
          </w:p>
        </w:tc>
        <w:tc>
          <w:tcPr>
            <w:tcW w:w="649" w:type="dxa"/>
            <w:tcBorders>
              <w:top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0.63</w:t>
            </w:r>
          </w:p>
        </w:tc>
        <w:tc>
          <w:tcPr>
            <w:tcW w:w="680" w:type="dxa"/>
            <w:tcBorders>
              <w:top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1.28</w:t>
            </w:r>
          </w:p>
        </w:tc>
        <w:tc>
          <w:tcPr>
            <w:tcW w:w="654" w:type="dxa"/>
            <w:tcBorders>
              <w:top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top w:val="single" w:sz="8" w:space="0" w:color="1F497D" w:themeColor="text2"/>
              <w:lef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1.74</w:t>
            </w:r>
          </w:p>
        </w:tc>
        <w:tc>
          <w:tcPr>
            <w:tcW w:w="709" w:type="dxa"/>
            <w:tcBorders>
              <w:top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2.35</w:t>
            </w:r>
          </w:p>
        </w:tc>
      </w:tr>
      <w:tr w:rsidR="00734B00" w:rsidRPr="00734B00" w:rsidTr="00734B00">
        <w:trPr>
          <w:trHeight w:val="57"/>
        </w:trPr>
        <w:tc>
          <w:tcPr>
            <w:tcW w:w="3686" w:type="dxa"/>
            <w:tcBorders>
              <w:bottom w:val="single" w:sz="8" w:space="0" w:color="1F497D" w:themeColor="text2"/>
              <w:right w:val="single" w:sz="8" w:space="0" w:color="1F497D" w:themeColor="text2"/>
            </w:tcBorders>
            <w:vAlign w:val="center"/>
          </w:tcPr>
          <w:p w:rsidR="00734B00" w:rsidRPr="00734B00" w:rsidRDefault="00734B00" w:rsidP="00734B00">
            <w:pPr>
              <w:spacing w:before="120" w:after="0" w:line="240" w:lineRule="auto"/>
              <w:rPr>
                <w:rFonts w:ascii="Arial" w:eastAsia="Times New Roman" w:hAnsi="Arial"/>
                <w:bCs/>
                <w:snapToGrid w:val="0"/>
                <w:sz w:val="14"/>
                <w:szCs w:val="14"/>
                <w:vertAlign w:val="superscript"/>
                <w:lang w:val="fr-FR"/>
              </w:rPr>
            </w:pPr>
            <w:r w:rsidRPr="00734B00">
              <w:rPr>
                <w:rFonts w:ascii="Arial" w:eastAsia="Times New Roman" w:hAnsi="Arial"/>
                <w:bCs/>
                <w:snapToGrid w:val="0"/>
                <w:sz w:val="14"/>
                <w:szCs w:val="14"/>
                <w:lang w:val="fr-FR"/>
              </w:rPr>
              <w:t>Bénéfice par action (EUR), dilué</w:t>
            </w:r>
          </w:p>
        </w:tc>
        <w:tc>
          <w:tcPr>
            <w:tcW w:w="687"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1.25</w:t>
            </w:r>
          </w:p>
        </w:tc>
        <w:tc>
          <w:tcPr>
            <w:tcW w:w="723"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1.24</w:t>
            </w:r>
          </w:p>
        </w:tc>
        <w:tc>
          <w:tcPr>
            <w:tcW w:w="614"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-0.75</w:t>
            </w:r>
          </w:p>
        </w:tc>
        <w:tc>
          <w:tcPr>
            <w:tcW w:w="662" w:type="dxa"/>
            <w:tcBorders>
              <w:bottom w:val="single" w:sz="8" w:space="0" w:color="1F497D" w:themeColor="text2"/>
            </w:tcBorders>
            <w:shd w:val="clear" w:color="auto" w:fill="FFFFFF" w:themeFill="background1"/>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-0.71</w:t>
            </w:r>
          </w:p>
        </w:tc>
        <w:tc>
          <w:tcPr>
            <w:tcW w:w="662"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0.45</w:t>
            </w:r>
          </w:p>
        </w:tc>
        <w:tc>
          <w:tcPr>
            <w:tcW w:w="649" w:type="dxa"/>
            <w:tcBorders>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0.63</w:t>
            </w:r>
          </w:p>
        </w:tc>
        <w:tc>
          <w:tcPr>
            <w:tcW w:w="680"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1.28</w:t>
            </w:r>
          </w:p>
        </w:tc>
        <w:tc>
          <w:tcPr>
            <w:tcW w:w="654" w:type="dxa"/>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22"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1.74</w:t>
            </w:r>
          </w:p>
        </w:tc>
        <w:tc>
          <w:tcPr>
            <w:tcW w:w="709" w:type="dxa"/>
            <w:tcBorders>
              <w:bottom w:val="single" w:sz="8" w:space="0" w:color="1F497D" w:themeColor="text2"/>
            </w:tcBorders>
            <w:shd w:val="clear" w:color="auto" w:fill="DBE5F1" w:themeFill="accent1" w:themeFillTint="33"/>
            <w:vAlign w:val="center"/>
          </w:tcPr>
          <w:p w:rsidR="00734B00" w:rsidRPr="00734B00" w:rsidRDefault="00734B00" w:rsidP="00734B00">
            <w:pPr>
              <w:spacing w:before="100" w:beforeAutospacing="1"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2.35</w:t>
            </w:r>
          </w:p>
        </w:tc>
      </w:tr>
    </w:tbl>
    <w:p w:rsidR="00734B00" w:rsidRPr="00734B00" w:rsidRDefault="00734B00" w:rsidP="00734B00">
      <w:pPr>
        <w:autoSpaceDE w:val="0"/>
        <w:autoSpaceDN w:val="0"/>
        <w:adjustRightInd w:val="0"/>
        <w:spacing w:after="120" w:line="240" w:lineRule="auto"/>
        <w:ind w:left="992" w:right="6"/>
        <w:jc w:val="both"/>
        <w:rPr>
          <w:rFonts w:cs="Arial"/>
          <w:bCs/>
          <w:color w:val="003768"/>
          <w:sz w:val="16"/>
          <w:szCs w:val="16"/>
          <w:lang w:val="fr-FR"/>
        </w:rPr>
      </w:pPr>
      <w:r w:rsidRPr="00734B00">
        <w:rPr>
          <w:rFonts w:cs="Arial"/>
          <w:bCs/>
          <w:color w:val="003768"/>
          <w:sz w:val="16"/>
          <w:szCs w:val="16"/>
          <w:lang w:val="fr-FR"/>
        </w:rPr>
        <w:t>Les chiffres de référence 2013 ont été légèrement ajustés par suite de l'application de la nouvelle norme IFRS 11. Cette norme stipule que les joint-ventures doivent être comptabilisées selon la méthode de mise en équivalence au lieu de la méthode de consolidation proportionnelle. Pour KBC, cela s'applique à ČMSS, une joint-venture de ČSOB en République tchèque. Ce changement n'a aucune incidence sur le résultat net, mais influence divers éléments du compte de résultat consolidé.</w:t>
      </w:r>
    </w:p>
    <w:p w:rsidR="00734B00" w:rsidRDefault="00734B00">
      <w:pPr>
        <w:spacing w:after="0" w:line="240" w:lineRule="auto"/>
        <w:rPr>
          <w:rFonts w:cs="Arial"/>
          <w:bCs/>
          <w:color w:val="003768"/>
          <w:lang w:val="fr-FR"/>
        </w:rPr>
      </w:pPr>
      <w:r>
        <w:rPr>
          <w:rFonts w:cs="Arial"/>
          <w:bCs/>
          <w:color w:val="003768"/>
          <w:lang w:val="fr-FR"/>
        </w:rPr>
        <w:br w:type="page"/>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r>
        <w:rPr>
          <w:rFonts w:cs="Arial"/>
          <w:bCs/>
          <w:noProof/>
          <w:color w:val="003768"/>
          <w:lang w:val="nl-BE" w:eastAsia="nl-BE"/>
        </w:rPr>
        <w:lastRenderedPageBreak/>
        <w:drawing>
          <wp:inline distT="0" distB="0" distL="0" distR="0" wp14:anchorId="09AB9C0F">
            <wp:extent cx="6456045" cy="414655"/>
            <wp:effectExtent l="0" t="0" r="1905"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6045" cy="414655"/>
                    </a:xfrm>
                    <a:prstGeom prst="rect">
                      <a:avLst/>
                    </a:prstGeom>
                    <a:noFill/>
                  </pic:spPr>
                </pic:pic>
              </a:graphicData>
            </a:graphic>
          </wp:inline>
        </w:drawing>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r w:rsidRPr="00734B00">
        <w:rPr>
          <w:rFonts w:cs="Arial"/>
          <w:bCs/>
          <w:color w:val="003768"/>
          <w:lang w:val="fr-FR"/>
        </w:rPr>
        <w:t xml:space="preserve">Pour une appréciation plus complète du cours des activités, KBC fournit également d'autres chiffres que ceux établis selon les normes IFRS (section précédente). Dans l'aperçu ci-après, l'incidence des activités </w:t>
      </w:r>
      <w:proofErr w:type="spellStart"/>
      <w:r w:rsidRPr="00734B00">
        <w:rPr>
          <w:rFonts w:cs="Arial"/>
          <w:bCs/>
          <w:color w:val="003768"/>
          <w:lang w:val="fr-FR"/>
        </w:rPr>
        <w:t>legacy</w:t>
      </w:r>
      <w:proofErr w:type="spellEnd"/>
      <w:r w:rsidRPr="00734B00">
        <w:rPr>
          <w:rFonts w:cs="Arial"/>
          <w:bCs/>
          <w:color w:val="003768"/>
          <w:lang w:val="fr-FR"/>
        </w:rPr>
        <w:t xml:space="preserve"> (désinvestissements restants, CDO) et de la valorisation du risque de crédit propre est exclue du compte de résultat et résumée en trois lignes au bas de la présentation (dans le </w:t>
      </w:r>
      <w:proofErr w:type="spellStart"/>
      <w:r w:rsidRPr="00734B00">
        <w:rPr>
          <w:rFonts w:cs="Arial"/>
          <w:bCs/>
          <w:color w:val="003768"/>
          <w:lang w:val="fr-FR"/>
        </w:rPr>
        <w:t>reporting</w:t>
      </w:r>
      <w:proofErr w:type="spellEnd"/>
      <w:r w:rsidRPr="00734B00">
        <w:rPr>
          <w:rFonts w:cs="Arial"/>
          <w:bCs/>
          <w:color w:val="003768"/>
          <w:lang w:val="fr-FR"/>
        </w:rPr>
        <w:t xml:space="preserve"> par division, ces éléments sont incorporés dans le Centre de groupe). Par ailleurs, un traitement comptable différent pour les revenus du marché des capitaux a été appliqué à la division Belgique (tous les résultats des opérations de négoce étant transférés au "Résultat net des instruments financiers à la juste valeur"). Les différences entre les chiffres selon IFRS et les chiffres ajustés sont détaillées sous ’Notes to the segment </w:t>
      </w:r>
      <w:proofErr w:type="spellStart"/>
      <w:r w:rsidRPr="00734B00">
        <w:rPr>
          <w:rFonts w:cs="Arial"/>
          <w:bCs/>
          <w:color w:val="003768"/>
          <w:lang w:val="fr-FR"/>
        </w:rPr>
        <w:t>reporting</w:t>
      </w:r>
      <w:proofErr w:type="spellEnd"/>
      <w:r w:rsidRPr="00734B00">
        <w:rPr>
          <w:rFonts w:cs="Arial"/>
          <w:bCs/>
          <w:color w:val="003768"/>
          <w:lang w:val="fr-FR"/>
        </w:rPr>
        <w:t>’ à la section ‘</w:t>
      </w:r>
      <w:proofErr w:type="spellStart"/>
      <w:r w:rsidRPr="00734B00">
        <w:rPr>
          <w:rFonts w:cs="Arial"/>
          <w:bCs/>
          <w:color w:val="003768"/>
          <w:lang w:val="fr-FR"/>
        </w:rPr>
        <w:t>Consolidated</w:t>
      </w:r>
      <w:proofErr w:type="spellEnd"/>
      <w:r w:rsidRPr="00734B00">
        <w:rPr>
          <w:rFonts w:cs="Arial"/>
          <w:bCs/>
          <w:color w:val="003768"/>
          <w:lang w:val="fr-FR"/>
        </w:rPr>
        <w:t xml:space="preserve"> </w:t>
      </w:r>
      <w:proofErr w:type="spellStart"/>
      <w:r w:rsidRPr="00734B00">
        <w:rPr>
          <w:rFonts w:cs="Arial"/>
          <w:bCs/>
          <w:color w:val="003768"/>
          <w:lang w:val="fr-FR"/>
        </w:rPr>
        <w:t>financial</w:t>
      </w:r>
      <w:proofErr w:type="spellEnd"/>
      <w:r w:rsidRPr="00734B00">
        <w:rPr>
          <w:rFonts w:cs="Arial"/>
          <w:bCs/>
          <w:color w:val="003768"/>
          <w:lang w:val="fr-FR"/>
        </w:rPr>
        <w:t xml:space="preserve"> </w:t>
      </w:r>
      <w:proofErr w:type="spellStart"/>
      <w:r w:rsidRPr="00734B00">
        <w:rPr>
          <w:rFonts w:cs="Arial"/>
          <w:bCs/>
          <w:color w:val="003768"/>
          <w:lang w:val="fr-FR"/>
        </w:rPr>
        <w:t>statements</w:t>
      </w:r>
      <w:proofErr w:type="spellEnd"/>
      <w:r w:rsidRPr="00734B00">
        <w:rPr>
          <w:rFonts w:cs="Arial"/>
          <w:bCs/>
          <w:color w:val="003768"/>
          <w:lang w:val="fr-FR"/>
        </w:rPr>
        <w:t>’ du rapport trimestriel.</w:t>
      </w:r>
    </w:p>
    <w:tbl>
      <w:tblPr>
        <w:tblW w:w="10468" w:type="dxa"/>
        <w:tblInd w:w="1058" w:type="dxa"/>
        <w:tblLook w:val="01E0" w:firstRow="1" w:lastRow="1" w:firstColumn="1" w:lastColumn="1" w:noHBand="0" w:noVBand="0"/>
      </w:tblPr>
      <w:tblGrid>
        <w:gridCol w:w="3594"/>
        <w:gridCol w:w="738"/>
        <w:gridCol w:w="740"/>
        <w:gridCol w:w="738"/>
        <w:gridCol w:w="627"/>
        <w:gridCol w:w="704"/>
        <w:gridCol w:w="679"/>
        <w:gridCol w:w="738"/>
        <w:gridCol w:w="15"/>
        <w:gridCol w:w="558"/>
        <w:gridCol w:w="29"/>
        <w:gridCol w:w="636"/>
        <w:gridCol w:w="672"/>
      </w:tblGrid>
      <w:tr w:rsidR="00734B00" w:rsidRPr="00734B00" w:rsidTr="00734B00">
        <w:tc>
          <w:tcPr>
            <w:tcW w:w="3594" w:type="dxa"/>
            <w:tcBorders>
              <w:bottom w:val="single" w:sz="24" w:space="0" w:color="FFFFFF" w:themeColor="background1"/>
              <w:right w:val="single" w:sz="8" w:space="0" w:color="FFFFFF" w:themeColor="background1"/>
            </w:tcBorders>
            <w:shd w:val="clear" w:color="auto" w:fill="365F91" w:themeFill="accent1" w:themeFillShade="BF"/>
            <w:vAlign w:val="center"/>
          </w:tcPr>
          <w:p w:rsidR="00734B00" w:rsidRPr="00734B00" w:rsidRDefault="00734B00" w:rsidP="00734B00">
            <w:pPr>
              <w:spacing w:after="0" w:line="240" w:lineRule="auto"/>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Compte de résultat consolidé, KBC Groupe (en millions d'EUR)</w:t>
            </w:r>
          </w:p>
        </w:tc>
        <w:tc>
          <w:tcPr>
            <w:tcW w:w="738" w:type="dxa"/>
            <w:tcBorders>
              <w:left w:val="single" w:sz="8" w:space="0" w:color="FFFFFF" w:themeColor="background1"/>
              <w:bottom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1Tr</w:t>
            </w:r>
            <w:r w:rsidR="00565993">
              <w:rPr>
                <w:rFonts w:ascii="Arial" w:eastAsia="Times New Roman" w:hAnsi="Arial"/>
                <w:bCs/>
                <w:snapToGrid w:val="0"/>
                <w:color w:val="FFFFFF" w:themeColor="background1"/>
                <w:sz w:val="14"/>
                <w:szCs w:val="14"/>
                <w:lang w:val="fr-FR"/>
              </w:rPr>
              <w:t xml:space="preserve"> </w:t>
            </w:r>
            <w:r w:rsidRPr="00734B00">
              <w:rPr>
                <w:rFonts w:ascii="Arial" w:eastAsia="Times New Roman" w:hAnsi="Arial"/>
                <w:bCs/>
                <w:snapToGrid w:val="0"/>
                <w:color w:val="FFFFFF" w:themeColor="background1"/>
                <w:sz w:val="14"/>
                <w:szCs w:val="14"/>
                <w:lang w:val="fr-FR"/>
              </w:rPr>
              <w:t>2013</w:t>
            </w:r>
          </w:p>
        </w:tc>
        <w:tc>
          <w:tcPr>
            <w:tcW w:w="740" w:type="dxa"/>
            <w:tcBorders>
              <w:bottom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2Tr</w:t>
            </w:r>
            <w:r w:rsidRPr="00734B00">
              <w:rPr>
                <w:rFonts w:ascii="Arial" w:eastAsia="Times New Roman" w:hAnsi="Arial"/>
                <w:bCs/>
                <w:snapToGrid w:val="0"/>
                <w:color w:val="FFFFFF" w:themeColor="background1"/>
                <w:sz w:val="14"/>
                <w:szCs w:val="14"/>
                <w:lang w:val="fr-FR"/>
              </w:rPr>
              <w:br/>
              <w:t>2013</w:t>
            </w:r>
          </w:p>
        </w:tc>
        <w:tc>
          <w:tcPr>
            <w:tcW w:w="738" w:type="dxa"/>
            <w:tcBorders>
              <w:bottom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3Tr</w:t>
            </w:r>
            <w:r w:rsidR="00565993">
              <w:rPr>
                <w:rFonts w:ascii="Arial" w:eastAsia="Times New Roman" w:hAnsi="Arial"/>
                <w:bCs/>
                <w:snapToGrid w:val="0"/>
                <w:color w:val="FFFFFF" w:themeColor="background1"/>
                <w:sz w:val="14"/>
                <w:szCs w:val="14"/>
                <w:lang w:val="fr-FR"/>
              </w:rPr>
              <w:t xml:space="preserve"> </w:t>
            </w:r>
            <w:r w:rsidRPr="00734B00">
              <w:rPr>
                <w:rFonts w:ascii="Arial" w:eastAsia="Times New Roman" w:hAnsi="Arial"/>
                <w:bCs/>
                <w:snapToGrid w:val="0"/>
                <w:color w:val="FFFFFF" w:themeColor="background1"/>
                <w:sz w:val="14"/>
                <w:szCs w:val="14"/>
                <w:lang w:val="fr-FR"/>
              </w:rPr>
              <w:t>2013</w:t>
            </w:r>
          </w:p>
        </w:tc>
        <w:tc>
          <w:tcPr>
            <w:tcW w:w="627" w:type="dxa"/>
            <w:tcBorders>
              <w:bottom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4Tr</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2013</w:t>
            </w:r>
          </w:p>
        </w:tc>
        <w:tc>
          <w:tcPr>
            <w:tcW w:w="704" w:type="dxa"/>
            <w:tcBorders>
              <w:bottom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1Tr 2014</w:t>
            </w:r>
          </w:p>
        </w:tc>
        <w:tc>
          <w:tcPr>
            <w:tcW w:w="679" w:type="dxa"/>
            <w:tcBorders>
              <w:bottom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 xml:space="preserve">2Tr </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2014</w:t>
            </w:r>
          </w:p>
        </w:tc>
        <w:tc>
          <w:tcPr>
            <w:tcW w:w="738" w:type="dxa"/>
            <w:tcBorders>
              <w:bottom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3Tr</w:t>
            </w:r>
            <w:r w:rsidR="00565993">
              <w:rPr>
                <w:rFonts w:ascii="Arial" w:eastAsia="Times New Roman" w:hAnsi="Arial"/>
                <w:bCs/>
                <w:snapToGrid w:val="0"/>
                <w:color w:val="FFFFFF" w:themeColor="background1"/>
                <w:sz w:val="14"/>
                <w:szCs w:val="14"/>
                <w:lang w:val="fr-FR"/>
              </w:rPr>
              <w:t xml:space="preserve"> </w:t>
            </w:r>
            <w:r w:rsidRPr="00734B00">
              <w:rPr>
                <w:rFonts w:ascii="Arial" w:eastAsia="Times New Roman" w:hAnsi="Arial"/>
                <w:bCs/>
                <w:snapToGrid w:val="0"/>
                <w:color w:val="FFFFFF" w:themeColor="background1"/>
                <w:sz w:val="14"/>
                <w:szCs w:val="14"/>
                <w:lang w:val="fr-FR"/>
              </w:rPr>
              <w:t>2014</w:t>
            </w:r>
          </w:p>
        </w:tc>
        <w:tc>
          <w:tcPr>
            <w:tcW w:w="602" w:type="dxa"/>
            <w:gridSpan w:val="3"/>
            <w:tcBorders>
              <w:bottom w:val="single" w:sz="24" w:space="0" w:color="FFFFFF" w:themeColor="background1"/>
              <w:right w:val="single" w:sz="8" w:space="0" w:color="1F497D" w:themeColor="text2"/>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4Tr</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2014</w:t>
            </w:r>
          </w:p>
        </w:tc>
        <w:tc>
          <w:tcPr>
            <w:tcW w:w="636" w:type="dxa"/>
            <w:tcBorders>
              <w:left w:val="single" w:sz="8" w:space="0" w:color="1F497D" w:themeColor="text2"/>
              <w:bottom w:val="single" w:sz="24" w:space="0" w:color="FFFFFF" w:themeColor="background1"/>
            </w:tcBorders>
            <w:shd w:val="clear" w:color="auto" w:fill="365F91" w:themeFill="accent1" w:themeFillShade="BF"/>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9M</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2013</w:t>
            </w:r>
          </w:p>
        </w:tc>
        <w:tc>
          <w:tcPr>
            <w:tcW w:w="672" w:type="dxa"/>
            <w:tcBorders>
              <w:bottom w:val="single" w:sz="24" w:space="0" w:color="FFFFFF" w:themeColor="background1"/>
            </w:tcBorders>
            <w:shd w:val="clear" w:color="auto" w:fill="365F91" w:themeFill="accent1" w:themeFillShade="BF"/>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9M</w:t>
            </w:r>
          </w:p>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2014</w:t>
            </w:r>
          </w:p>
        </w:tc>
      </w:tr>
      <w:tr w:rsidR="00734B00" w:rsidRPr="00734B00" w:rsidTr="00734B00">
        <w:trPr>
          <w:trHeight w:val="284"/>
        </w:trPr>
        <w:tc>
          <w:tcPr>
            <w:tcW w:w="3594" w:type="dxa"/>
            <w:tcBorders>
              <w:top w:val="single" w:sz="24" w:space="0" w:color="FFFFFF" w:themeColor="background1"/>
              <w:right w:val="single" w:sz="8" w:space="0" w:color="FFFFFF" w:themeColor="background1"/>
            </w:tcBorders>
            <w:shd w:val="clear" w:color="auto" w:fill="365F91" w:themeFill="accent1" w:themeFillShade="BF"/>
            <w:vAlign w:val="center"/>
          </w:tcPr>
          <w:p w:rsidR="00734B00" w:rsidRPr="00734B00" w:rsidRDefault="00734B00" w:rsidP="00734B00">
            <w:pPr>
              <w:spacing w:after="0" w:line="240" w:lineRule="auto"/>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Résultat net ajusté</w:t>
            </w:r>
            <w:r w:rsidRPr="00734B00">
              <w:rPr>
                <w:rFonts w:ascii="Arial" w:eastAsia="Times New Roman" w:hAnsi="Arial"/>
                <w:bCs/>
                <w:snapToGrid w:val="0"/>
                <w:color w:val="FFFFFF" w:themeColor="background1"/>
                <w:sz w:val="14"/>
                <w:szCs w:val="14"/>
                <w:lang w:val="fr-FR"/>
              </w:rPr>
              <w:br/>
              <w:t xml:space="preserve"> (hors activités </w:t>
            </w:r>
            <w:proofErr w:type="spellStart"/>
            <w:r w:rsidRPr="00734B00">
              <w:rPr>
                <w:rFonts w:ascii="Arial" w:eastAsia="Times New Roman" w:hAnsi="Arial"/>
                <w:bCs/>
                <w:snapToGrid w:val="0"/>
                <w:color w:val="FFFFFF" w:themeColor="background1"/>
                <w:sz w:val="14"/>
                <w:szCs w:val="14"/>
                <w:lang w:val="fr-FR"/>
              </w:rPr>
              <w:t>legacy</w:t>
            </w:r>
            <w:proofErr w:type="spellEnd"/>
            <w:r w:rsidRPr="00734B00">
              <w:rPr>
                <w:rFonts w:ascii="Arial" w:eastAsia="Times New Roman" w:hAnsi="Arial"/>
                <w:bCs/>
                <w:snapToGrid w:val="0"/>
                <w:color w:val="FFFFFF" w:themeColor="background1"/>
                <w:sz w:val="14"/>
                <w:szCs w:val="14"/>
                <w:lang w:val="fr-FR"/>
              </w:rPr>
              <w:t xml:space="preserve"> et risque de crédit propre) </w:t>
            </w:r>
          </w:p>
        </w:tc>
        <w:tc>
          <w:tcPr>
            <w:tcW w:w="738" w:type="dxa"/>
            <w:tcBorders>
              <w:top w:val="single" w:sz="24" w:space="0" w:color="FFFFFF" w:themeColor="background1"/>
              <w:left w:val="single" w:sz="8"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740" w:type="dxa"/>
            <w:tcBorders>
              <w:top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738" w:type="dxa"/>
            <w:tcBorders>
              <w:top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27" w:type="dxa"/>
            <w:tcBorders>
              <w:top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704" w:type="dxa"/>
            <w:tcBorders>
              <w:top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79" w:type="dxa"/>
            <w:tcBorders>
              <w:top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738" w:type="dxa"/>
            <w:tcBorders>
              <w:top w:val="single" w:sz="24"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02" w:type="dxa"/>
            <w:gridSpan w:val="3"/>
            <w:tcBorders>
              <w:top w:val="single" w:sz="24" w:space="0" w:color="FFFFFF" w:themeColor="background1"/>
              <w:right w:val="single" w:sz="8" w:space="0" w:color="1F497D" w:themeColor="text2"/>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36" w:type="dxa"/>
            <w:tcBorders>
              <w:top w:val="single" w:sz="24" w:space="0" w:color="FFFFFF" w:themeColor="background1"/>
              <w:left w:val="single" w:sz="8" w:space="0" w:color="1F497D" w:themeColor="text2"/>
            </w:tcBorders>
            <w:shd w:val="clear" w:color="auto" w:fill="365F91" w:themeFill="accent1" w:themeFillShade="BF"/>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72" w:type="dxa"/>
            <w:tcBorders>
              <w:top w:val="single" w:sz="24" w:space="0" w:color="FFFFFF" w:themeColor="background1"/>
            </w:tcBorders>
            <w:shd w:val="clear" w:color="auto" w:fill="365F91" w:themeFill="accent1" w:themeFillShade="BF"/>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Revenus nets d’intérêts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1 018</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976</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999</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996</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1 002</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1 047</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1 109</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2 993</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3 158</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cs="Arial"/>
                <w:sz w:val="14"/>
                <w:szCs w:val="14"/>
                <w:lang w:val="fr-FR"/>
              </w:rPr>
            </w:pPr>
            <w:r w:rsidRPr="00734B00">
              <w:rPr>
                <w:rFonts w:ascii="Arial" w:eastAsia="Times New Roman" w:hAnsi="Arial" w:cs="Arial"/>
                <w:sz w:val="14"/>
                <w:szCs w:val="14"/>
                <w:lang w:val="fr-FR"/>
              </w:rPr>
              <w:t>Assurance non-vie (avant réassurance)</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149</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115</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145</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127</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149</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102</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139</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409</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389</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ind w:firstLineChars="400" w:firstLine="560"/>
              <w:rPr>
                <w:rFonts w:ascii="Arial" w:eastAsia="Times New Roman" w:hAnsi="Arial" w:cs="Arial"/>
                <w:i/>
                <w:iCs/>
                <w:color w:val="404040" w:themeColor="text1" w:themeTint="BF"/>
                <w:sz w:val="14"/>
                <w:szCs w:val="14"/>
                <w:lang w:val="fr-FR"/>
              </w:rPr>
            </w:pPr>
            <w:r w:rsidRPr="00734B00">
              <w:rPr>
                <w:rFonts w:ascii="Arial" w:eastAsia="Times New Roman" w:hAnsi="Arial" w:cs="Arial"/>
                <w:i/>
                <w:iCs/>
                <w:sz w:val="14"/>
                <w:szCs w:val="14"/>
                <w:lang w:val="fr-FR"/>
              </w:rPr>
              <w:t>Primes acquises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305</w:t>
            </w:r>
          </w:p>
        </w:tc>
        <w:tc>
          <w:tcPr>
            <w:tcW w:w="740"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316</w:t>
            </w:r>
          </w:p>
        </w:tc>
        <w:tc>
          <w:tcPr>
            <w:tcW w:w="738"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321</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317</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307</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315</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321</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942</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944</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ind w:firstLineChars="400" w:firstLine="560"/>
              <w:rPr>
                <w:rFonts w:ascii="Arial" w:eastAsia="Times New Roman" w:hAnsi="Arial" w:cs="Arial"/>
                <w:i/>
                <w:iCs/>
                <w:color w:val="404040" w:themeColor="text1" w:themeTint="BF"/>
                <w:sz w:val="14"/>
                <w:szCs w:val="14"/>
                <w:lang w:val="fr-FR"/>
              </w:rPr>
            </w:pPr>
            <w:r w:rsidRPr="00734B00">
              <w:rPr>
                <w:rFonts w:ascii="Arial" w:eastAsia="Times New Roman" w:hAnsi="Arial" w:cs="Arial"/>
                <w:i/>
                <w:iCs/>
                <w:sz w:val="14"/>
                <w:szCs w:val="14"/>
                <w:lang w:val="fr-FR"/>
              </w:rPr>
              <w:t>Charges techniques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-156</w:t>
            </w:r>
          </w:p>
        </w:tc>
        <w:tc>
          <w:tcPr>
            <w:tcW w:w="740"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-201</w:t>
            </w:r>
          </w:p>
        </w:tc>
        <w:tc>
          <w:tcPr>
            <w:tcW w:w="738"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-176</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-190</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-158</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-214</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-183</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-533</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-555</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cs="Arial"/>
                <w:sz w:val="14"/>
                <w:szCs w:val="14"/>
                <w:lang w:val="fr-FR"/>
              </w:rPr>
            </w:pPr>
            <w:r w:rsidRPr="00734B00">
              <w:rPr>
                <w:rFonts w:ascii="Arial" w:eastAsia="Times New Roman" w:hAnsi="Arial" w:cs="Arial"/>
                <w:sz w:val="14"/>
                <w:szCs w:val="14"/>
                <w:lang w:val="fr-FR"/>
              </w:rPr>
              <w:t>Assurance vie (avant réassurance)</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-59</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-62</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-63</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-57</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-59</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-56</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-57</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-185</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-171</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ind w:firstLineChars="400" w:firstLine="560"/>
              <w:rPr>
                <w:rFonts w:ascii="Arial" w:eastAsia="Times New Roman" w:hAnsi="Arial" w:cs="Arial"/>
                <w:i/>
                <w:iCs/>
                <w:color w:val="404040" w:themeColor="text1" w:themeTint="BF"/>
                <w:sz w:val="14"/>
                <w:szCs w:val="14"/>
                <w:lang w:val="fr-FR"/>
              </w:rPr>
            </w:pPr>
            <w:r w:rsidRPr="00734B00">
              <w:rPr>
                <w:rFonts w:ascii="Arial" w:eastAsia="Times New Roman" w:hAnsi="Arial" w:cs="Arial"/>
                <w:i/>
                <w:iCs/>
                <w:sz w:val="14"/>
                <w:szCs w:val="14"/>
                <w:lang w:val="fr-FR"/>
              </w:rPr>
              <w:t>Primes acquises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271</w:t>
            </w:r>
          </w:p>
        </w:tc>
        <w:tc>
          <w:tcPr>
            <w:tcW w:w="740"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241</w:t>
            </w:r>
          </w:p>
        </w:tc>
        <w:tc>
          <w:tcPr>
            <w:tcW w:w="738"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238</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381</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308</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297</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299</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750</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904</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ind w:firstLineChars="400" w:firstLine="560"/>
              <w:rPr>
                <w:rFonts w:ascii="Arial" w:eastAsia="Times New Roman" w:hAnsi="Arial" w:cs="Arial"/>
                <w:i/>
                <w:iCs/>
                <w:color w:val="404040" w:themeColor="text1" w:themeTint="BF"/>
                <w:sz w:val="14"/>
                <w:szCs w:val="14"/>
                <w:lang w:val="fr-FR"/>
              </w:rPr>
            </w:pPr>
            <w:r w:rsidRPr="00734B00">
              <w:rPr>
                <w:rFonts w:ascii="Arial" w:eastAsia="Times New Roman" w:hAnsi="Arial" w:cs="Arial"/>
                <w:i/>
                <w:iCs/>
                <w:sz w:val="14"/>
                <w:szCs w:val="14"/>
                <w:lang w:val="fr-FR"/>
              </w:rPr>
              <w:t>Charges techniques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-331</w:t>
            </w:r>
          </w:p>
        </w:tc>
        <w:tc>
          <w:tcPr>
            <w:tcW w:w="740"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-303</w:t>
            </w:r>
          </w:p>
        </w:tc>
        <w:tc>
          <w:tcPr>
            <w:tcW w:w="738"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-302</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-438</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-367</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-353</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-355</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-936</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-1 075</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de la réassurance cédée</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-12</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13</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Revenus de dividendes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19</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11</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7</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11</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22</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34</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39</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d’instruments financiers à la juste valeur par le biais du compte de résultat</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218</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256</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146</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159</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37</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49</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620</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103</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net réalisé sur des actifs financiers disponibles à la vente</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96</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46</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42</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29</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50</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49</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27</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183</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127</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Revenus nets de commissions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382</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385</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341</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365</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378</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389</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404</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1 108</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1 171</w:t>
            </w:r>
          </w:p>
        </w:tc>
      </w:tr>
      <w:tr w:rsidR="00734B00" w:rsidRPr="00734B00" w:rsidTr="00734B00">
        <w:trPr>
          <w:trHeight w:val="284"/>
        </w:trPr>
        <w:tc>
          <w:tcPr>
            <w:tcW w:w="3594" w:type="dxa"/>
            <w:tcBorders>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Autres revenus nets</w:t>
            </w:r>
          </w:p>
        </w:tc>
        <w:tc>
          <w:tcPr>
            <w:tcW w:w="738"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76</w:t>
            </w:r>
          </w:p>
        </w:tc>
        <w:tc>
          <w:tcPr>
            <w:tcW w:w="740"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68</w:t>
            </w:r>
          </w:p>
        </w:tc>
        <w:tc>
          <w:tcPr>
            <w:tcW w:w="738"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151</w:t>
            </w:r>
          </w:p>
        </w:tc>
        <w:tc>
          <w:tcPr>
            <w:tcW w:w="627"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47</w:t>
            </w:r>
          </w:p>
        </w:tc>
        <w:tc>
          <w:tcPr>
            <w:tcW w:w="704"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52</w:t>
            </w:r>
          </w:p>
        </w:tc>
        <w:tc>
          <w:tcPr>
            <w:tcW w:w="679"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-124</w:t>
            </w:r>
          </w:p>
        </w:tc>
        <w:tc>
          <w:tcPr>
            <w:tcW w:w="738"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64</w:t>
            </w:r>
          </w:p>
        </w:tc>
        <w:tc>
          <w:tcPr>
            <w:tcW w:w="602" w:type="dxa"/>
            <w:gridSpan w:val="3"/>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296</w:t>
            </w:r>
          </w:p>
        </w:tc>
        <w:tc>
          <w:tcPr>
            <w:tcW w:w="672"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-8</w:t>
            </w:r>
          </w:p>
        </w:tc>
      </w:tr>
      <w:tr w:rsidR="00734B00" w:rsidRPr="00734B00" w:rsidTr="00734B00">
        <w:trPr>
          <w:trHeight w:val="284"/>
        </w:trPr>
        <w:tc>
          <w:tcPr>
            <w:tcW w:w="3594" w:type="dxa"/>
            <w:tcBorders>
              <w:top w:val="single" w:sz="8" w:space="0" w:color="1F497D" w:themeColor="text2"/>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Total des produits</w:t>
            </w:r>
          </w:p>
        </w:tc>
        <w:tc>
          <w:tcPr>
            <w:tcW w:w="738" w:type="dxa"/>
            <w:tcBorders>
              <w:top w:val="single" w:sz="8" w:space="0" w:color="1F497D" w:themeColor="text2"/>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1 872</w:t>
            </w:r>
          </w:p>
        </w:tc>
        <w:tc>
          <w:tcPr>
            <w:tcW w:w="740"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1 815</w:t>
            </w:r>
          </w:p>
        </w:tc>
        <w:tc>
          <w:tcPr>
            <w:tcW w:w="738"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1 773</w:t>
            </w:r>
          </w:p>
        </w:tc>
        <w:tc>
          <w:tcPr>
            <w:tcW w:w="627"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1 668</w:t>
            </w:r>
          </w:p>
        </w:tc>
        <w:tc>
          <w:tcPr>
            <w:tcW w:w="704"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1 584</w:t>
            </w:r>
          </w:p>
        </w:tc>
        <w:tc>
          <w:tcPr>
            <w:tcW w:w="679"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1 485</w:t>
            </w:r>
          </w:p>
        </w:tc>
        <w:tc>
          <w:tcPr>
            <w:tcW w:w="738"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1 746</w:t>
            </w:r>
          </w:p>
        </w:tc>
        <w:tc>
          <w:tcPr>
            <w:tcW w:w="602"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5 459</w:t>
            </w:r>
          </w:p>
        </w:tc>
        <w:tc>
          <w:tcPr>
            <w:tcW w:w="672"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4 814</w:t>
            </w:r>
          </w:p>
        </w:tc>
      </w:tr>
      <w:tr w:rsidR="00734B00" w:rsidRPr="00734B00" w:rsidTr="00734B00">
        <w:trPr>
          <w:trHeight w:val="284"/>
        </w:trPr>
        <w:tc>
          <w:tcPr>
            <w:tcW w:w="3594" w:type="dxa"/>
            <w:tcBorders>
              <w:top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Charges d'exploitation</w:t>
            </w:r>
          </w:p>
        </w:tc>
        <w:tc>
          <w:tcPr>
            <w:tcW w:w="738" w:type="dxa"/>
            <w:tcBorders>
              <w:top w:val="single" w:sz="8" w:space="0" w:color="1F497D" w:themeColor="text2"/>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-1 023</w:t>
            </w:r>
          </w:p>
        </w:tc>
        <w:tc>
          <w:tcPr>
            <w:tcW w:w="740"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-914</w:t>
            </w:r>
          </w:p>
        </w:tc>
        <w:tc>
          <w:tcPr>
            <w:tcW w:w="738"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-906</w:t>
            </w:r>
          </w:p>
        </w:tc>
        <w:tc>
          <w:tcPr>
            <w:tcW w:w="627"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-955</w:t>
            </w:r>
          </w:p>
        </w:tc>
        <w:tc>
          <w:tcPr>
            <w:tcW w:w="704"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-965</w:t>
            </w:r>
          </w:p>
        </w:tc>
        <w:tc>
          <w:tcPr>
            <w:tcW w:w="679"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-926</w:t>
            </w:r>
          </w:p>
        </w:tc>
        <w:tc>
          <w:tcPr>
            <w:tcW w:w="738" w:type="dxa"/>
            <w:tcBorders>
              <w:top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-898</w:t>
            </w:r>
          </w:p>
        </w:tc>
        <w:tc>
          <w:tcPr>
            <w:tcW w:w="602" w:type="dxa"/>
            <w:gridSpan w:val="3"/>
            <w:tcBorders>
              <w:top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top w:val="single" w:sz="8" w:space="0" w:color="1F497D" w:themeColor="text2"/>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-2 843</w:t>
            </w:r>
          </w:p>
        </w:tc>
        <w:tc>
          <w:tcPr>
            <w:tcW w:w="672" w:type="dxa"/>
            <w:tcBorders>
              <w:top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-2 789</w:t>
            </w:r>
          </w:p>
        </w:tc>
      </w:tr>
      <w:tr w:rsidR="00734B00" w:rsidRPr="00734B00" w:rsidTr="00734B00">
        <w:trPr>
          <w:trHeight w:val="284"/>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Réductions de valeur :</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-333</w:t>
            </w:r>
          </w:p>
        </w:tc>
        <w:tc>
          <w:tcPr>
            <w:tcW w:w="740"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-234</w:t>
            </w:r>
          </w:p>
        </w:tc>
        <w:tc>
          <w:tcPr>
            <w:tcW w:w="738" w:type="dxa"/>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-208</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-949</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-107</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-134</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-183</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-775</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-424</w:t>
            </w: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Sur prêts et créances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-293</w:t>
            </w:r>
          </w:p>
        </w:tc>
        <w:tc>
          <w:tcPr>
            <w:tcW w:w="740"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-215</w:t>
            </w:r>
          </w:p>
        </w:tc>
        <w:tc>
          <w:tcPr>
            <w:tcW w:w="738"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-185</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-939</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-103</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-130</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-165</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-693</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-398</w:t>
            </w: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Sur actifs financiers disponibles à la vente</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-13</w:t>
            </w:r>
          </w:p>
        </w:tc>
        <w:tc>
          <w:tcPr>
            <w:tcW w:w="740"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w:t>
            </w:r>
          </w:p>
        </w:tc>
        <w:tc>
          <w:tcPr>
            <w:tcW w:w="738"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-3</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-5</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-3</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-6</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-18</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-14</w:t>
            </w: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Sur goodwill</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-7</w:t>
            </w:r>
          </w:p>
        </w:tc>
        <w:tc>
          <w:tcPr>
            <w:tcW w:w="740"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0</w:t>
            </w:r>
          </w:p>
        </w:tc>
        <w:tc>
          <w:tcPr>
            <w:tcW w:w="738"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0</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0</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0</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0</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0</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-7</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0</w:t>
            </w: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Sur autres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-20</w:t>
            </w:r>
          </w:p>
        </w:tc>
        <w:tc>
          <w:tcPr>
            <w:tcW w:w="740"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-15</w:t>
            </w:r>
          </w:p>
        </w:tc>
        <w:tc>
          <w:tcPr>
            <w:tcW w:w="738" w:type="dxa"/>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-22</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i/>
                <w:iCs/>
                <w:sz w:val="14"/>
                <w:szCs w:val="14"/>
                <w:lang w:val="fr-FR"/>
              </w:rPr>
            </w:pPr>
            <w:r w:rsidRPr="00734B00">
              <w:rPr>
                <w:rFonts w:ascii="Arial" w:eastAsia="Times New Roman" w:hAnsi="Arial" w:cs="Arial"/>
                <w:i/>
                <w:iCs/>
                <w:sz w:val="14"/>
                <w:szCs w:val="14"/>
                <w:lang w:val="fr-FR"/>
              </w:rPr>
              <w:t>-7</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0</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0</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-12</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-57</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i/>
                <w:snapToGrid w:val="0"/>
                <w:sz w:val="14"/>
                <w:szCs w:val="14"/>
                <w:lang w:val="fr-FR"/>
              </w:rPr>
            </w:pPr>
            <w:r w:rsidRPr="00734B00">
              <w:rPr>
                <w:rFonts w:ascii="Arial" w:eastAsia="Times New Roman" w:hAnsi="Arial"/>
                <w:bCs/>
                <w:i/>
                <w:snapToGrid w:val="0"/>
                <w:sz w:val="14"/>
                <w:szCs w:val="14"/>
                <w:lang w:val="fr-FR"/>
              </w:rPr>
              <w:t>-12</w:t>
            </w:r>
          </w:p>
        </w:tc>
      </w:tr>
      <w:tr w:rsidR="00734B00" w:rsidRPr="00734B00" w:rsidTr="00734B00">
        <w:trPr>
          <w:trHeight w:val="284"/>
        </w:trPr>
        <w:tc>
          <w:tcPr>
            <w:tcW w:w="3594" w:type="dxa"/>
            <w:tcBorders>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Quote-part dans le résultat des entreprises associées et joint-ventures</w:t>
            </w:r>
          </w:p>
        </w:tc>
        <w:tc>
          <w:tcPr>
            <w:tcW w:w="738"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8</w:t>
            </w:r>
          </w:p>
        </w:tc>
        <w:tc>
          <w:tcPr>
            <w:tcW w:w="740"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8</w:t>
            </w:r>
          </w:p>
        </w:tc>
        <w:tc>
          <w:tcPr>
            <w:tcW w:w="738"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w:t>
            </w:r>
          </w:p>
        </w:tc>
        <w:tc>
          <w:tcPr>
            <w:tcW w:w="627"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6</w:t>
            </w:r>
          </w:p>
        </w:tc>
        <w:tc>
          <w:tcPr>
            <w:tcW w:w="704"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w:t>
            </w:r>
          </w:p>
        </w:tc>
        <w:tc>
          <w:tcPr>
            <w:tcW w:w="679"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w:t>
            </w:r>
          </w:p>
        </w:tc>
        <w:tc>
          <w:tcPr>
            <w:tcW w:w="738"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w:t>
            </w:r>
          </w:p>
        </w:tc>
        <w:tc>
          <w:tcPr>
            <w:tcW w:w="602" w:type="dxa"/>
            <w:gridSpan w:val="3"/>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24</w:t>
            </w:r>
          </w:p>
        </w:tc>
        <w:tc>
          <w:tcPr>
            <w:tcW w:w="672"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w:t>
            </w:r>
          </w:p>
        </w:tc>
      </w:tr>
      <w:tr w:rsidR="00734B00" w:rsidRPr="00734B00" w:rsidTr="00734B00">
        <w:trPr>
          <w:trHeight w:val="284"/>
        </w:trPr>
        <w:tc>
          <w:tcPr>
            <w:tcW w:w="3594" w:type="dxa"/>
            <w:tcBorders>
              <w:top w:val="single" w:sz="8" w:space="0" w:color="1F497D" w:themeColor="text2"/>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avant impôts</w:t>
            </w:r>
          </w:p>
        </w:tc>
        <w:tc>
          <w:tcPr>
            <w:tcW w:w="738" w:type="dxa"/>
            <w:tcBorders>
              <w:top w:val="single" w:sz="8" w:space="0" w:color="1F497D" w:themeColor="text2"/>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524</w:t>
            </w:r>
          </w:p>
        </w:tc>
        <w:tc>
          <w:tcPr>
            <w:tcW w:w="740"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675</w:t>
            </w:r>
          </w:p>
        </w:tc>
        <w:tc>
          <w:tcPr>
            <w:tcW w:w="738"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667</w:t>
            </w:r>
          </w:p>
        </w:tc>
        <w:tc>
          <w:tcPr>
            <w:tcW w:w="627"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-230</w:t>
            </w:r>
          </w:p>
        </w:tc>
        <w:tc>
          <w:tcPr>
            <w:tcW w:w="704"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518</w:t>
            </w:r>
          </w:p>
        </w:tc>
        <w:tc>
          <w:tcPr>
            <w:tcW w:w="679"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431</w:t>
            </w:r>
          </w:p>
        </w:tc>
        <w:tc>
          <w:tcPr>
            <w:tcW w:w="738"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671</w:t>
            </w:r>
          </w:p>
        </w:tc>
        <w:tc>
          <w:tcPr>
            <w:tcW w:w="602"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1 866</w:t>
            </w:r>
          </w:p>
        </w:tc>
        <w:tc>
          <w:tcPr>
            <w:tcW w:w="672"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1 620</w:t>
            </w:r>
          </w:p>
        </w:tc>
      </w:tr>
      <w:tr w:rsidR="00734B00" w:rsidRPr="00734B00" w:rsidTr="00734B00">
        <w:trPr>
          <w:trHeight w:val="284"/>
        </w:trPr>
        <w:tc>
          <w:tcPr>
            <w:tcW w:w="3594" w:type="dxa"/>
            <w:tcBorders>
              <w:top w:val="single" w:sz="8" w:space="0" w:color="1F497D" w:themeColor="text2"/>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Impôts</w:t>
            </w:r>
          </w:p>
        </w:tc>
        <w:tc>
          <w:tcPr>
            <w:tcW w:w="738" w:type="dxa"/>
            <w:tcBorders>
              <w:top w:val="single" w:sz="8" w:space="0" w:color="1F497D" w:themeColor="text2"/>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-161</w:t>
            </w:r>
          </w:p>
        </w:tc>
        <w:tc>
          <w:tcPr>
            <w:tcW w:w="740"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-187</w:t>
            </w:r>
          </w:p>
        </w:tc>
        <w:tc>
          <w:tcPr>
            <w:tcW w:w="738"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-206</w:t>
            </w:r>
          </w:p>
        </w:tc>
        <w:tc>
          <w:tcPr>
            <w:tcW w:w="627"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-106</w:t>
            </w:r>
          </w:p>
        </w:tc>
        <w:tc>
          <w:tcPr>
            <w:tcW w:w="704"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-131</w:t>
            </w:r>
          </w:p>
        </w:tc>
        <w:tc>
          <w:tcPr>
            <w:tcW w:w="679"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-144</w:t>
            </w:r>
          </w:p>
        </w:tc>
        <w:tc>
          <w:tcPr>
            <w:tcW w:w="738"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-194</w:t>
            </w:r>
          </w:p>
        </w:tc>
        <w:tc>
          <w:tcPr>
            <w:tcW w:w="602"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-555</w:t>
            </w:r>
          </w:p>
        </w:tc>
        <w:tc>
          <w:tcPr>
            <w:tcW w:w="672"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-469</w:t>
            </w:r>
          </w:p>
        </w:tc>
      </w:tr>
      <w:tr w:rsidR="00734B00" w:rsidRPr="00734B00" w:rsidTr="00734B00">
        <w:trPr>
          <w:trHeight w:val="284"/>
        </w:trPr>
        <w:tc>
          <w:tcPr>
            <w:tcW w:w="3594" w:type="dxa"/>
            <w:tcBorders>
              <w:top w:val="single" w:sz="8" w:space="0" w:color="1F497D" w:themeColor="text2"/>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Résultat après impôts</w:t>
            </w:r>
          </w:p>
        </w:tc>
        <w:tc>
          <w:tcPr>
            <w:tcW w:w="738" w:type="dxa"/>
            <w:tcBorders>
              <w:top w:val="single" w:sz="8" w:space="0" w:color="1F497D" w:themeColor="text2"/>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363</w:t>
            </w:r>
          </w:p>
        </w:tc>
        <w:tc>
          <w:tcPr>
            <w:tcW w:w="740"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487</w:t>
            </w:r>
          </w:p>
        </w:tc>
        <w:tc>
          <w:tcPr>
            <w:tcW w:w="738" w:type="dxa"/>
            <w:tcBorders>
              <w:top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460</w:t>
            </w:r>
          </w:p>
        </w:tc>
        <w:tc>
          <w:tcPr>
            <w:tcW w:w="627"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-336</w:t>
            </w:r>
          </w:p>
        </w:tc>
        <w:tc>
          <w:tcPr>
            <w:tcW w:w="704"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387</w:t>
            </w:r>
          </w:p>
        </w:tc>
        <w:tc>
          <w:tcPr>
            <w:tcW w:w="679" w:type="dxa"/>
            <w:tcBorders>
              <w:top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288</w:t>
            </w:r>
          </w:p>
        </w:tc>
        <w:tc>
          <w:tcPr>
            <w:tcW w:w="738"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477</w:t>
            </w:r>
          </w:p>
        </w:tc>
        <w:tc>
          <w:tcPr>
            <w:tcW w:w="602" w:type="dxa"/>
            <w:gridSpan w:val="3"/>
            <w:tcBorders>
              <w:top w:val="single" w:sz="8" w:space="0" w:color="1F497D" w:themeColor="text2"/>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top w:val="single" w:sz="8" w:space="0" w:color="1F497D" w:themeColor="text2"/>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1 310</w:t>
            </w:r>
          </w:p>
        </w:tc>
        <w:tc>
          <w:tcPr>
            <w:tcW w:w="672" w:type="dxa"/>
            <w:tcBorders>
              <w:top w:val="single" w:sz="8" w:space="0" w:color="1F497D" w:themeColor="text2"/>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1 152</w:t>
            </w:r>
          </w:p>
        </w:tc>
      </w:tr>
      <w:tr w:rsidR="00734B00" w:rsidRPr="00734B00" w:rsidTr="00734B00">
        <w:trPr>
          <w:trHeight w:val="284"/>
        </w:trPr>
        <w:tc>
          <w:tcPr>
            <w:tcW w:w="3594" w:type="dxa"/>
            <w:tcBorders>
              <w:top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attribuable à des participations minoritaires</w:t>
            </w:r>
          </w:p>
        </w:tc>
        <w:tc>
          <w:tcPr>
            <w:tcW w:w="738" w:type="dxa"/>
            <w:tcBorders>
              <w:top w:val="single" w:sz="8" w:space="0" w:color="1F497D" w:themeColor="text2"/>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w:t>
            </w:r>
          </w:p>
        </w:tc>
        <w:tc>
          <w:tcPr>
            <w:tcW w:w="740"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3</w:t>
            </w:r>
          </w:p>
        </w:tc>
        <w:tc>
          <w:tcPr>
            <w:tcW w:w="738"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w:t>
            </w:r>
          </w:p>
        </w:tc>
        <w:tc>
          <w:tcPr>
            <w:tcW w:w="627"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4</w:t>
            </w:r>
          </w:p>
        </w:tc>
        <w:tc>
          <w:tcPr>
            <w:tcW w:w="704"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79"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738" w:type="dxa"/>
            <w:tcBorders>
              <w:top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c>
          <w:tcPr>
            <w:tcW w:w="602" w:type="dxa"/>
            <w:gridSpan w:val="3"/>
            <w:tcBorders>
              <w:top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top w:val="single" w:sz="8" w:space="0" w:color="1F497D" w:themeColor="text2"/>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w:t>
            </w:r>
          </w:p>
        </w:tc>
        <w:tc>
          <w:tcPr>
            <w:tcW w:w="672" w:type="dxa"/>
            <w:tcBorders>
              <w:top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r>
      <w:tr w:rsidR="00734B00" w:rsidRPr="00734B00" w:rsidTr="00734B00">
        <w:trPr>
          <w:trHeight w:val="284"/>
        </w:trPr>
        <w:tc>
          <w:tcPr>
            <w:tcW w:w="3594" w:type="dxa"/>
            <w:tcBorders>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 xml:space="preserve">   attribuable aux actionnaires de la société mère</w:t>
            </w:r>
          </w:p>
        </w:tc>
        <w:tc>
          <w:tcPr>
            <w:tcW w:w="738"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
                <w:bCs/>
                <w:sz w:val="14"/>
                <w:szCs w:val="14"/>
                <w:lang w:val="fr-FR"/>
              </w:rPr>
            </w:pPr>
            <w:r w:rsidRPr="00734B00">
              <w:rPr>
                <w:rFonts w:ascii="Arial" w:eastAsia="Times New Roman" w:hAnsi="Arial" w:cs="Arial"/>
                <w:b/>
                <w:bCs/>
                <w:sz w:val="14"/>
                <w:szCs w:val="14"/>
                <w:lang w:val="fr-FR"/>
              </w:rPr>
              <w:t>359</w:t>
            </w:r>
          </w:p>
        </w:tc>
        <w:tc>
          <w:tcPr>
            <w:tcW w:w="740"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
                <w:bCs/>
                <w:sz w:val="14"/>
                <w:szCs w:val="14"/>
                <w:lang w:val="fr-FR"/>
              </w:rPr>
            </w:pPr>
            <w:r w:rsidRPr="00734B00">
              <w:rPr>
                <w:rFonts w:ascii="Arial" w:eastAsia="Times New Roman" w:hAnsi="Arial" w:cs="Arial"/>
                <w:b/>
                <w:bCs/>
                <w:sz w:val="14"/>
                <w:szCs w:val="14"/>
                <w:lang w:val="fr-FR"/>
              </w:rPr>
              <w:t>485</w:t>
            </w:r>
          </w:p>
        </w:tc>
        <w:tc>
          <w:tcPr>
            <w:tcW w:w="738"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
                <w:bCs/>
                <w:sz w:val="14"/>
                <w:szCs w:val="14"/>
                <w:lang w:val="fr-FR"/>
              </w:rPr>
            </w:pPr>
            <w:r w:rsidRPr="00734B00">
              <w:rPr>
                <w:rFonts w:ascii="Arial" w:eastAsia="Times New Roman" w:hAnsi="Arial" w:cs="Arial"/>
                <w:b/>
                <w:bCs/>
                <w:sz w:val="14"/>
                <w:szCs w:val="14"/>
                <w:lang w:val="fr-FR"/>
              </w:rPr>
              <w:t>457</w:t>
            </w:r>
          </w:p>
        </w:tc>
        <w:tc>
          <w:tcPr>
            <w:tcW w:w="627"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b/>
                <w:bCs/>
                <w:sz w:val="14"/>
                <w:szCs w:val="14"/>
                <w:lang w:val="fr-FR"/>
              </w:rPr>
            </w:pPr>
            <w:r w:rsidRPr="00734B00">
              <w:rPr>
                <w:rFonts w:ascii="Arial" w:eastAsia="Times New Roman" w:hAnsi="Arial" w:cs="Arial"/>
                <w:b/>
                <w:bCs/>
                <w:sz w:val="14"/>
                <w:szCs w:val="14"/>
                <w:lang w:val="fr-FR"/>
              </w:rPr>
              <w:t>-340</w:t>
            </w:r>
          </w:p>
        </w:tc>
        <w:tc>
          <w:tcPr>
            <w:tcW w:w="704"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387</w:t>
            </w:r>
          </w:p>
        </w:tc>
        <w:tc>
          <w:tcPr>
            <w:tcW w:w="679"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287</w:t>
            </w:r>
          </w:p>
        </w:tc>
        <w:tc>
          <w:tcPr>
            <w:tcW w:w="738"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477</w:t>
            </w:r>
          </w:p>
        </w:tc>
        <w:tc>
          <w:tcPr>
            <w:tcW w:w="602" w:type="dxa"/>
            <w:gridSpan w:val="3"/>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w:t>
            </w:r>
          </w:p>
        </w:tc>
        <w:tc>
          <w:tcPr>
            <w:tcW w:w="636"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1 300</w:t>
            </w:r>
          </w:p>
        </w:tc>
        <w:tc>
          <w:tcPr>
            <w:tcW w:w="672"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1 151</w:t>
            </w:r>
          </w:p>
        </w:tc>
      </w:tr>
      <w:tr w:rsidR="00734B00" w:rsidRPr="00734B00" w:rsidTr="00734B00">
        <w:trPr>
          <w:trHeight w:val="60"/>
        </w:trPr>
        <w:tc>
          <w:tcPr>
            <w:tcW w:w="3594" w:type="dxa"/>
            <w:tcBorders>
              <w:top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Belgique</w:t>
            </w:r>
          </w:p>
        </w:tc>
        <w:tc>
          <w:tcPr>
            <w:tcW w:w="738" w:type="dxa"/>
            <w:tcBorders>
              <w:top w:val="single" w:sz="8" w:space="0" w:color="1F497D" w:themeColor="text2"/>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385</w:t>
            </w:r>
          </w:p>
        </w:tc>
        <w:tc>
          <w:tcPr>
            <w:tcW w:w="740"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418</w:t>
            </w:r>
          </w:p>
        </w:tc>
        <w:tc>
          <w:tcPr>
            <w:tcW w:w="738"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391</w:t>
            </w:r>
          </w:p>
        </w:tc>
        <w:tc>
          <w:tcPr>
            <w:tcW w:w="627"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376</w:t>
            </w:r>
          </w:p>
        </w:tc>
        <w:tc>
          <w:tcPr>
            <w:tcW w:w="704"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351</w:t>
            </w:r>
          </w:p>
        </w:tc>
        <w:tc>
          <w:tcPr>
            <w:tcW w:w="679"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383</w:t>
            </w:r>
          </w:p>
        </w:tc>
        <w:tc>
          <w:tcPr>
            <w:tcW w:w="738" w:type="dxa"/>
            <w:tcBorders>
              <w:top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384</w:t>
            </w:r>
          </w:p>
        </w:tc>
        <w:tc>
          <w:tcPr>
            <w:tcW w:w="602" w:type="dxa"/>
            <w:gridSpan w:val="3"/>
            <w:tcBorders>
              <w:top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top w:val="single" w:sz="8" w:space="0" w:color="1F497D" w:themeColor="text2"/>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1 193</w:t>
            </w:r>
          </w:p>
        </w:tc>
        <w:tc>
          <w:tcPr>
            <w:tcW w:w="672" w:type="dxa"/>
            <w:tcBorders>
              <w:top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1 117</w:t>
            </w: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République tchèque </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132</w:t>
            </w:r>
          </w:p>
        </w:tc>
        <w:tc>
          <w:tcPr>
            <w:tcW w:w="740" w:type="dxa"/>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146</w:t>
            </w:r>
          </w:p>
        </w:tc>
        <w:tc>
          <w:tcPr>
            <w:tcW w:w="738" w:type="dxa"/>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157</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119</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138</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140</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130</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435</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408</w:t>
            </w: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Marchés internationaux</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-87</w:t>
            </w:r>
          </w:p>
        </w:tc>
        <w:tc>
          <w:tcPr>
            <w:tcW w:w="740" w:type="dxa"/>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-23</w:t>
            </w:r>
          </w:p>
        </w:tc>
        <w:tc>
          <w:tcPr>
            <w:tcW w:w="738" w:type="dxa"/>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-12</w:t>
            </w:r>
          </w:p>
        </w:tc>
        <w:tc>
          <w:tcPr>
            <w:tcW w:w="627" w:type="dxa"/>
            <w:shd w:val="clear" w:color="auto" w:fill="auto"/>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-731</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-26</w:t>
            </w:r>
          </w:p>
        </w:tc>
        <w:tc>
          <w:tcPr>
            <w:tcW w:w="679" w:type="dxa"/>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-176</w:t>
            </w:r>
          </w:p>
        </w:tc>
        <w:tc>
          <w:tcPr>
            <w:tcW w:w="738"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27</w:t>
            </w:r>
          </w:p>
        </w:tc>
        <w:tc>
          <w:tcPr>
            <w:tcW w:w="602" w:type="dxa"/>
            <w:gridSpan w:val="3"/>
            <w:tcBorders>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-122</w:t>
            </w:r>
          </w:p>
        </w:tc>
        <w:tc>
          <w:tcPr>
            <w:tcW w:w="672" w:type="dxa"/>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-175</w:t>
            </w:r>
          </w:p>
        </w:tc>
      </w:tr>
      <w:tr w:rsidR="00734B00" w:rsidRPr="00734B00" w:rsidTr="00734B00">
        <w:trPr>
          <w:trHeight w:val="227"/>
        </w:trPr>
        <w:tc>
          <w:tcPr>
            <w:tcW w:w="3594" w:type="dxa"/>
            <w:tcBorders>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 xml:space="preserve">     Centre de groupe</w:t>
            </w:r>
          </w:p>
        </w:tc>
        <w:tc>
          <w:tcPr>
            <w:tcW w:w="738"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-71</w:t>
            </w:r>
          </w:p>
        </w:tc>
        <w:tc>
          <w:tcPr>
            <w:tcW w:w="740"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-56</w:t>
            </w:r>
          </w:p>
        </w:tc>
        <w:tc>
          <w:tcPr>
            <w:tcW w:w="738"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-79</w:t>
            </w:r>
          </w:p>
        </w:tc>
        <w:tc>
          <w:tcPr>
            <w:tcW w:w="627"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cs="Arial"/>
                <w:bCs/>
                <w:sz w:val="14"/>
                <w:szCs w:val="14"/>
                <w:lang w:val="fr-FR"/>
              </w:rPr>
            </w:pPr>
            <w:r w:rsidRPr="00734B00">
              <w:rPr>
                <w:rFonts w:ascii="Arial" w:eastAsia="Times New Roman" w:hAnsi="Arial" w:cs="Arial"/>
                <w:bCs/>
                <w:sz w:val="14"/>
                <w:szCs w:val="14"/>
                <w:lang w:val="fr-FR"/>
              </w:rPr>
              <w:t>-104</w:t>
            </w:r>
          </w:p>
        </w:tc>
        <w:tc>
          <w:tcPr>
            <w:tcW w:w="704"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-75</w:t>
            </w:r>
          </w:p>
        </w:tc>
        <w:tc>
          <w:tcPr>
            <w:tcW w:w="679"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-59</w:t>
            </w:r>
          </w:p>
        </w:tc>
        <w:tc>
          <w:tcPr>
            <w:tcW w:w="738"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-64</w:t>
            </w:r>
          </w:p>
        </w:tc>
        <w:tc>
          <w:tcPr>
            <w:tcW w:w="602" w:type="dxa"/>
            <w:gridSpan w:val="3"/>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-207</w:t>
            </w:r>
          </w:p>
        </w:tc>
        <w:tc>
          <w:tcPr>
            <w:tcW w:w="672"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-199</w:t>
            </w:r>
          </w:p>
        </w:tc>
      </w:tr>
      <w:tr w:rsidR="00734B00" w:rsidRPr="00734B00" w:rsidTr="00734B00">
        <w:trPr>
          <w:trHeight w:val="170"/>
        </w:trPr>
        <w:tc>
          <w:tcPr>
            <w:tcW w:w="3594" w:type="dxa"/>
            <w:tcBorders>
              <w:top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vertAlign w:val="superscript"/>
                <w:lang w:val="fr-FR"/>
              </w:rPr>
            </w:pPr>
            <w:r w:rsidRPr="00734B00">
              <w:rPr>
                <w:rFonts w:ascii="Arial" w:eastAsia="Times New Roman" w:hAnsi="Arial"/>
                <w:bCs/>
                <w:snapToGrid w:val="0"/>
                <w:sz w:val="14"/>
                <w:szCs w:val="14"/>
                <w:lang w:val="fr-FR"/>
              </w:rPr>
              <w:t>Bénéfice par action (EUR), ordinaire</w:t>
            </w:r>
          </w:p>
        </w:tc>
        <w:tc>
          <w:tcPr>
            <w:tcW w:w="738" w:type="dxa"/>
            <w:tcBorders>
              <w:top w:val="single" w:sz="8" w:space="0" w:color="1F497D" w:themeColor="text2"/>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0.86</w:t>
            </w:r>
          </w:p>
        </w:tc>
        <w:tc>
          <w:tcPr>
            <w:tcW w:w="740"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1.16</w:t>
            </w:r>
          </w:p>
        </w:tc>
        <w:tc>
          <w:tcPr>
            <w:tcW w:w="738" w:type="dxa"/>
            <w:tcBorders>
              <w:top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-0.30</w:t>
            </w:r>
          </w:p>
        </w:tc>
        <w:tc>
          <w:tcPr>
            <w:tcW w:w="627"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-0.82</w:t>
            </w:r>
          </w:p>
        </w:tc>
        <w:tc>
          <w:tcPr>
            <w:tcW w:w="704"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0.42</w:t>
            </w:r>
          </w:p>
        </w:tc>
        <w:tc>
          <w:tcPr>
            <w:tcW w:w="679" w:type="dxa"/>
            <w:tcBorders>
              <w:top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0.56</w:t>
            </w:r>
          </w:p>
        </w:tc>
        <w:tc>
          <w:tcPr>
            <w:tcW w:w="738" w:type="dxa"/>
            <w:tcBorders>
              <w:top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1.00</w:t>
            </w:r>
          </w:p>
        </w:tc>
        <w:tc>
          <w:tcPr>
            <w:tcW w:w="602" w:type="dxa"/>
            <w:gridSpan w:val="3"/>
            <w:tcBorders>
              <w:top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top w:val="single" w:sz="8" w:space="0" w:color="1F497D" w:themeColor="text2"/>
              <w:lef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1.72</w:t>
            </w:r>
          </w:p>
        </w:tc>
        <w:tc>
          <w:tcPr>
            <w:tcW w:w="672" w:type="dxa"/>
            <w:tcBorders>
              <w:top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1.99</w:t>
            </w:r>
          </w:p>
        </w:tc>
      </w:tr>
      <w:tr w:rsidR="00734B00" w:rsidRPr="00734B00" w:rsidTr="00734B00">
        <w:trPr>
          <w:trHeight w:val="170"/>
        </w:trPr>
        <w:tc>
          <w:tcPr>
            <w:tcW w:w="3594" w:type="dxa"/>
            <w:tcBorders>
              <w:right w:val="single" w:sz="8" w:space="0" w:color="1F497D" w:themeColor="text2"/>
            </w:tcBorders>
          </w:tcPr>
          <w:p w:rsidR="00734B00" w:rsidRPr="00734B00" w:rsidRDefault="00734B00" w:rsidP="00734B00">
            <w:pPr>
              <w:spacing w:after="0" w:line="240" w:lineRule="auto"/>
              <w:rPr>
                <w:rFonts w:ascii="Arial" w:eastAsia="Times New Roman" w:hAnsi="Arial"/>
                <w:bCs/>
                <w:snapToGrid w:val="0"/>
                <w:sz w:val="14"/>
                <w:szCs w:val="14"/>
                <w:vertAlign w:val="superscript"/>
                <w:lang w:val="fr-FR"/>
              </w:rPr>
            </w:pPr>
            <w:r w:rsidRPr="00734B00">
              <w:rPr>
                <w:rFonts w:ascii="Arial" w:eastAsia="Times New Roman" w:hAnsi="Arial"/>
                <w:bCs/>
                <w:snapToGrid w:val="0"/>
                <w:sz w:val="14"/>
                <w:szCs w:val="14"/>
                <w:lang w:val="fr-FR"/>
              </w:rPr>
              <w:t>Bénéfice par action (EUR), dilué</w:t>
            </w:r>
          </w:p>
        </w:tc>
        <w:tc>
          <w:tcPr>
            <w:tcW w:w="738" w:type="dxa"/>
            <w:tcBorders>
              <w:left w:val="single" w:sz="8" w:space="0" w:color="1F497D" w:themeColor="text2"/>
            </w:tcBorders>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0.86</w:t>
            </w:r>
          </w:p>
        </w:tc>
        <w:tc>
          <w:tcPr>
            <w:tcW w:w="740" w:type="dxa"/>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1.16</w:t>
            </w:r>
          </w:p>
        </w:tc>
        <w:tc>
          <w:tcPr>
            <w:tcW w:w="738" w:type="dxa"/>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-0.30</w:t>
            </w:r>
          </w:p>
        </w:tc>
        <w:tc>
          <w:tcPr>
            <w:tcW w:w="627" w:type="dxa"/>
            <w:shd w:val="clear" w:color="auto" w:fill="auto"/>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-0.82</w:t>
            </w:r>
          </w:p>
        </w:tc>
        <w:tc>
          <w:tcPr>
            <w:tcW w:w="704" w:type="dxa"/>
            <w:shd w:val="clear" w:color="auto" w:fill="auto"/>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0.42</w:t>
            </w:r>
          </w:p>
        </w:tc>
        <w:tc>
          <w:tcPr>
            <w:tcW w:w="679" w:type="dxa"/>
            <w:shd w:val="clear" w:color="auto" w:fill="auto"/>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0.56</w:t>
            </w:r>
          </w:p>
        </w:tc>
        <w:tc>
          <w:tcPr>
            <w:tcW w:w="738" w:type="dxa"/>
            <w:shd w:val="clear" w:color="auto" w:fill="DBE5F1" w:themeFill="accent1" w:themeFillTint="33"/>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1.00</w:t>
            </w:r>
          </w:p>
        </w:tc>
        <w:tc>
          <w:tcPr>
            <w:tcW w:w="602" w:type="dxa"/>
            <w:gridSpan w:val="3"/>
            <w:tcBorders>
              <w:right w:val="single" w:sz="8" w:space="0" w:color="1F497D" w:themeColor="text2"/>
            </w:tcBorders>
            <w:shd w:val="clear" w:color="auto" w:fill="auto"/>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36" w:type="dxa"/>
            <w:tcBorders>
              <w:left w:val="single" w:sz="8" w:space="0" w:color="1F497D" w:themeColor="text2"/>
            </w:tcBorders>
            <w:shd w:val="clear" w:color="auto" w:fill="auto"/>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1.72</w:t>
            </w:r>
          </w:p>
        </w:tc>
        <w:tc>
          <w:tcPr>
            <w:tcW w:w="672" w:type="dxa"/>
            <w:shd w:val="clear" w:color="auto" w:fill="DBE5F1" w:themeFill="accent1" w:themeFillTint="33"/>
          </w:tcPr>
          <w:p w:rsidR="00734B00" w:rsidRPr="00734B00" w:rsidRDefault="00734B00" w:rsidP="00734B00">
            <w:pPr>
              <w:spacing w:after="0" w:line="240" w:lineRule="auto"/>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1.99</w:t>
            </w:r>
          </w:p>
        </w:tc>
      </w:tr>
      <w:tr w:rsidR="00734B00" w:rsidRPr="00734B00" w:rsidTr="00734B00">
        <w:trPr>
          <w:trHeight w:val="229"/>
        </w:trPr>
        <w:tc>
          <w:tcPr>
            <w:tcW w:w="3594" w:type="dxa"/>
            <w:tcBorders>
              <w:right w:val="single" w:sz="8" w:space="0" w:color="FFFFFF" w:themeColor="background1"/>
            </w:tcBorders>
            <w:shd w:val="clear" w:color="auto" w:fill="365F91" w:themeFill="accent1" w:themeFillShade="BF"/>
            <w:vAlign w:val="center"/>
          </w:tcPr>
          <w:p w:rsidR="00734B00" w:rsidRPr="00734B00" w:rsidRDefault="00734B00" w:rsidP="00734B00">
            <w:pPr>
              <w:spacing w:after="0" w:line="240" w:lineRule="auto"/>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 xml:space="preserve">Incidences des activités </w:t>
            </w:r>
            <w:proofErr w:type="spellStart"/>
            <w:r w:rsidRPr="00734B00">
              <w:rPr>
                <w:rFonts w:ascii="Arial" w:eastAsia="Times New Roman" w:hAnsi="Arial"/>
                <w:bCs/>
                <w:snapToGrid w:val="0"/>
                <w:color w:val="FFFFFF" w:themeColor="background1"/>
                <w:sz w:val="14"/>
                <w:szCs w:val="14"/>
                <w:lang w:val="fr-FR"/>
              </w:rPr>
              <w:t>legacy</w:t>
            </w:r>
            <w:proofErr w:type="spellEnd"/>
            <w:r w:rsidRPr="00734B00">
              <w:rPr>
                <w:rFonts w:ascii="Arial" w:eastAsia="Times New Roman" w:hAnsi="Arial"/>
                <w:bCs/>
                <w:snapToGrid w:val="0"/>
                <w:color w:val="FFFFFF" w:themeColor="background1"/>
                <w:sz w:val="14"/>
                <w:szCs w:val="14"/>
                <w:lang w:val="fr-FR"/>
              </w:rPr>
              <w:t xml:space="preserve"> et du risque de crédit propre (après impôts)</w:t>
            </w:r>
          </w:p>
        </w:tc>
        <w:tc>
          <w:tcPr>
            <w:tcW w:w="738" w:type="dxa"/>
            <w:tcBorders>
              <w:left w:val="single" w:sz="8" w:space="0" w:color="FFFFFF" w:themeColor="background1"/>
            </w:tcBorders>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lang w:val="fr-FR"/>
              </w:rPr>
            </w:pPr>
          </w:p>
        </w:tc>
        <w:tc>
          <w:tcPr>
            <w:tcW w:w="740" w:type="dxa"/>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lang w:val="fr-FR"/>
              </w:rPr>
            </w:pPr>
          </w:p>
        </w:tc>
        <w:tc>
          <w:tcPr>
            <w:tcW w:w="738" w:type="dxa"/>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lang w:val="fr-FR"/>
              </w:rPr>
            </w:pPr>
          </w:p>
        </w:tc>
        <w:tc>
          <w:tcPr>
            <w:tcW w:w="627" w:type="dxa"/>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lang w:val="fr-FR"/>
              </w:rPr>
            </w:pPr>
          </w:p>
        </w:tc>
        <w:tc>
          <w:tcPr>
            <w:tcW w:w="704" w:type="dxa"/>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lang w:val="fr-FR"/>
              </w:rPr>
            </w:pPr>
          </w:p>
        </w:tc>
        <w:tc>
          <w:tcPr>
            <w:tcW w:w="679" w:type="dxa"/>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lang w:val="fr-FR"/>
              </w:rPr>
            </w:pPr>
          </w:p>
        </w:tc>
        <w:tc>
          <w:tcPr>
            <w:tcW w:w="753" w:type="dxa"/>
            <w:gridSpan w:val="2"/>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highlight w:val="darkGray"/>
                <w:lang w:val="fr-FR"/>
              </w:rPr>
            </w:pPr>
          </w:p>
        </w:tc>
        <w:tc>
          <w:tcPr>
            <w:tcW w:w="558" w:type="dxa"/>
            <w:tcBorders>
              <w:right w:val="single" w:sz="8" w:space="0" w:color="FFFFFF" w:themeColor="background1"/>
            </w:tcBorders>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lang w:val="fr-FR"/>
              </w:rPr>
            </w:pPr>
          </w:p>
        </w:tc>
        <w:tc>
          <w:tcPr>
            <w:tcW w:w="665" w:type="dxa"/>
            <w:gridSpan w:val="2"/>
            <w:tcBorders>
              <w:left w:val="single" w:sz="8" w:space="0" w:color="FFFFFF" w:themeColor="background1"/>
            </w:tcBorders>
            <w:shd w:val="clear" w:color="auto" w:fill="365F91" w:themeFill="accent1" w:themeFillShade="BF"/>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highlight w:val="darkGray"/>
                <w:lang w:val="fr-FR"/>
              </w:rPr>
            </w:pPr>
          </w:p>
        </w:tc>
        <w:tc>
          <w:tcPr>
            <w:tcW w:w="672" w:type="dxa"/>
            <w:shd w:val="clear" w:color="auto" w:fill="365F91" w:themeFill="accent1" w:themeFillShade="BF"/>
            <w:tcMar>
              <w:right w:w="142" w:type="dxa"/>
            </w:tcMar>
            <w:vAlign w:val="bottom"/>
          </w:tcPr>
          <w:p w:rsidR="00734B00" w:rsidRPr="00734B00" w:rsidRDefault="00734B00" w:rsidP="00734B00">
            <w:pPr>
              <w:spacing w:after="0" w:line="240" w:lineRule="auto"/>
              <w:ind w:hanging="234"/>
              <w:jc w:val="right"/>
              <w:rPr>
                <w:rFonts w:ascii="Arial" w:eastAsia="Times New Roman" w:hAnsi="Arial"/>
                <w:bCs/>
                <w:snapToGrid w:val="0"/>
                <w:color w:val="FFFFFF" w:themeColor="background1"/>
                <w:sz w:val="14"/>
                <w:szCs w:val="14"/>
                <w:highlight w:val="darkGray"/>
                <w:lang w:val="fr-FR"/>
              </w:rPr>
            </w:pP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proofErr w:type="spellStart"/>
            <w:r w:rsidRPr="00734B00">
              <w:rPr>
                <w:rFonts w:ascii="Arial" w:eastAsia="Times New Roman" w:hAnsi="Arial"/>
                <w:bCs/>
                <w:snapToGrid w:val="0"/>
                <w:sz w:val="14"/>
                <w:szCs w:val="14"/>
                <w:lang w:val="fr-FR"/>
              </w:rPr>
              <w:t>Legacy</w:t>
            </w:r>
            <w:proofErr w:type="spellEnd"/>
            <w:r w:rsidRPr="00734B00">
              <w:rPr>
                <w:rFonts w:ascii="Arial" w:eastAsia="Times New Roman" w:hAnsi="Arial"/>
                <w:bCs/>
                <w:snapToGrid w:val="0"/>
                <w:sz w:val="14"/>
                <w:szCs w:val="14"/>
                <w:lang w:val="fr-FR"/>
              </w:rPr>
              <w:t xml:space="preserve"> – bénéfices/pertes liés aux CDO</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165</w:t>
            </w:r>
          </w:p>
        </w:tc>
        <w:tc>
          <w:tcPr>
            <w:tcW w:w="740" w:type="dxa"/>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180</w:t>
            </w:r>
          </w:p>
        </w:tc>
        <w:tc>
          <w:tcPr>
            <w:tcW w:w="738" w:type="dxa"/>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34</w:t>
            </w:r>
          </w:p>
        </w:tc>
        <w:tc>
          <w:tcPr>
            <w:tcW w:w="627" w:type="dxa"/>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65</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16</w:t>
            </w:r>
          </w:p>
        </w:tc>
        <w:tc>
          <w:tcPr>
            <w:tcW w:w="679" w:type="dxa"/>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30</w:t>
            </w:r>
          </w:p>
        </w:tc>
        <w:tc>
          <w:tcPr>
            <w:tcW w:w="753" w:type="dxa"/>
            <w:gridSpan w:val="2"/>
            <w:shd w:val="clear" w:color="auto" w:fill="DBE5F1" w:themeFill="accent1" w:themeFillTint="33"/>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-24</w:t>
            </w:r>
          </w:p>
        </w:tc>
        <w:tc>
          <w:tcPr>
            <w:tcW w:w="558" w:type="dxa"/>
            <w:tcBorders>
              <w:right w:val="single" w:sz="8" w:space="0" w:color="1F497D" w:themeColor="text2"/>
            </w:tcBorders>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65" w:type="dxa"/>
            <w:gridSpan w:val="2"/>
            <w:tcBorders>
              <w:left w:val="single" w:sz="8" w:space="0" w:color="1F497D" w:themeColor="text2"/>
            </w:tcBorders>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380</w:t>
            </w:r>
          </w:p>
        </w:tc>
        <w:tc>
          <w:tcPr>
            <w:tcW w:w="672" w:type="dxa"/>
            <w:shd w:val="clear" w:color="auto" w:fill="DBE5F1" w:themeFill="accent1" w:themeFillTint="33"/>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23</w:t>
            </w: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proofErr w:type="spellStart"/>
            <w:r w:rsidRPr="00734B00">
              <w:rPr>
                <w:rFonts w:ascii="Arial" w:eastAsia="Times New Roman" w:hAnsi="Arial"/>
                <w:bCs/>
                <w:snapToGrid w:val="0"/>
                <w:sz w:val="14"/>
                <w:szCs w:val="14"/>
                <w:lang w:val="fr-FR"/>
              </w:rPr>
              <w:t>Legacy</w:t>
            </w:r>
            <w:proofErr w:type="spellEnd"/>
            <w:r w:rsidRPr="00734B00">
              <w:rPr>
                <w:rFonts w:ascii="Arial" w:eastAsia="Times New Roman" w:hAnsi="Arial"/>
                <w:bCs/>
                <w:snapToGrid w:val="0"/>
                <w:sz w:val="14"/>
                <w:szCs w:val="14"/>
                <w:lang w:val="fr-FR"/>
              </w:rPr>
              <w:t xml:space="preserve"> – désinvestissements</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22</w:t>
            </w:r>
          </w:p>
        </w:tc>
        <w:tc>
          <w:tcPr>
            <w:tcW w:w="740" w:type="dxa"/>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-128</w:t>
            </w:r>
          </w:p>
        </w:tc>
        <w:tc>
          <w:tcPr>
            <w:tcW w:w="738" w:type="dxa"/>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-231</w:t>
            </w:r>
          </w:p>
        </w:tc>
        <w:tc>
          <w:tcPr>
            <w:tcW w:w="627" w:type="dxa"/>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-10</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-9</w:t>
            </w:r>
          </w:p>
        </w:tc>
        <w:tc>
          <w:tcPr>
            <w:tcW w:w="679" w:type="dxa"/>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8</w:t>
            </w:r>
          </w:p>
        </w:tc>
        <w:tc>
          <w:tcPr>
            <w:tcW w:w="753" w:type="dxa"/>
            <w:gridSpan w:val="2"/>
            <w:shd w:val="clear" w:color="auto" w:fill="DBE5F1" w:themeFill="accent1" w:themeFillTint="33"/>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132</w:t>
            </w:r>
          </w:p>
        </w:tc>
        <w:tc>
          <w:tcPr>
            <w:tcW w:w="558" w:type="dxa"/>
            <w:tcBorders>
              <w:right w:val="single" w:sz="8" w:space="0" w:color="1F497D" w:themeColor="text2"/>
            </w:tcBorders>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65" w:type="dxa"/>
            <w:gridSpan w:val="2"/>
            <w:tcBorders>
              <w:left w:val="single" w:sz="8" w:space="0" w:color="1F497D" w:themeColor="text2"/>
            </w:tcBorders>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-337</w:t>
            </w:r>
          </w:p>
        </w:tc>
        <w:tc>
          <w:tcPr>
            <w:tcW w:w="672" w:type="dxa"/>
            <w:shd w:val="clear" w:color="auto" w:fill="DBE5F1" w:themeFill="accent1" w:themeFillTint="33"/>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131</w:t>
            </w:r>
          </w:p>
        </w:tc>
      </w:tr>
      <w:tr w:rsidR="00734B00" w:rsidRPr="00734B00" w:rsidTr="00734B00">
        <w:trPr>
          <w:trHeight w:val="227"/>
        </w:trPr>
        <w:tc>
          <w:tcPr>
            <w:tcW w:w="3594" w:type="dxa"/>
            <w:tcBorders>
              <w:right w:val="single" w:sz="8" w:space="0" w:color="1F497D" w:themeColor="text2"/>
            </w:tcBorders>
            <w:vAlign w:val="center"/>
          </w:tcPr>
          <w:p w:rsidR="00734B00" w:rsidRPr="00734B00" w:rsidRDefault="00734B00" w:rsidP="00734B00">
            <w:pPr>
              <w:spacing w:after="0" w:line="240" w:lineRule="auto"/>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MTM du risque de crédit propre</w:t>
            </w:r>
          </w:p>
        </w:tc>
        <w:tc>
          <w:tcPr>
            <w:tcW w:w="738" w:type="dxa"/>
            <w:tcBorders>
              <w:left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-26</w:t>
            </w:r>
          </w:p>
        </w:tc>
        <w:tc>
          <w:tcPr>
            <w:tcW w:w="740" w:type="dxa"/>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-20</w:t>
            </w:r>
          </w:p>
        </w:tc>
        <w:tc>
          <w:tcPr>
            <w:tcW w:w="738" w:type="dxa"/>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12</w:t>
            </w:r>
          </w:p>
        </w:tc>
        <w:tc>
          <w:tcPr>
            <w:tcW w:w="627" w:type="dxa"/>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-9</w:t>
            </w:r>
          </w:p>
        </w:tc>
        <w:tc>
          <w:tcPr>
            <w:tcW w:w="704" w:type="dxa"/>
            <w:shd w:val="clear" w:color="auto" w:fill="auto"/>
            <w:vAlign w:val="center"/>
          </w:tcPr>
          <w:p w:rsidR="00734B00" w:rsidRPr="00734B00" w:rsidRDefault="00734B00" w:rsidP="00734B00">
            <w:pPr>
              <w:spacing w:after="0" w:line="240" w:lineRule="auto"/>
              <w:jc w:val="right"/>
              <w:rPr>
                <w:rFonts w:ascii="Arial" w:eastAsia="Times New Roman" w:hAnsi="Arial" w:cs="Arial"/>
                <w:sz w:val="14"/>
                <w:szCs w:val="14"/>
                <w:lang w:val="fr-FR"/>
              </w:rPr>
            </w:pPr>
            <w:r w:rsidRPr="00734B00">
              <w:rPr>
                <w:rFonts w:ascii="Arial" w:eastAsia="Times New Roman" w:hAnsi="Arial" w:cs="Arial"/>
                <w:sz w:val="14"/>
                <w:szCs w:val="14"/>
                <w:lang w:val="fr-FR"/>
              </w:rPr>
              <w:t>2</w:t>
            </w:r>
          </w:p>
        </w:tc>
        <w:tc>
          <w:tcPr>
            <w:tcW w:w="679" w:type="dxa"/>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-8</w:t>
            </w:r>
          </w:p>
        </w:tc>
        <w:tc>
          <w:tcPr>
            <w:tcW w:w="753" w:type="dxa"/>
            <w:gridSpan w:val="2"/>
            <w:shd w:val="clear" w:color="auto" w:fill="DBE5F1" w:themeFill="accent1" w:themeFillTint="33"/>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6</w:t>
            </w:r>
          </w:p>
        </w:tc>
        <w:tc>
          <w:tcPr>
            <w:tcW w:w="558" w:type="dxa"/>
            <w:tcBorders>
              <w:right w:val="single" w:sz="8" w:space="0" w:color="1F497D" w:themeColor="text2"/>
            </w:tcBorders>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w:t>
            </w:r>
          </w:p>
        </w:tc>
        <w:tc>
          <w:tcPr>
            <w:tcW w:w="665" w:type="dxa"/>
            <w:gridSpan w:val="2"/>
            <w:tcBorders>
              <w:left w:val="single" w:sz="8" w:space="0" w:color="1F497D" w:themeColor="text2"/>
            </w:tcBorders>
            <w:shd w:val="clear" w:color="auto" w:fill="auto"/>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-34</w:t>
            </w:r>
          </w:p>
        </w:tc>
        <w:tc>
          <w:tcPr>
            <w:tcW w:w="672" w:type="dxa"/>
            <w:shd w:val="clear" w:color="auto" w:fill="DBE5F1" w:themeFill="accent1" w:themeFillTint="33"/>
            <w:vAlign w:val="center"/>
          </w:tcPr>
          <w:p w:rsidR="00734B00" w:rsidRPr="00734B00" w:rsidRDefault="00734B00" w:rsidP="00734B00">
            <w:pPr>
              <w:spacing w:after="0" w:line="240" w:lineRule="auto"/>
              <w:ind w:hanging="234"/>
              <w:jc w:val="right"/>
              <w:rPr>
                <w:rFonts w:ascii="Arial" w:eastAsia="Times New Roman" w:hAnsi="Arial"/>
                <w:bCs/>
                <w:snapToGrid w:val="0"/>
                <w:sz w:val="14"/>
                <w:szCs w:val="14"/>
                <w:lang w:val="fr-FR"/>
              </w:rPr>
            </w:pPr>
            <w:r w:rsidRPr="00734B00">
              <w:rPr>
                <w:rFonts w:ascii="Arial" w:eastAsia="Times New Roman" w:hAnsi="Arial"/>
                <w:bCs/>
                <w:snapToGrid w:val="0"/>
                <w:sz w:val="14"/>
                <w:szCs w:val="14"/>
                <w:lang w:val="fr-FR"/>
              </w:rPr>
              <w:t>0</w:t>
            </w:r>
          </w:p>
        </w:tc>
      </w:tr>
      <w:tr w:rsidR="00734B00" w:rsidRPr="00734B00" w:rsidTr="00734B00">
        <w:trPr>
          <w:trHeight w:val="227"/>
        </w:trPr>
        <w:tc>
          <w:tcPr>
            <w:tcW w:w="3594" w:type="dxa"/>
            <w:tcBorders>
              <w:right w:val="single" w:sz="8" w:space="0" w:color="FFFFFF" w:themeColor="background1"/>
            </w:tcBorders>
            <w:shd w:val="clear" w:color="auto" w:fill="365F91" w:themeFill="accent1" w:themeFillShade="BF"/>
            <w:vAlign w:val="center"/>
          </w:tcPr>
          <w:p w:rsidR="00734B00" w:rsidRPr="00734B00" w:rsidRDefault="00734B00" w:rsidP="00734B00">
            <w:pPr>
              <w:spacing w:after="0" w:line="240" w:lineRule="auto"/>
              <w:rPr>
                <w:rFonts w:ascii="Arial" w:eastAsia="Times New Roman" w:hAnsi="Arial"/>
                <w:bCs/>
                <w:snapToGrid w:val="0"/>
                <w:color w:val="FFFFFF" w:themeColor="background1"/>
                <w:sz w:val="14"/>
                <w:szCs w:val="14"/>
                <w:lang w:val="fr-FR"/>
              </w:rPr>
            </w:pPr>
            <w:r w:rsidRPr="00734B00">
              <w:rPr>
                <w:rFonts w:ascii="Arial" w:eastAsia="Times New Roman" w:hAnsi="Arial"/>
                <w:bCs/>
                <w:snapToGrid w:val="0"/>
                <w:color w:val="FFFFFF" w:themeColor="background1"/>
                <w:sz w:val="14"/>
                <w:szCs w:val="14"/>
                <w:lang w:val="fr-FR"/>
              </w:rPr>
              <w:t>Résultat net (IFRS)</w:t>
            </w:r>
          </w:p>
        </w:tc>
        <w:tc>
          <w:tcPr>
            <w:tcW w:w="738" w:type="dxa"/>
            <w:tcBorders>
              <w:left w:val="single" w:sz="8"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740"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738"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27"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704"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79"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753" w:type="dxa"/>
            <w:gridSpan w:val="2"/>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558" w:type="dxa"/>
            <w:tcBorders>
              <w:right w:val="single" w:sz="8"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65" w:type="dxa"/>
            <w:gridSpan w:val="2"/>
            <w:tcBorders>
              <w:left w:val="single" w:sz="8" w:space="0" w:color="FFFFFF" w:themeColor="background1"/>
            </w:tcBorders>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c>
          <w:tcPr>
            <w:tcW w:w="672" w:type="dxa"/>
            <w:shd w:val="clear" w:color="auto" w:fill="365F91" w:themeFill="accent1" w:themeFillShade="BF"/>
            <w:vAlign w:val="bottom"/>
          </w:tcPr>
          <w:p w:rsidR="00734B00" w:rsidRPr="00734B00" w:rsidRDefault="00734B00" w:rsidP="00734B00">
            <w:pPr>
              <w:spacing w:after="0" w:line="240" w:lineRule="auto"/>
              <w:jc w:val="right"/>
              <w:rPr>
                <w:rFonts w:ascii="Arial" w:eastAsia="Times New Roman" w:hAnsi="Arial"/>
                <w:bCs/>
                <w:snapToGrid w:val="0"/>
                <w:color w:val="FFFFFF" w:themeColor="background1"/>
                <w:sz w:val="14"/>
                <w:szCs w:val="14"/>
                <w:lang w:val="fr-FR"/>
              </w:rPr>
            </w:pPr>
          </w:p>
        </w:tc>
      </w:tr>
      <w:tr w:rsidR="00734B00" w:rsidRPr="00734B00" w:rsidTr="00734B00">
        <w:trPr>
          <w:trHeight w:val="227"/>
        </w:trPr>
        <w:tc>
          <w:tcPr>
            <w:tcW w:w="3594" w:type="dxa"/>
            <w:tcBorders>
              <w:bottom w:val="single" w:sz="8" w:space="0" w:color="1F497D" w:themeColor="text2"/>
              <w:right w:val="single" w:sz="8" w:space="0" w:color="1F497D" w:themeColor="text2"/>
            </w:tcBorders>
            <w:vAlign w:val="center"/>
          </w:tcPr>
          <w:p w:rsidR="00734B00" w:rsidRPr="00734B00" w:rsidRDefault="00734B00" w:rsidP="00734B00">
            <w:pPr>
              <w:spacing w:after="0" w:line="240" w:lineRule="auto"/>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Résultat après impôts, attribuable aux actionnaires de la société mère (IFRS)</w:t>
            </w:r>
          </w:p>
        </w:tc>
        <w:tc>
          <w:tcPr>
            <w:tcW w:w="738" w:type="dxa"/>
            <w:tcBorders>
              <w:left w:val="single" w:sz="8" w:space="0" w:color="1F497D" w:themeColor="text2"/>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520</w:t>
            </w:r>
          </w:p>
        </w:tc>
        <w:tc>
          <w:tcPr>
            <w:tcW w:w="740"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517</w:t>
            </w:r>
          </w:p>
        </w:tc>
        <w:tc>
          <w:tcPr>
            <w:tcW w:w="738" w:type="dxa"/>
            <w:tcBorders>
              <w:bottom w:val="single" w:sz="8" w:space="0" w:color="1F497D" w:themeColor="text2"/>
            </w:tcBorders>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272</w:t>
            </w:r>
          </w:p>
        </w:tc>
        <w:tc>
          <w:tcPr>
            <w:tcW w:w="627"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-294</w:t>
            </w:r>
          </w:p>
        </w:tc>
        <w:tc>
          <w:tcPr>
            <w:tcW w:w="704"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397</w:t>
            </w:r>
          </w:p>
        </w:tc>
        <w:tc>
          <w:tcPr>
            <w:tcW w:w="679" w:type="dxa"/>
            <w:tcBorders>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317</w:t>
            </w:r>
          </w:p>
        </w:tc>
        <w:tc>
          <w:tcPr>
            <w:tcW w:w="753" w:type="dxa"/>
            <w:gridSpan w:val="2"/>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591</w:t>
            </w:r>
          </w:p>
        </w:tc>
        <w:tc>
          <w:tcPr>
            <w:tcW w:w="558" w:type="dxa"/>
            <w:tcBorders>
              <w:bottom w:val="single" w:sz="8" w:space="0" w:color="1F497D" w:themeColor="text2"/>
              <w:right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w:t>
            </w:r>
          </w:p>
        </w:tc>
        <w:tc>
          <w:tcPr>
            <w:tcW w:w="665" w:type="dxa"/>
            <w:gridSpan w:val="2"/>
            <w:tcBorders>
              <w:left w:val="single" w:sz="8" w:space="0" w:color="1F497D" w:themeColor="text2"/>
              <w:bottom w:val="single" w:sz="8" w:space="0" w:color="1F497D" w:themeColor="text2"/>
            </w:tcBorders>
            <w:shd w:val="clear" w:color="auto" w:fill="auto"/>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1 309</w:t>
            </w:r>
          </w:p>
        </w:tc>
        <w:tc>
          <w:tcPr>
            <w:tcW w:w="672" w:type="dxa"/>
            <w:tcBorders>
              <w:bottom w:val="single" w:sz="8" w:space="0" w:color="1F497D" w:themeColor="text2"/>
            </w:tcBorders>
            <w:shd w:val="clear" w:color="auto" w:fill="DBE5F1" w:themeFill="accent1" w:themeFillTint="33"/>
            <w:vAlign w:val="center"/>
          </w:tcPr>
          <w:p w:rsidR="00734B00" w:rsidRPr="00734B00" w:rsidRDefault="00734B00" w:rsidP="00734B00">
            <w:pPr>
              <w:spacing w:after="0" w:line="240" w:lineRule="auto"/>
              <w:jc w:val="right"/>
              <w:rPr>
                <w:rFonts w:ascii="Arial" w:eastAsia="Times New Roman" w:hAnsi="Arial"/>
                <w:b/>
                <w:bCs/>
                <w:snapToGrid w:val="0"/>
                <w:sz w:val="14"/>
                <w:szCs w:val="14"/>
                <w:lang w:val="fr-FR"/>
              </w:rPr>
            </w:pPr>
            <w:r w:rsidRPr="00734B00">
              <w:rPr>
                <w:rFonts w:ascii="Arial" w:eastAsia="Times New Roman" w:hAnsi="Arial"/>
                <w:b/>
                <w:bCs/>
                <w:snapToGrid w:val="0"/>
                <w:sz w:val="14"/>
                <w:szCs w:val="14"/>
                <w:lang w:val="fr-FR"/>
              </w:rPr>
              <w:t>1 305</w:t>
            </w:r>
          </w:p>
        </w:tc>
      </w:tr>
    </w:tbl>
    <w:p w:rsidR="00734B00" w:rsidRPr="00734B00" w:rsidRDefault="00734B00" w:rsidP="00734B00">
      <w:pPr>
        <w:autoSpaceDE w:val="0"/>
        <w:autoSpaceDN w:val="0"/>
        <w:adjustRightInd w:val="0"/>
        <w:spacing w:after="120" w:line="240" w:lineRule="auto"/>
        <w:ind w:left="992" w:right="6"/>
        <w:jc w:val="both"/>
        <w:rPr>
          <w:rFonts w:cs="Arial"/>
          <w:bCs/>
          <w:color w:val="003768"/>
          <w:sz w:val="16"/>
          <w:szCs w:val="16"/>
          <w:lang w:val="fr-FR"/>
        </w:rPr>
      </w:pPr>
      <w:r w:rsidRPr="00734B00">
        <w:rPr>
          <w:rFonts w:cs="Arial"/>
          <w:bCs/>
          <w:color w:val="003768"/>
          <w:sz w:val="16"/>
          <w:szCs w:val="16"/>
          <w:lang w:val="fr-FR"/>
        </w:rPr>
        <w:t>Les chiffres de référence 2013 ont été légèrement ajustés par suite de l'application de la nouvelle norme IFRS 11. Cette norme stipule que les joint-ventures doivent être comptabilisées selon la méthode de mise en équivalence au lieu de la méthode de consolidation proportionnelle. Pour KBC, cela s'applique à ČMSS, une joint-venture de ČSOB en République tchèque. Ce changement n'a aucune incidence sur le résultat net, mais influence divers éléments du compte de résultat consolidé.</w:t>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ascii="Rockwell" w:hAnsi="Rockwell" w:cs="Arial"/>
          <w:b/>
          <w:bCs/>
          <w:color w:val="003366"/>
          <w:sz w:val="28"/>
          <w:szCs w:val="28"/>
        </w:rPr>
      </w:pPr>
      <w:r w:rsidRPr="00734B00">
        <w:rPr>
          <w:rFonts w:ascii="Rockwell" w:hAnsi="Rockwell" w:cs="Arial"/>
          <w:b/>
          <w:bCs/>
          <w:color w:val="003366"/>
          <w:sz w:val="28"/>
          <w:szCs w:val="28"/>
        </w:rPr>
        <w:t>Analyse du trimestre sous revue (3Tr2014)</w:t>
      </w:r>
    </w:p>
    <w:p w:rsidR="00734B00" w:rsidRPr="00E8411D" w:rsidRDefault="00E8411D" w:rsidP="00734B00">
      <w:pPr>
        <w:autoSpaceDE w:val="0"/>
        <w:autoSpaceDN w:val="0"/>
        <w:adjustRightInd w:val="0"/>
        <w:spacing w:after="120" w:line="240" w:lineRule="auto"/>
        <w:ind w:left="992" w:right="6"/>
        <w:jc w:val="both"/>
        <w:rPr>
          <w:rFonts w:cs="Arial"/>
          <w:bCs/>
          <w:noProof/>
          <w:color w:val="003768"/>
          <w:lang w:val="fr-FR" w:eastAsia="nl-BE"/>
        </w:rPr>
      </w:pPr>
      <w:r w:rsidRPr="00E8411D">
        <w:rPr>
          <w:rFonts w:cs="Arial"/>
          <w:bCs/>
          <w:color w:val="003768"/>
          <w:sz w:val="16"/>
          <w:szCs w:val="16"/>
          <w:lang w:val="fr-FR"/>
        </w:rPr>
        <w:t xml:space="preserve">             Résultat net ajusté (en millions d'EUR)  </w:t>
      </w:r>
      <w:r>
        <w:rPr>
          <w:rFonts w:cs="Arial"/>
          <w:bCs/>
          <w:color w:val="003768"/>
          <w:sz w:val="16"/>
          <w:szCs w:val="16"/>
          <w:lang w:val="fr-FR"/>
        </w:rPr>
        <w:tab/>
      </w:r>
      <w:r>
        <w:rPr>
          <w:rFonts w:cs="Arial"/>
          <w:bCs/>
          <w:color w:val="003768"/>
          <w:sz w:val="16"/>
          <w:szCs w:val="16"/>
          <w:lang w:val="fr-FR"/>
        </w:rPr>
        <w:tab/>
      </w:r>
      <w:r>
        <w:rPr>
          <w:rFonts w:cs="Arial"/>
          <w:bCs/>
          <w:color w:val="003768"/>
          <w:sz w:val="16"/>
          <w:szCs w:val="16"/>
          <w:lang w:val="fr-FR"/>
        </w:rPr>
        <w:tab/>
        <w:t xml:space="preserve">   </w:t>
      </w:r>
      <w:r w:rsidRPr="00E8411D">
        <w:rPr>
          <w:rFonts w:cs="Arial"/>
          <w:bCs/>
          <w:color w:val="003768"/>
          <w:sz w:val="16"/>
          <w:szCs w:val="16"/>
          <w:lang w:val="fr-FR"/>
        </w:rPr>
        <w:t>Résultat net ajusté par division, 3Tr2014 (en millions d'EUR)</w:t>
      </w:r>
    </w:p>
    <w:p w:rsidR="00734B00" w:rsidRPr="00734B00" w:rsidRDefault="00E8411D" w:rsidP="00734B00">
      <w:pPr>
        <w:autoSpaceDE w:val="0"/>
        <w:autoSpaceDN w:val="0"/>
        <w:adjustRightInd w:val="0"/>
        <w:spacing w:after="120" w:line="240" w:lineRule="auto"/>
        <w:ind w:left="992" w:right="6"/>
        <w:jc w:val="both"/>
        <w:rPr>
          <w:rFonts w:cs="Arial"/>
          <w:bCs/>
          <w:color w:val="003768"/>
          <w:lang w:val="fr-FR"/>
        </w:rPr>
      </w:pPr>
      <w:r>
        <w:rPr>
          <w:rFonts w:cs="Arial"/>
          <w:bCs/>
          <w:noProof/>
          <w:color w:val="003768"/>
          <w:lang w:val="nl-BE" w:eastAsia="nl-BE"/>
        </w:rPr>
        <w:drawing>
          <wp:anchor distT="0" distB="0" distL="114300" distR="114300" simplePos="0" relativeHeight="251661824" behindDoc="0" locked="0" layoutInCell="1" allowOverlap="1" wp14:anchorId="3735544F" wp14:editId="13F03BF6">
            <wp:simplePos x="0" y="0"/>
            <wp:positionH relativeFrom="column">
              <wp:posOffset>3502025</wp:posOffset>
            </wp:positionH>
            <wp:positionV relativeFrom="paragraph">
              <wp:posOffset>69215</wp:posOffset>
            </wp:positionV>
            <wp:extent cx="3114675" cy="2335530"/>
            <wp:effectExtent l="0" t="0" r="9525" b="762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en fra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4675" cy="2335530"/>
                    </a:xfrm>
                    <a:prstGeom prst="rect">
                      <a:avLst/>
                    </a:prstGeom>
                  </pic:spPr>
                </pic:pic>
              </a:graphicData>
            </a:graphic>
            <wp14:sizeRelH relativeFrom="page">
              <wp14:pctWidth>0</wp14:pctWidth>
            </wp14:sizeRelH>
            <wp14:sizeRelV relativeFrom="page">
              <wp14:pctHeight>0</wp14:pctHeight>
            </wp14:sizeRelV>
          </wp:anchor>
        </w:drawing>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E8411D" w:rsidP="00734B00">
      <w:pPr>
        <w:autoSpaceDE w:val="0"/>
        <w:autoSpaceDN w:val="0"/>
        <w:adjustRightInd w:val="0"/>
        <w:spacing w:after="120" w:line="240" w:lineRule="auto"/>
        <w:ind w:left="992" w:right="6"/>
        <w:jc w:val="both"/>
        <w:rPr>
          <w:rFonts w:cs="Arial"/>
          <w:bCs/>
          <w:color w:val="003768"/>
          <w:lang w:val="fr-FR"/>
        </w:rPr>
      </w:pPr>
      <w:r>
        <w:rPr>
          <w:rFonts w:cs="Arial"/>
          <w:bCs/>
          <w:noProof/>
          <w:color w:val="003768"/>
          <w:lang w:val="nl-BE" w:eastAsia="nl-BE"/>
        </w:rPr>
        <w:drawing>
          <wp:anchor distT="0" distB="0" distL="114300" distR="114300" simplePos="0" relativeHeight="251662848" behindDoc="0" locked="0" layoutInCell="1" allowOverlap="1" wp14:anchorId="5EB7A651" wp14:editId="46745AB3">
            <wp:simplePos x="0" y="0"/>
            <wp:positionH relativeFrom="column">
              <wp:posOffset>826770</wp:posOffset>
            </wp:positionH>
            <wp:positionV relativeFrom="paragraph">
              <wp:posOffset>121285</wp:posOffset>
            </wp:positionV>
            <wp:extent cx="2679700" cy="2009775"/>
            <wp:effectExtent l="0" t="0" r="635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0" cy="2009775"/>
                    </a:xfrm>
                    <a:prstGeom prst="rect">
                      <a:avLst/>
                    </a:prstGeom>
                    <a:noFill/>
                  </pic:spPr>
                </pic:pic>
              </a:graphicData>
            </a:graphic>
            <wp14:sizeRelH relativeFrom="page">
              <wp14:pctWidth>0</wp14:pctWidth>
            </wp14:sizeRelH>
            <wp14:sizeRelV relativeFrom="page">
              <wp14:pctHeight>0</wp14:pctHeight>
            </wp14:sizeRelV>
          </wp:anchor>
        </w:drawing>
      </w: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Pr="00734B00" w:rsidRDefault="00734B00" w:rsidP="00734B00">
      <w:pPr>
        <w:autoSpaceDE w:val="0"/>
        <w:autoSpaceDN w:val="0"/>
        <w:adjustRightInd w:val="0"/>
        <w:spacing w:after="120" w:line="240" w:lineRule="auto"/>
        <w:ind w:left="992" w:right="6"/>
        <w:jc w:val="both"/>
        <w:rPr>
          <w:rFonts w:cs="Arial"/>
          <w:bCs/>
          <w:color w:val="003768"/>
          <w:lang w:val="fr-FR"/>
        </w:rPr>
      </w:pPr>
    </w:p>
    <w:p w:rsidR="00734B00" w:rsidRDefault="00734B00" w:rsidP="00734B00">
      <w:pPr>
        <w:autoSpaceDE w:val="0"/>
        <w:autoSpaceDN w:val="0"/>
        <w:adjustRightInd w:val="0"/>
        <w:spacing w:after="120" w:line="240" w:lineRule="auto"/>
        <w:ind w:left="992" w:right="6"/>
        <w:jc w:val="both"/>
        <w:rPr>
          <w:rFonts w:cs="Arial"/>
          <w:bCs/>
          <w:color w:val="003768"/>
          <w:lang w:val="fr-FR"/>
        </w:rPr>
      </w:pPr>
    </w:p>
    <w:p w:rsidR="00E8411D" w:rsidRDefault="00E8411D" w:rsidP="00734B00">
      <w:pPr>
        <w:autoSpaceDE w:val="0"/>
        <w:autoSpaceDN w:val="0"/>
        <w:adjustRightInd w:val="0"/>
        <w:spacing w:after="120" w:line="240" w:lineRule="auto"/>
        <w:ind w:left="992" w:right="6"/>
        <w:jc w:val="both"/>
        <w:rPr>
          <w:rFonts w:cs="Arial"/>
          <w:bCs/>
          <w:color w:val="003768"/>
          <w:lang w:val="fr-FR"/>
        </w:rPr>
      </w:pPr>
    </w:p>
    <w:p w:rsidR="00E8411D" w:rsidRDefault="00E8411D" w:rsidP="00734B00">
      <w:pPr>
        <w:autoSpaceDE w:val="0"/>
        <w:autoSpaceDN w:val="0"/>
        <w:adjustRightInd w:val="0"/>
        <w:spacing w:after="120" w:line="240" w:lineRule="auto"/>
        <w:ind w:left="992" w:right="6"/>
        <w:jc w:val="both"/>
        <w:rPr>
          <w:rFonts w:cs="Arial"/>
          <w:bCs/>
          <w:color w:val="003768"/>
          <w:lang w:val="fr-FR"/>
        </w:rPr>
      </w:pPr>
    </w:p>
    <w:p w:rsidR="00E8411D" w:rsidRDefault="00E8411D" w:rsidP="00734B00">
      <w:pPr>
        <w:autoSpaceDE w:val="0"/>
        <w:autoSpaceDN w:val="0"/>
        <w:adjustRightInd w:val="0"/>
        <w:spacing w:after="120" w:line="240" w:lineRule="auto"/>
        <w:ind w:left="992" w:right="6"/>
        <w:jc w:val="both"/>
        <w:rPr>
          <w:rFonts w:cs="Arial"/>
          <w:bCs/>
          <w:color w:val="003768"/>
          <w:lang w:val="fr-FR"/>
        </w:rPr>
      </w:pPr>
    </w:p>
    <w:p w:rsidR="00E8411D" w:rsidRPr="00E8411D" w:rsidRDefault="00E8411D" w:rsidP="00734B00">
      <w:pPr>
        <w:autoSpaceDE w:val="0"/>
        <w:autoSpaceDN w:val="0"/>
        <w:adjustRightInd w:val="0"/>
        <w:spacing w:after="120" w:line="240" w:lineRule="auto"/>
        <w:ind w:left="992" w:right="6"/>
        <w:jc w:val="both"/>
        <w:rPr>
          <w:rFonts w:cs="Arial"/>
          <w:b/>
          <w:bCs/>
          <w:color w:val="003768"/>
          <w:lang w:val="fr-FR"/>
        </w:rPr>
      </w:pPr>
    </w:p>
    <w:p w:rsidR="00E8411D" w:rsidRPr="00E8411D" w:rsidRDefault="00E8411D" w:rsidP="00734B00">
      <w:pPr>
        <w:autoSpaceDE w:val="0"/>
        <w:autoSpaceDN w:val="0"/>
        <w:adjustRightInd w:val="0"/>
        <w:spacing w:after="120" w:line="240" w:lineRule="auto"/>
        <w:ind w:left="992" w:right="6"/>
        <w:jc w:val="both"/>
        <w:rPr>
          <w:rFonts w:cs="Arial"/>
          <w:b/>
          <w:bCs/>
          <w:color w:val="003768"/>
          <w:lang w:val="fr-FR"/>
        </w:rPr>
      </w:pPr>
      <w:r w:rsidRPr="00E8411D">
        <w:rPr>
          <w:rFonts w:cs="Arial"/>
          <w:b/>
          <w:bCs/>
          <w:color w:val="003768"/>
          <w:lang w:val="fr-FR"/>
        </w:rPr>
        <w:t xml:space="preserve">Le résultat net du trimestre sous revue s'inscrit à 591 millions d’euros. Abstraction faite des activités </w:t>
      </w:r>
      <w:proofErr w:type="spellStart"/>
      <w:r w:rsidRPr="00E8411D">
        <w:rPr>
          <w:rFonts w:cs="Arial"/>
          <w:b/>
          <w:bCs/>
          <w:color w:val="003768"/>
          <w:lang w:val="fr-FR"/>
        </w:rPr>
        <w:t>legacy</w:t>
      </w:r>
      <w:proofErr w:type="spellEnd"/>
      <w:r w:rsidRPr="00E8411D">
        <w:rPr>
          <w:rFonts w:cs="Arial"/>
          <w:b/>
          <w:bCs/>
          <w:color w:val="003768"/>
          <w:lang w:val="fr-FR"/>
        </w:rPr>
        <w:t xml:space="preserve"> et de l’incidence du risque de crédit propre, le résultat net ajusté s’élève à 477 millions d’euros, contre 287 millions d'euros au 2e trimestre 2014 et 457 millions d'euros au 3e trimestre 2013.</w:t>
      </w:r>
    </w:p>
    <w:p w:rsidR="00734B00" w:rsidRDefault="00734B00" w:rsidP="00734B00">
      <w:pPr>
        <w:autoSpaceDE w:val="0"/>
        <w:autoSpaceDN w:val="0"/>
        <w:adjustRightInd w:val="0"/>
        <w:spacing w:after="120" w:line="240" w:lineRule="auto"/>
        <w:ind w:left="992" w:right="6"/>
        <w:jc w:val="both"/>
        <w:rPr>
          <w:rFonts w:cs="Arial"/>
          <w:bCs/>
          <w:color w:val="003768"/>
          <w:lang w:val="fr-FR"/>
        </w:rPr>
      </w:pPr>
    </w:p>
    <w:p w:rsidR="00E8411D" w:rsidRPr="00E8411D" w:rsidRDefault="00E8411D" w:rsidP="00734B00">
      <w:pPr>
        <w:autoSpaceDE w:val="0"/>
        <w:autoSpaceDN w:val="0"/>
        <w:adjustRightInd w:val="0"/>
        <w:spacing w:after="120" w:line="240" w:lineRule="auto"/>
        <w:ind w:left="992" w:right="6"/>
        <w:jc w:val="both"/>
        <w:rPr>
          <w:rFonts w:cs="Arial"/>
          <w:b/>
          <w:bCs/>
          <w:color w:val="003768"/>
          <w:lang w:val="fr-FR"/>
        </w:rPr>
      </w:pPr>
      <w:r w:rsidRPr="00E8411D">
        <w:rPr>
          <w:rFonts w:cs="Arial"/>
          <w:b/>
          <w:bCs/>
          <w:color w:val="003768"/>
          <w:lang w:val="fr-FR"/>
        </w:rPr>
        <w:t>Total des produits (résultat net ajusté)</w:t>
      </w:r>
    </w:p>
    <w:p w:rsidR="00E8411D" w:rsidRPr="00E8411D" w:rsidRDefault="00E8411D" w:rsidP="00E8411D">
      <w:pPr>
        <w:pStyle w:val="ListParagraph"/>
        <w:numPr>
          <w:ilvl w:val="0"/>
          <w:numId w:val="2"/>
        </w:numPr>
        <w:autoSpaceDE w:val="0"/>
        <w:autoSpaceDN w:val="0"/>
        <w:adjustRightInd w:val="0"/>
        <w:spacing w:after="120" w:line="240" w:lineRule="auto"/>
        <w:ind w:right="6" w:hanging="448"/>
        <w:contextualSpacing w:val="0"/>
        <w:jc w:val="both"/>
        <w:rPr>
          <w:rFonts w:cs="Arial"/>
          <w:bCs/>
          <w:color w:val="003768"/>
          <w:lang w:val="fr-FR"/>
        </w:rPr>
      </w:pPr>
      <w:r w:rsidRPr="00E8411D">
        <w:rPr>
          <w:rFonts w:cs="Arial"/>
          <w:bCs/>
          <w:color w:val="003768"/>
          <w:lang w:val="fr-FR"/>
        </w:rPr>
        <w:t>Les revenus nets d’intérêts s’établissent à 1 109 millions d’euros, en hausse de 6% en rythme trimestriel et de 11% en rythme annuel. La marge d'intérêts nette s'inscrit à 2,15% pour le trimestre sous revue, en hausse de 10 points de base par rapport au niveau du trimestre précédent et de</w:t>
      </w:r>
      <w:r w:rsidR="003E2730">
        <w:rPr>
          <w:rFonts w:cs="Arial"/>
          <w:bCs/>
          <w:color w:val="003768"/>
          <w:lang w:val="fr-FR"/>
        </w:rPr>
        <w:t xml:space="preserve"> </w:t>
      </w:r>
      <w:r w:rsidR="003E2730">
        <w:rPr>
          <w:rFonts w:cs="Arial"/>
          <w:bCs/>
          <w:color w:val="003768"/>
          <w:lang w:val="fr-FR"/>
        </w:rPr>
        <w:br/>
      </w:r>
      <w:r w:rsidRPr="00E8411D">
        <w:rPr>
          <w:rFonts w:cs="Arial"/>
          <w:bCs/>
          <w:color w:val="003768"/>
          <w:lang w:val="fr-FR"/>
        </w:rPr>
        <w:t xml:space="preserve">26 points de base par rapport au niveau (recalculé) du trimestre correspondant de l'année dernière. Cette progression s'explique essentiellement par des marges commerciales saines, une baisse des coûts de financement et une hausse des commissions de remboursement. Le volume des dépôts se gonfle de 1% en rythme trimestriel, mais se contracte de 1% en rythme annuel (sous l'effet de l'arrivée à échéance de dettes </w:t>
      </w:r>
      <w:proofErr w:type="spellStart"/>
      <w:r w:rsidRPr="00565993">
        <w:rPr>
          <w:rFonts w:cs="Arial"/>
          <w:bCs/>
          <w:i/>
          <w:color w:val="003768"/>
          <w:lang w:val="fr-FR"/>
        </w:rPr>
        <w:t>wholesale</w:t>
      </w:r>
      <w:proofErr w:type="spellEnd"/>
      <w:r w:rsidRPr="00E8411D">
        <w:rPr>
          <w:rFonts w:cs="Arial"/>
          <w:bCs/>
          <w:color w:val="003768"/>
          <w:lang w:val="fr-FR"/>
        </w:rPr>
        <w:t>). Le volume d'octroi de crédits augmente de 1% tant en rythme trimestriel qu'en rythme annuel. Dans la division Belgique, le portefeuille de crédits se gonfle de 1% en rythme trimestriel et de 2% en rythme annuel. Dans la même division, les dépôts croissent de 3% en rythme trimestriel et de 4% en rythme annuel. En République tchèque, le portefeuille de crédits progresse de 6% en rythme annuel et de 2% en rythme trimestriel, tandis que les dépôts augmentent de 8% d’une année à l’autre et de 1% d’un trimestre à l’autre. Le portefeuille de crédits de la division Marchés internationaux régresse de 6% en rythme annuel (la contraction du portefeuille de crédits irlandais épongeant la forte progression en Bulgarie et en Slovaquie) et reste plus ou moins stable en rythme trimestriel. Sa base de dépôts s'accroît de 1% en rythme annuel (tirée principalement par l'Irlande où une campagne axée sur les particuliers rencontre un vif succès) et de 2% en rythme trimestriel.</w:t>
      </w:r>
    </w:p>
    <w:p w:rsidR="00E8411D" w:rsidRPr="00E8411D" w:rsidRDefault="00E8411D" w:rsidP="00E8411D">
      <w:pPr>
        <w:pStyle w:val="ListParagraph"/>
        <w:numPr>
          <w:ilvl w:val="0"/>
          <w:numId w:val="2"/>
        </w:numPr>
        <w:autoSpaceDE w:val="0"/>
        <w:autoSpaceDN w:val="0"/>
        <w:adjustRightInd w:val="0"/>
        <w:spacing w:after="120" w:line="240" w:lineRule="auto"/>
        <w:ind w:right="6" w:hanging="448"/>
        <w:contextualSpacing w:val="0"/>
        <w:jc w:val="both"/>
        <w:rPr>
          <w:rFonts w:cs="Arial"/>
          <w:bCs/>
          <w:color w:val="003768"/>
          <w:lang w:val="fr-FR"/>
        </w:rPr>
      </w:pPr>
      <w:r w:rsidRPr="00E8411D">
        <w:rPr>
          <w:rFonts w:cs="Arial"/>
          <w:bCs/>
          <w:color w:val="003768"/>
          <w:lang w:val="fr-FR"/>
        </w:rPr>
        <w:t xml:space="preserve">Les activités d'assurance vie et non-vie ont dégagé les résultats suivants pendant le trimestre sous revue. Les primes brutes acquises moins les charges techniques brutes et le résultat de la réassurance cédée s'établissent à 86 millions d'euros, en hausse de 32% en rythme trimestriel et de 4% en rythme annuel. </w:t>
      </w:r>
    </w:p>
    <w:p w:rsidR="00E8411D" w:rsidRPr="00E8411D" w:rsidRDefault="00E8411D" w:rsidP="00E8411D">
      <w:pPr>
        <w:pStyle w:val="ListParagraph"/>
        <w:autoSpaceDE w:val="0"/>
        <w:autoSpaceDN w:val="0"/>
        <w:adjustRightInd w:val="0"/>
        <w:spacing w:after="120" w:line="240" w:lineRule="auto"/>
        <w:ind w:left="1442" w:right="6"/>
        <w:contextualSpacing w:val="0"/>
        <w:jc w:val="both"/>
        <w:rPr>
          <w:rFonts w:cs="Arial"/>
          <w:bCs/>
          <w:color w:val="003768"/>
          <w:lang w:val="fr-FR"/>
        </w:rPr>
      </w:pPr>
      <w:r w:rsidRPr="00E8411D">
        <w:rPr>
          <w:rFonts w:cs="Arial"/>
          <w:bCs/>
          <w:color w:val="003768"/>
          <w:lang w:val="fr-FR"/>
        </w:rPr>
        <w:t>Dans la branche non-vie, les primes progressent de 2% en rythme trimestriel et stagnent en rythme annuel. Au troisième trimestre, les demandes d'indemnisation sont en net recul (-14%) par rapport au trimestre précédent (en raison des tempêtes de grêle en Belgique au 2e trimestre 2014), mais augmentent légèrement (4%) par rapport à leur niveau du troisième trimestre 2013. Néanmoins, le ratio combiné atteint 93% (</w:t>
      </w:r>
      <w:proofErr w:type="spellStart"/>
      <w:r w:rsidRPr="00E8411D">
        <w:rPr>
          <w:rFonts w:cs="Arial"/>
          <w:bCs/>
          <w:color w:val="003768"/>
          <w:lang w:val="fr-FR"/>
        </w:rPr>
        <w:t>year</w:t>
      </w:r>
      <w:proofErr w:type="spellEnd"/>
      <w:r w:rsidRPr="00E8411D">
        <w:rPr>
          <w:rFonts w:cs="Arial"/>
          <w:bCs/>
          <w:color w:val="003768"/>
          <w:lang w:val="fr-FR"/>
        </w:rPr>
        <w:t xml:space="preserve">-to-date). </w:t>
      </w:r>
    </w:p>
    <w:p w:rsidR="008F3197" w:rsidRDefault="008F3197" w:rsidP="00E8411D">
      <w:pPr>
        <w:pStyle w:val="ListParagraph"/>
        <w:autoSpaceDE w:val="0"/>
        <w:autoSpaceDN w:val="0"/>
        <w:adjustRightInd w:val="0"/>
        <w:spacing w:after="120" w:line="240" w:lineRule="auto"/>
        <w:ind w:left="1442" w:right="6"/>
        <w:contextualSpacing w:val="0"/>
        <w:jc w:val="both"/>
        <w:rPr>
          <w:rFonts w:cs="Arial"/>
          <w:bCs/>
          <w:color w:val="003768"/>
          <w:lang w:val="fr-FR"/>
        </w:rPr>
      </w:pPr>
    </w:p>
    <w:p w:rsidR="008F3197" w:rsidRDefault="008F3197" w:rsidP="00E8411D">
      <w:pPr>
        <w:pStyle w:val="ListParagraph"/>
        <w:autoSpaceDE w:val="0"/>
        <w:autoSpaceDN w:val="0"/>
        <w:adjustRightInd w:val="0"/>
        <w:spacing w:after="120" w:line="240" w:lineRule="auto"/>
        <w:ind w:left="1442" w:right="6"/>
        <w:contextualSpacing w:val="0"/>
        <w:jc w:val="both"/>
        <w:rPr>
          <w:rFonts w:cs="Arial"/>
          <w:bCs/>
          <w:color w:val="003768"/>
          <w:lang w:val="fr-FR"/>
        </w:rPr>
      </w:pPr>
    </w:p>
    <w:p w:rsidR="00E8411D" w:rsidRPr="00E8411D" w:rsidRDefault="00E8411D" w:rsidP="00E8411D">
      <w:pPr>
        <w:pStyle w:val="ListParagraph"/>
        <w:autoSpaceDE w:val="0"/>
        <w:autoSpaceDN w:val="0"/>
        <w:adjustRightInd w:val="0"/>
        <w:spacing w:after="120" w:line="240" w:lineRule="auto"/>
        <w:ind w:left="1442" w:right="6"/>
        <w:contextualSpacing w:val="0"/>
        <w:jc w:val="both"/>
        <w:rPr>
          <w:rFonts w:cs="Arial"/>
          <w:bCs/>
          <w:color w:val="003768"/>
          <w:lang w:val="fr-FR"/>
        </w:rPr>
      </w:pPr>
      <w:r w:rsidRPr="00E8411D">
        <w:rPr>
          <w:rFonts w:cs="Arial"/>
          <w:bCs/>
          <w:color w:val="003768"/>
          <w:lang w:val="fr-FR"/>
        </w:rPr>
        <w:t xml:space="preserve">Dans la branche vie, on observe une hausse de 12% des ventes de produits d'assurance vie (y compris les produits de la branche 23 non inclus dans les recettes de primes) par rapport au 2e trimestre 2014, grâce à la progression des produits de la branche 23. En rythme annuel, elles se gonflent de 50% à la faveur de l'augmentation des ventes de produits à taux d'intérêt garanti et de produits de la branche 23. </w:t>
      </w:r>
    </w:p>
    <w:p w:rsidR="00E8411D" w:rsidRPr="00E8411D" w:rsidRDefault="00E8411D" w:rsidP="00E8411D">
      <w:pPr>
        <w:pStyle w:val="ListParagraph"/>
        <w:autoSpaceDE w:val="0"/>
        <w:autoSpaceDN w:val="0"/>
        <w:adjustRightInd w:val="0"/>
        <w:spacing w:after="120" w:line="240" w:lineRule="auto"/>
        <w:ind w:left="1442" w:right="6"/>
        <w:contextualSpacing w:val="0"/>
        <w:jc w:val="both"/>
        <w:rPr>
          <w:rFonts w:cs="Arial"/>
          <w:bCs/>
          <w:color w:val="003768"/>
          <w:lang w:val="fr-FR"/>
        </w:rPr>
      </w:pPr>
      <w:r w:rsidRPr="00E8411D">
        <w:rPr>
          <w:rFonts w:cs="Arial"/>
          <w:bCs/>
          <w:color w:val="003768"/>
          <w:lang w:val="fr-FR"/>
        </w:rPr>
        <w:t xml:space="preserve">Il est à noter que le troisième trimestre a été satisfaisant en termes de revenus d'investissements liés aux activités d'assurance malgré un repli par rapport au trimestre précédent : les résultats en rythme trimestriel sont dopés par la hausse des revenus nets d'intérêts en rythme trimestriel, mais sont rabotés par une contraction des revenus de dividendes après un robuste deuxième trimestre, influencé par des facteurs saisonniers, et par un tassement des bénéfices sur actifs disponibles à la vente dans le portefeuille d'investissements. Enfin, le résultat technico-financier a lui aussi bénéficié de la bonne maîtrise des frais administratifs généraux. </w:t>
      </w:r>
    </w:p>
    <w:p w:rsidR="00E8411D" w:rsidRPr="00E8411D" w:rsidRDefault="00E8411D" w:rsidP="00E8411D">
      <w:pPr>
        <w:pStyle w:val="ListParagraph"/>
        <w:numPr>
          <w:ilvl w:val="0"/>
          <w:numId w:val="4"/>
        </w:numPr>
        <w:autoSpaceDE w:val="0"/>
        <w:autoSpaceDN w:val="0"/>
        <w:adjustRightInd w:val="0"/>
        <w:spacing w:after="120" w:line="240" w:lineRule="auto"/>
        <w:ind w:right="6" w:hanging="448"/>
        <w:contextualSpacing w:val="0"/>
        <w:jc w:val="both"/>
        <w:rPr>
          <w:rFonts w:cs="Arial"/>
          <w:bCs/>
          <w:color w:val="003768"/>
          <w:lang w:val="fr-FR"/>
        </w:rPr>
      </w:pPr>
      <w:r w:rsidRPr="00E8411D">
        <w:rPr>
          <w:rFonts w:cs="Arial"/>
          <w:bCs/>
          <w:color w:val="003768"/>
          <w:lang w:val="fr-FR"/>
        </w:rPr>
        <w:t xml:space="preserve">Le résultat net des instruments financiers à la juste valeur atteint 49 millions d'euros pour le trimestre sous revue, s'inscrivant nettement en-dessous de la moyenne de 90 millions d'euros des quatre trimestres précédents. Ce chiffre s'explique par les modestes revenus générés par la salle des marchés au 3e trimestre 2014 et a été marqué par une baisse des valorisations </w:t>
      </w:r>
      <w:proofErr w:type="spellStart"/>
      <w:r w:rsidRPr="00E8411D">
        <w:rPr>
          <w:rFonts w:cs="Arial"/>
          <w:bCs/>
          <w:color w:val="003768"/>
          <w:lang w:val="fr-FR"/>
        </w:rPr>
        <w:t>marked</w:t>
      </w:r>
      <w:proofErr w:type="spellEnd"/>
      <w:r w:rsidRPr="00E8411D">
        <w:rPr>
          <w:rFonts w:cs="Arial"/>
          <w:bCs/>
          <w:color w:val="003768"/>
          <w:lang w:val="fr-FR"/>
        </w:rPr>
        <w:t>-to-</w:t>
      </w:r>
      <w:proofErr w:type="spellStart"/>
      <w:r w:rsidRPr="00E8411D">
        <w:rPr>
          <w:rFonts w:cs="Arial"/>
          <w:bCs/>
          <w:color w:val="003768"/>
          <w:lang w:val="fr-FR"/>
        </w:rPr>
        <w:t>market</w:t>
      </w:r>
      <w:proofErr w:type="spellEnd"/>
      <w:r w:rsidRPr="00E8411D">
        <w:rPr>
          <w:rFonts w:cs="Arial"/>
          <w:bCs/>
          <w:color w:val="003768"/>
          <w:lang w:val="fr-FR"/>
        </w:rPr>
        <w:t xml:space="preserve"> négatives d'instruments dérivés utilisés à des fins de gestion de l'actif et du passif (ALM). Ces valorisations se montent à -46 millions d'euros au troisième trimestre, contre une moyenne trimestrielle de</w:t>
      </w:r>
      <w:r w:rsidR="003E2730">
        <w:rPr>
          <w:rFonts w:cs="Arial"/>
          <w:bCs/>
          <w:color w:val="003768"/>
          <w:lang w:val="fr-FR"/>
        </w:rPr>
        <w:br/>
      </w:r>
      <w:r w:rsidRPr="00E8411D">
        <w:rPr>
          <w:rFonts w:cs="Arial"/>
          <w:bCs/>
          <w:color w:val="003768"/>
          <w:lang w:val="fr-FR"/>
        </w:rPr>
        <w:t>+70 millions d'euros en 2013 et -57 millions d'euros au deuxième trimestre.</w:t>
      </w:r>
    </w:p>
    <w:p w:rsidR="00E8411D" w:rsidRPr="00E8411D" w:rsidRDefault="00E8411D" w:rsidP="00E8411D">
      <w:pPr>
        <w:pStyle w:val="ListParagraph"/>
        <w:numPr>
          <w:ilvl w:val="0"/>
          <w:numId w:val="4"/>
        </w:numPr>
        <w:autoSpaceDE w:val="0"/>
        <w:autoSpaceDN w:val="0"/>
        <w:adjustRightInd w:val="0"/>
        <w:spacing w:after="120" w:line="240" w:lineRule="auto"/>
        <w:ind w:right="6" w:hanging="448"/>
        <w:contextualSpacing w:val="0"/>
        <w:jc w:val="both"/>
        <w:rPr>
          <w:rFonts w:cs="Arial"/>
          <w:bCs/>
          <w:color w:val="003768"/>
          <w:lang w:val="fr-FR"/>
        </w:rPr>
      </w:pPr>
      <w:r w:rsidRPr="00E8411D">
        <w:rPr>
          <w:rFonts w:cs="Arial"/>
          <w:bCs/>
          <w:color w:val="003768"/>
          <w:lang w:val="fr-FR"/>
        </w:rPr>
        <w:t>Les plus-values nettes réalisées sur des actifs disponibles à la vente s'inscrivent à 27 millions d'euros pour le trimestre sous revue, en recul par rapport à la moyenne de 43 millions d'euros des quatre trimestres précédents et au trimestre précédent. Ces bénéfices ont été réalisés tant sur la vente d'actions que d'obligations.</w:t>
      </w:r>
    </w:p>
    <w:p w:rsidR="00E8411D" w:rsidRPr="00E8411D" w:rsidRDefault="00E8411D" w:rsidP="00E8411D">
      <w:pPr>
        <w:pStyle w:val="ListParagraph"/>
        <w:numPr>
          <w:ilvl w:val="0"/>
          <w:numId w:val="4"/>
        </w:numPr>
        <w:autoSpaceDE w:val="0"/>
        <w:autoSpaceDN w:val="0"/>
        <w:adjustRightInd w:val="0"/>
        <w:spacing w:after="120" w:line="240" w:lineRule="auto"/>
        <w:ind w:right="6" w:hanging="448"/>
        <w:contextualSpacing w:val="0"/>
        <w:jc w:val="both"/>
        <w:rPr>
          <w:rFonts w:cs="Arial"/>
          <w:bCs/>
          <w:color w:val="003768"/>
          <w:lang w:val="fr-FR"/>
        </w:rPr>
      </w:pPr>
      <w:r w:rsidRPr="00E8411D">
        <w:rPr>
          <w:rFonts w:cs="Arial"/>
          <w:bCs/>
          <w:color w:val="003768"/>
          <w:lang w:val="fr-FR"/>
        </w:rPr>
        <w:t>Les revenus nets de commissions s'établissent à 404 millions d'euros, en hausse de 4% en rythme trimestriel et de 19% en rythme annuel. Le niveau plus élevé des commissions de gestion de fonds communs de placement est l'un des principaux moteurs de la tendance en rythme trimestriel. Les avoirs en gestion s'établissent à 180 milliards d'euros, en hausse de 4% par rapport au niveau du trimestre précédent (à la faveur de la performance des investissements (+2%) et des influx nets (+2%)) et progressent de 13% en rythme annuel, à la faveur de la performance des investissements (+9%) et des influx nets (+4%).</w:t>
      </w:r>
    </w:p>
    <w:p w:rsidR="00734B00" w:rsidRDefault="00E8411D" w:rsidP="00E8411D">
      <w:pPr>
        <w:pStyle w:val="ListParagraph"/>
        <w:numPr>
          <w:ilvl w:val="0"/>
          <w:numId w:val="4"/>
        </w:numPr>
        <w:autoSpaceDE w:val="0"/>
        <w:autoSpaceDN w:val="0"/>
        <w:adjustRightInd w:val="0"/>
        <w:spacing w:after="120" w:line="240" w:lineRule="auto"/>
        <w:ind w:right="6" w:hanging="448"/>
        <w:contextualSpacing w:val="0"/>
        <w:jc w:val="both"/>
        <w:rPr>
          <w:rFonts w:cs="Arial"/>
          <w:bCs/>
          <w:color w:val="003768"/>
          <w:lang w:val="fr-FR"/>
        </w:rPr>
      </w:pPr>
      <w:r w:rsidRPr="00E8411D">
        <w:rPr>
          <w:rFonts w:cs="Arial"/>
          <w:bCs/>
          <w:color w:val="003768"/>
          <w:lang w:val="fr-FR"/>
        </w:rPr>
        <w:t>Les autres revenus nets s'inscrivent à 64 millions d'euros, soit nettement plus que la moyenne de</w:t>
      </w:r>
      <w:r w:rsidR="003E2730">
        <w:rPr>
          <w:rFonts w:cs="Arial"/>
          <w:bCs/>
          <w:color w:val="003768"/>
          <w:lang w:val="fr-FR"/>
        </w:rPr>
        <w:br/>
      </w:r>
      <w:r w:rsidRPr="00E8411D">
        <w:rPr>
          <w:rFonts w:cs="Arial"/>
          <w:bCs/>
          <w:color w:val="003768"/>
          <w:lang w:val="fr-FR"/>
        </w:rPr>
        <w:t>32 millions d'euros des quatre trimestres précédents (ce dernier chiffre étant plombé de -231 millions d'euros par suite de provisions constituées pour la nouvelle taxe hongroise sur le crédit aux particuliers au 2e trimestre 2014).</w:t>
      </w:r>
    </w:p>
    <w:p w:rsidR="00E8411D" w:rsidRPr="00E8411D" w:rsidRDefault="00E8411D" w:rsidP="00E8411D">
      <w:pPr>
        <w:pStyle w:val="ListParagraph"/>
        <w:autoSpaceDE w:val="0"/>
        <w:autoSpaceDN w:val="0"/>
        <w:adjustRightInd w:val="0"/>
        <w:spacing w:after="120" w:line="240" w:lineRule="auto"/>
        <w:ind w:left="1442" w:right="6"/>
        <w:contextualSpacing w:val="0"/>
        <w:jc w:val="both"/>
        <w:rPr>
          <w:rFonts w:cs="Arial"/>
          <w:bCs/>
          <w:color w:val="003768"/>
          <w:lang w:val="fr-FR"/>
        </w:rPr>
      </w:pPr>
    </w:p>
    <w:p w:rsidR="00E8411D" w:rsidRPr="00E8411D" w:rsidRDefault="00E8411D" w:rsidP="00E8411D">
      <w:pPr>
        <w:autoSpaceDE w:val="0"/>
        <w:autoSpaceDN w:val="0"/>
        <w:adjustRightInd w:val="0"/>
        <w:spacing w:after="120" w:line="240" w:lineRule="auto"/>
        <w:ind w:left="992" w:right="6"/>
        <w:jc w:val="both"/>
        <w:rPr>
          <w:rFonts w:cs="Arial"/>
          <w:b/>
          <w:bCs/>
          <w:color w:val="003768"/>
          <w:lang w:val="fr-FR"/>
        </w:rPr>
      </w:pPr>
      <w:r w:rsidRPr="00E8411D">
        <w:rPr>
          <w:rFonts w:cs="Arial"/>
          <w:b/>
          <w:bCs/>
          <w:color w:val="003768"/>
          <w:lang w:val="fr-FR"/>
        </w:rPr>
        <w:t>Charges d'exploitation (résultat net ajusté)</w:t>
      </w: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 xml:space="preserve">Au 3e trimestre 2014, les charges d'exploitation s'inscrivent à 898 millions d'euros, en recul de 3% par rapport au trimestre précédent de 1% par rapport à un an auparavant. Le recul en rythme trimestriel est principalement attribuable à des différences de timing au niveau du Centre de groupe. Les charges diminuent de 1% en rythme annuel, la hausse de la taxe bancaire en Belgique et en Hongrie, des charges de personnel et des frais administratifs généraux en Irlande étant contrebalancée par une diminution des charges d'exploitation au niveau du Centre de groupe et par l'évolution positive des taux de change. </w:t>
      </w:r>
    </w:p>
    <w:p w:rsidR="00E8411D" w:rsidRPr="008F3197" w:rsidRDefault="00E8411D" w:rsidP="00164526">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8F3197">
        <w:rPr>
          <w:rFonts w:cs="Arial"/>
          <w:bCs/>
          <w:color w:val="003768"/>
          <w:lang w:val="fr-FR"/>
        </w:rPr>
        <w:t>Le ratio charges/produits s'établit à un niveau relativement élevé de 59% (</w:t>
      </w:r>
      <w:proofErr w:type="spellStart"/>
      <w:r w:rsidRPr="008F3197">
        <w:rPr>
          <w:rFonts w:cs="Arial"/>
          <w:bCs/>
          <w:color w:val="003768"/>
          <w:lang w:val="fr-FR"/>
        </w:rPr>
        <w:t>year</w:t>
      </w:r>
      <w:proofErr w:type="spellEnd"/>
      <w:r w:rsidRPr="008F3197">
        <w:rPr>
          <w:rFonts w:cs="Arial"/>
          <w:bCs/>
          <w:color w:val="003768"/>
          <w:lang w:val="fr-FR"/>
        </w:rPr>
        <w:t xml:space="preserve">-to-date). Il s'explique par le fait que le dénominateur (revenus totaux) a souffert des valorisations </w:t>
      </w:r>
      <w:proofErr w:type="spellStart"/>
      <w:r w:rsidRPr="008F3197">
        <w:rPr>
          <w:rFonts w:cs="Arial"/>
          <w:bCs/>
          <w:color w:val="003768"/>
          <w:lang w:val="fr-FR"/>
        </w:rPr>
        <w:t>marked</w:t>
      </w:r>
      <w:proofErr w:type="spellEnd"/>
      <w:r w:rsidRPr="008F3197">
        <w:rPr>
          <w:rFonts w:cs="Arial"/>
          <w:bCs/>
          <w:color w:val="003768"/>
          <w:lang w:val="fr-FR"/>
        </w:rPr>
        <w:t>-to-</w:t>
      </w:r>
      <w:proofErr w:type="spellStart"/>
      <w:r w:rsidRPr="008F3197">
        <w:rPr>
          <w:rFonts w:cs="Arial"/>
          <w:bCs/>
          <w:color w:val="003768"/>
          <w:lang w:val="fr-FR"/>
        </w:rPr>
        <w:t>market</w:t>
      </w:r>
      <w:proofErr w:type="spellEnd"/>
      <w:r w:rsidRPr="008F3197">
        <w:rPr>
          <w:rFonts w:cs="Arial"/>
          <w:bCs/>
          <w:color w:val="003768"/>
          <w:lang w:val="fr-FR"/>
        </w:rPr>
        <w:t xml:space="preserve"> négatives des dérivés ALM et de l'impact de la nouvelle loi hongroise sur les crédits aux particuliers. Une fois ajusté des éléments exceptionnels (entre autres, la taxe bancaire, les dérivés ALM et la législation hongroise), le ratio charges/produits redescend à 54%. </w:t>
      </w:r>
    </w:p>
    <w:p w:rsidR="00E8411D" w:rsidRDefault="00E8411D">
      <w:pPr>
        <w:spacing w:after="0" w:line="240" w:lineRule="auto"/>
        <w:rPr>
          <w:rFonts w:cs="Arial"/>
          <w:b/>
          <w:bCs/>
          <w:color w:val="003768"/>
          <w:lang w:val="fr-FR"/>
        </w:rPr>
      </w:pPr>
      <w:r>
        <w:rPr>
          <w:rFonts w:cs="Arial"/>
          <w:b/>
          <w:bCs/>
          <w:color w:val="003768"/>
          <w:lang w:val="fr-FR"/>
        </w:rPr>
        <w:br w:type="page"/>
      </w:r>
    </w:p>
    <w:p w:rsidR="00E8411D" w:rsidRPr="00E8411D" w:rsidRDefault="00E8411D" w:rsidP="00E8411D">
      <w:pPr>
        <w:autoSpaceDE w:val="0"/>
        <w:autoSpaceDN w:val="0"/>
        <w:adjustRightInd w:val="0"/>
        <w:spacing w:after="120" w:line="240" w:lineRule="auto"/>
        <w:ind w:left="992" w:right="6"/>
        <w:jc w:val="both"/>
        <w:rPr>
          <w:rFonts w:cs="Arial"/>
          <w:b/>
          <w:bCs/>
          <w:color w:val="003768"/>
          <w:lang w:val="fr-FR"/>
        </w:rPr>
      </w:pPr>
      <w:r w:rsidRPr="00E8411D">
        <w:rPr>
          <w:rFonts w:cs="Arial"/>
          <w:b/>
          <w:bCs/>
          <w:color w:val="003768"/>
          <w:lang w:val="fr-FR"/>
        </w:rPr>
        <w:lastRenderedPageBreak/>
        <w:t>Réductions de valeur (résultat net ajusté)</w:t>
      </w: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Les pertes de valeur sur crédits s'inscrivent à 165 millions d'euros au troisième trimestre, en hausse par rapport aux 130 millions d'euros enregistrés au trimestre précédent mais en baisse par rapport aux</w:t>
      </w:r>
      <w:r w:rsidR="003E2730">
        <w:rPr>
          <w:rFonts w:cs="Arial"/>
          <w:bCs/>
          <w:color w:val="003768"/>
          <w:lang w:val="fr-FR"/>
        </w:rPr>
        <w:t xml:space="preserve"> </w:t>
      </w:r>
      <w:r w:rsidRPr="00E8411D">
        <w:rPr>
          <w:rFonts w:cs="Arial"/>
          <w:bCs/>
          <w:color w:val="003768"/>
          <w:lang w:val="fr-FR"/>
        </w:rPr>
        <w:t xml:space="preserve">185 millions d'euros il y a un an. L'augmentation trimestrielle s'explique principalement par des crédits aux grandes entreprises dans la division Belgique et par le portefeuille </w:t>
      </w:r>
      <w:proofErr w:type="spellStart"/>
      <w:r w:rsidRPr="00E8411D">
        <w:rPr>
          <w:rFonts w:cs="Arial"/>
          <w:bCs/>
          <w:color w:val="003768"/>
          <w:lang w:val="fr-FR"/>
        </w:rPr>
        <w:t>project</w:t>
      </w:r>
      <w:proofErr w:type="spellEnd"/>
      <w:r w:rsidRPr="00E8411D">
        <w:rPr>
          <w:rFonts w:cs="Arial"/>
          <w:bCs/>
          <w:color w:val="003768"/>
          <w:lang w:val="fr-FR"/>
        </w:rPr>
        <w:t xml:space="preserve"> finance "</w:t>
      </w:r>
      <w:proofErr w:type="spellStart"/>
      <w:r w:rsidRPr="00E8411D">
        <w:rPr>
          <w:rFonts w:cs="Arial"/>
          <w:bCs/>
          <w:color w:val="003768"/>
          <w:lang w:val="fr-FR"/>
        </w:rPr>
        <w:t>legacy</w:t>
      </w:r>
      <w:proofErr w:type="spellEnd"/>
      <w:r w:rsidRPr="00E8411D">
        <w:rPr>
          <w:rFonts w:cs="Arial"/>
          <w:bCs/>
          <w:color w:val="003768"/>
          <w:lang w:val="fr-FR"/>
        </w:rPr>
        <w:t xml:space="preserve">". Le ratio annualisé de pertes sur crédits s'inscrit à 0,41% pour l'ensemble du groupe. Il se répartit entre un favorable 0,20% pour la division Belgique (venant de 0,37% pour l'exercice 2013), un niveau très bas de 0,13% pour la division Tchéquie (venant de 0,26% pour l'exercice 2013) et un niveau de 1,09% pour la division Marchés internationaux (amélioration par rapport aux 4,48% de l'exercice 2013, qui avaient été clairement affectés par les réductions de valeur pour pertes sur crédits en Irlande au quatrième trimestre 2013). </w:t>
      </w: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Les réductions de valeur sur actifs autres que des crédits sont limitées pour le trimestre sous revue</w:t>
      </w:r>
      <w:r>
        <w:rPr>
          <w:rFonts w:cs="Arial"/>
          <w:bCs/>
          <w:color w:val="003768"/>
          <w:lang w:val="fr-FR"/>
        </w:rPr>
        <w:t xml:space="preserve"> </w:t>
      </w:r>
      <w:r w:rsidRPr="00E8411D">
        <w:rPr>
          <w:rFonts w:cs="Arial"/>
          <w:bCs/>
          <w:color w:val="003768"/>
          <w:lang w:val="fr-FR"/>
        </w:rPr>
        <w:t xml:space="preserve">(18 millions d'euros, liés à des actifs disponibles à la vente et à des logiciels). </w:t>
      </w:r>
    </w:p>
    <w:p w:rsidR="00E8411D" w:rsidRPr="00E8411D" w:rsidRDefault="00E8411D" w:rsidP="00E8411D">
      <w:pPr>
        <w:autoSpaceDE w:val="0"/>
        <w:autoSpaceDN w:val="0"/>
        <w:adjustRightInd w:val="0"/>
        <w:spacing w:after="120" w:line="240" w:lineRule="auto"/>
        <w:ind w:left="992" w:right="6"/>
        <w:jc w:val="both"/>
        <w:rPr>
          <w:rFonts w:cs="Arial"/>
          <w:b/>
          <w:bCs/>
          <w:color w:val="003768"/>
          <w:lang w:val="fr-FR"/>
        </w:rPr>
      </w:pPr>
    </w:p>
    <w:p w:rsidR="00E8411D" w:rsidRPr="00E8411D" w:rsidRDefault="00E8411D" w:rsidP="00E8411D">
      <w:pPr>
        <w:autoSpaceDE w:val="0"/>
        <w:autoSpaceDN w:val="0"/>
        <w:adjustRightInd w:val="0"/>
        <w:spacing w:after="120" w:line="240" w:lineRule="auto"/>
        <w:ind w:left="992" w:right="6"/>
        <w:jc w:val="both"/>
        <w:rPr>
          <w:rFonts w:cs="Arial"/>
          <w:b/>
          <w:bCs/>
          <w:color w:val="003768"/>
          <w:lang w:val="fr-FR"/>
        </w:rPr>
      </w:pPr>
      <w:r w:rsidRPr="00E8411D">
        <w:rPr>
          <w:rFonts w:cs="Arial"/>
          <w:b/>
          <w:bCs/>
          <w:color w:val="003768"/>
          <w:lang w:val="fr-FR"/>
        </w:rPr>
        <w:t xml:space="preserve">Incidence des activités </w:t>
      </w:r>
      <w:proofErr w:type="spellStart"/>
      <w:r w:rsidRPr="00E8411D">
        <w:rPr>
          <w:rFonts w:cs="Arial"/>
          <w:b/>
          <w:bCs/>
          <w:color w:val="003768"/>
          <w:lang w:val="fr-FR"/>
        </w:rPr>
        <w:t>legacy</w:t>
      </w:r>
      <w:proofErr w:type="spellEnd"/>
      <w:r w:rsidRPr="00E8411D">
        <w:rPr>
          <w:rFonts w:cs="Arial"/>
          <w:b/>
          <w:bCs/>
          <w:color w:val="003768"/>
          <w:lang w:val="fr-FR"/>
        </w:rPr>
        <w:t xml:space="preserve"> et du risque de crédit propre sur le résultat :</w:t>
      </w: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CDO : au troisième trimestre, KBC a démantelé les deux dernières CDO en portefeuille, ce qui a légèrement plombé ses résultats, mais amélioré son capital. L'impact total de l'opération sur les revenus de KBC au troisième trimestre se chiffre à -24 millions d'euros (après impôts), après prise en compte également des fluctuations des différentiels de crédit et des commissions liées aux  garanties CDO. Le démantèlement de ces CDO a permis de libérer 0,3 milliard d'euros de capital et d'améliorer de 0,4% la solvabilité de KBC.</w:t>
      </w: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Désinvestissements restants : nous enregistrons un effet positif global après impôts de</w:t>
      </w:r>
      <w:r>
        <w:rPr>
          <w:rFonts w:cs="Arial"/>
          <w:bCs/>
          <w:color w:val="003768"/>
          <w:lang w:val="fr-FR"/>
        </w:rPr>
        <w:t xml:space="preserve"> </w:t>
      </w:r>
      <w:r w:rsidRPr="00E8411D">
        <w:rPr>
          <w:rFonts w:cs="Arial"/>
          <w:bCs/>
          <w:color w:val="003768"/>
          <w:lang w:val="fr-FR"/>
        </w:rPr>
        <w:t xml:space="preserve">132 millions pour le trimestre sous revue, principalement dû à une reprise des réductions de valeur actées sur la participation dans la Banque Diamantaire Anversoise en 2012 et en 2013. </w:t>
      </w:r>
    </w:p>
    <w:p w:rsidR="00734B00"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 xml:space="preserve">Incidence de la valorisation du risque de crédit propre : le léger resserrement des différentiels de crédit senior combiné à l'élargissement du différentiel de crédit subordonné sur la dette de KBC entre fin juin 2014 et fin septembre 2014 se traduit par un ajustement </w:t>
      </w:r>
      <w:proofErr w:type="spellStart"/>
      <w:r w:rsidRPr="00E8411D">
        <w:rPr>
          <w:rFonts w:cs="Arial"/>
          <w:bCs/>
          <w:color w:val="003768"/>
          <w:lang w:val="fr-FR"/>
        </w:rPr>
        <w:t>marked</w:t>
      </w:r>
      <w:proofErr w:type="spellEnd"/>
      <w:r w:rsidRPr="00E8411D">
        <w:rPr>
          <w:rFonts w:cs="Arial"/>
          <w:bCs/>
          <w:color w:val="003768"/>
          <w:lang w:val="fr-FR"/>
        </w:rPr>
        <w:t>-to-</w:t>
      </w:r>
      <w:proofErr w:type="spellStart"/>
      <w:r w:rsidRPr="00E8411D">
        <w:rPr>
          <w:rFonts w:cs="Arial"/>
          <w:bCs/>
          <w:color w:val="003768"/>
          <w:lang w:val="fr-FR"/>
        </w:rPr>
        <w:t>market</w:t>
      </w:r>
      <w:proofErr w:type="spellEnd"/>
      <w:r w:rsidRPr="00E8411D">
        <w:rPr>
          <w:rFonts w:cs="Arial"/>
          <w:bCs/>
          <w:color w:val="003768"/>
          <w:lang w:val="fr-FR"/>
        </w:rPr>
        <w:t xml:space="preserve"> légèrement positif de</w:t>
      </w:r>
      <w:r w:rsidR="003E2730">
        <w:rPr>
          <w:rFonts w:cs="Arial"/>
          <w:bCs/>
          <w:color w:val="003768"/>
          <w:lang w:val="fr-FR"/>
        </w:rPr>
        <w:t xml:space="preserve"> </w:t>
      </w:r>
      <w:r w:rsidR="003E2730">
        <w:rPr>
          <w:rFonts w:cs="Arial"/>
          <w:bCs/>
          <w:color w:val="003768"/>
          <w:lang w:val="fr-FR"/>
        </w:rPr>
        <w:br/>
      </w:r>
      <w:r w:rsidRPr="00E8411D">
        <w:rPr>
          <w:rFonts w:cs="Arial"/>
          <w:bCs/>
          <w:color w:val="003768"/>
          <w:lang w:val="fr-FR"/>
        </w:rPr>
        <w:t>6 millions d'euros (après impôts), mais est sans incidence sur le capital réglementaire.</w:t>
      </w:r>
    </w:p>
    <w:p w:rsidR="00E8411D" w:rsidRDefault="00E8411D" w:rsidP="00E8411D">
      <w:pPr>
        <w:autoSpaceDE w:val="0"/>
        <w:autoSpaceDN w:val="0"/>
        <w:adjustRightInd w:val="0"/>
        <w:spacing w:after="120" w:line="240" w:lineRule="auto"/>
        <w:ind w:left="992" w:right="6"/>
        <w:jc w:val="both"/>
        <w:rPr>
          <w:rFonts w:cs="Arial"/>
          <w:b/>
          <w:bCs/>
          <w:color w:val="003768"/>
          <w:lang w:val="fr-FR"/>
        </w:rPr>
      </w:pPr>
    </w:p>
    <w:p w:rsidR="00E8411D" w:rsidRPr="00E8411D" w:rsidRDefault="00E8411D" w:rsidP="00E8411D">
      <w:pPr>
        <w:autoSpaceDE w:val="0"/>
        <w:autoSpaceDN w:val="0"/>
        <w:adjustRightInd w:val="0"/>
        <w:spacing w:after="120" w:line="240" w:lineRule="auto"/>
        <w:ind w:left="992" w:right="6"/>
        <w:jc w:val="both"/>
        <w:rPr>
          <w:rFonts w:cs="Arial"/>
          <w:b/>
          <w:bCs/>
          <w:color w:val="003768"/>
          <w:lang w:val="fr-FR"/>
        </w:rPr>
      </w:pPr>
      <w:r w:rsidRPr="00E8411D">
        <w:rPr>
          <w:rFonts w:cs="Arial"/>
          <w:b/>
          <w:bCs/>
          <w:color w:val="003768"/>
          <w:lang w:val="fr-FR"/>
        </w:rPr>
        <w:t>Ventilation par division</w:t>
      </w: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Au 3e trimestre, la division Belgique dégage un résultat net de 384 millions d’euros, légèrement supérieur à la moyenne de 375 millions des quatre trimestres précédents. Par rapport au trimestre précédent, le 3e trimestre 2014 se caractérise par une hausse des revenus nets d'intérêts et des revenus nets de commissions, un ratio combiné sain pour l'assurance non-vie et une augmentation des ventes de produits d'assurance de la branche 23. Les autres caractéristiques du trimestre sous revue sont l'impact réduit, mais toujours défavorable, de la valorisation des produits dérivés ALM, le tassement des revenus de la vente d'actifs financiers, la baisse saisonnière des revenus de dividendes et la décrue des autres revenus nets. Les charges diminuent légèrement tandis que les réductions de valeur augmentent par rapport au niveau faible du deuxième trimestre. Les activités bancaires et d’assurance génèrent respectivement 80% et 20% du résultat net sur la période.</w:t>
      </w: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Pendant le trimestre sous revue, la division Tchéquie a dégagé un résultat net de 130 millions d'euros, légèrement inférieur à la moyenne de 139 millions des quatre derniers trimestres. Par rapport au trimestre précédent, les résultats du 3e trimestre se distinguent (en termes comparables) par la stagnation des revenus nets d'intérêts et la diminution des revenus nets de commissions, l'absence de plus-values réalisées sur la cession d'actifs financiers, la hausse des résultats nets d'instruments financiers, la baisse du niveau des autres revenus, un robuste ratio combiné non-vie et la progression des ventes de produits d'assurance de la branche 23. Les charges s'allègent légèrement tandis que les réductions de valeur pour pertes sur crédits augmentent par rapport au niveau particulièrement bas du trimestre précédent. Les activités bancaires et d’assurance génèrent respectivement 95% et 5% du résultat net sur la période.</w:t>
      </w:r>
    </w:p>
    <w:p w:rsidR="008F3197" w:rsidRDefault="008F3197" w:rsidP="008F3197">
      <w:pPr>
        <w:pStyle w:val="ListParagraph"/>
        <w:autoSpaceDE w:val="0"/>
        <w:autoSpaceDN w:val="0"/>
        <w:adjustRightInd w:val="0"/>
        <w:spacing w:after="120" w:line="240" w:lineRule="auto"/>
        <w:ind w:left="1442" w:right="6"/>
        <w:contextualSpacing w:val="0"/>
        <w:jc w:val="both"/>
        <w:rPr>
          <w:rFonts w:cs="Arial"/>
          <w:bCs/>
          <w:color w:val="003768"/>
          <w:lang w:val="fr-FR"/>
        </w:rPr>
      </w:pP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Au cours du trimestre sous revue, la division Marchés internationaux enregistre un résultat net positif de 27 millions d'euros, en nette amélioration par r</w:t>
      </w:r>
      <w:r w:rsidR="003E2730">
        <w:rPr>
          <w:rFonts w:cs="Arial"/>
          <w:bCs/>
          <w:color w:val="003768"/>
          <w:lang w:val="fr-FR"/>
        </w:rPr>
        <w:t>apport à la moyenne négative de</w:t>
      </w:r>
      <w:r>
        <w:rPr>
          <w:rFonts w:cs="Arial"/>
          <w:bCs/>
          <w:color w:val="003768"/>
          <w:lang w:val="fr-FR"/>
        </w:rPr>
        <w:t xml:space="preserve"> </w:t>
      </w:r>
      <w:r w:rsidRPr="00E8411D">
        <w:rPr>
          <w:rFonts w:cs="Arial"/>
          <w:bCs/>
          <w:color w:val="003768"/>
          <w:lang w:val="fr-FR"/>
        </w:rPr>
        <w:t>236 millions d'euros pour les quatre trimestres précédents (qui avaient été marqués par la constitution de provisions supplémentaires pour pertes sur crédits en Irlande au 4e trimestre 2013 et par l'impact de la nouvelle loi sur le crédit aux particuliers en Hongrie au 2e trimestre 2014). Par rapport au trimestre précédent, le 3e trimestre 2014 se caractérise par la légère hausse des revenus nets d'intérêts et la robustesse des revenus nets de commissions, le résultat stable des instruments financiers à la juste valeur et le léger tassement des plus-values réalisées sur actions et obligations, ainsi que par une détérioration du ratio combiné non-vie et une contraction des ventes d'assurances vie. Il est à noter cependant que le trimestre précédent avait pâti de l'impact de la nouvelle loi hongroise sur le crédit aux particuliers. Les charges restent stables au 3e trimestre et les provisions pour pertes sur crédits diminuent, surtout en Irlande. Globalement, les activités bancaires accusent un résultat net de 23 millions d’euros (résultats positifs en Slovaquie, Hongrie et Bulgarie mais négatifs en Irlande), tandis que les activités d’assurance dégagent un résultat net de 4 millions d’euros.</w:t>
      </w:r>
    </w:p>
    <w:p w:rsidR="00E8411D" w:rsidRPr="00E8411D" w:rsidRDefault="00E8411D" w:rsidP="00E8411D">
      <w:pPr>
        <w:pStyle w:val="ListParagraph"/>
        <w:numPr>
          <w:ilvl w:val="0"/>
          <w:numId w:val="4"/>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 xml:space="preserve">Le résultat net du Centre de groupe s'élève à 50 millions au 3e trimestre 2013. Comme souligné ci-dessus, ce chiffre inclut non seulement un certain nombre d'éléments du groupe et de résultats de sociétés en attente de désinvestissement, mais aussi l'impact des activités </w:t>
      </w:r>
      <w:proofErr w:type="spellStart"/>
      <w:r w:rsidRPr="00E8411D">
        <w:rPr>
          <w:rFonts w:cs="Arial"/>
          <w:bCs/>
          <w:color w:val="003768"/>
          <w:lang w:val="fr-FR"/>
        </w:rPr>
        <w:t>legacy</w:t>
      </w:r>
      <w:proofErr w:type="spellEnd"/>
      <w:r w:rsidRPr="00E8411D">
        <w:rPr>
          <w:rFonts w:cs="Arial"/>
          <w:bCs/>
          <w:color w:val="003768"/>
          <w:lang w:val="fr-FR"/>
        </w:rPr>
        <w:t xml:space="preserve"> (CDO, désinvestissements) et la valorisation de notre risque de crédit propre. En excluant les incidences des activités </w:t>
      </w:r>
      <w:proofErr w:type="spellStart"/>
      <w:r w:rsidRPr="00E8411D">
        <w:rPr>
          <w:rFonts w:cs="Arial"/>
          <w:bCs/>
          <w:color w:val="003768"/>
          <w:lang w:val="fr-FR"/>
        </w:rPr>
        <w:t>legacy</w:t>
      </w:r>
      <w:proofErr w:type="spellEnd"/>
      <w:r w:rsidRPr="00E8411D">
        <w:rPr>
          <w:rFonts w:cs="Arial"/>
          <w:bCs/>
          <w:color w:val="003768"/>
          <w:lang w:val="fr-FR"/>
        </w:rPr>
        <w:t xml:space="preserve"> et du risque de crédit propre, le résultat net ajusté se monte à -64 million in 3Q2014.</w:t>
      </w:r>
    </w:p>
    <w:p w:rsidR="00E8411D" w:rsidRDefault="00E8411D">
      <w:pPr>
        <w:spacing w:after="0" w:line="240" w:lineRule="auto"/>
        <w:rPr>
          <w:rFonts w:cs="Arial"/>
          <w:bCs/>
          <w:color w:val="003768"/>
          <w:lang w:val="fr-FR"/>
        </w:rPr>
      </w:pPr>
      <w:r>
        <w:rPr>
          <w:rFonts w:cs="Arial"/>
          <w:bCs/>
          <w:color w:val="003768"/>
          <w:lang w:val="fr-FR"/>
        </w:rPr>
        <w:br w:type="page"/>
      </w:r>
    </w:p>
    <w:p w:rsidR="003D7872" w:rsidRDefault="003D7872" w:rsidP="00734B00">
      <w:pPr>
        <w:autoSpaceDE w:val="0"/>
        <w:autoSpaceDN w:val="0"/>
        <w:adjustRightInd w:val="0"/>
        <w:spacing w:after="120" w:line="240" w:lineRule="auto"/>
        <w:ind w:left="992" w:right="6"/>
        <w:jc w:val="both"/>
        <w:rPr>
          <w:rFonts w:ascii="Rockwell" w:hAnsi="Rockwell" w:cs="Arial"/>
          <w:b/>
          <w:bCs/>
          <w:color w:val="003366"/>
          <w:sz w:val="28"/>
          <w:szCs w:val="28"/>
        </w:rPr>
      </w:pPr>
    </w:p>
    <w:p w:rsidR="00E8411D" w:rsidRPr="003D7872" w:rsidRDefault="00E8411D" w:rsidP="00734B00">
      <w:pPr>
        <w:autoSpaceDE w:val="0"/>
        <w:autoSpaceDN w:val="0"/>
        <w:adjustRightInd w:val="0"/>
        <w:spacing w:after="120" w:line="240" w:lineRule="auto"/>
        <w:ind w:left="992" w:right="6"/>
        <w:jc w:val="both"/>
        <w:rPr>
          <w:rFonts w:ascii="Rockwell" w:hAnsi="Rockwell" w:cs="Arial"/>
          <w:b/>
          <w:bCs/>
          <w:color w:val="003366"/>
          <w:sz w:val="28"/>
          <w:szCs w:val="28"/>
          <w:lang w:val="fr-FR"/>
        </w:rPr>
      </w:pPr>
      <w:r w:rsidRPr="003D7872">
        <w:rPr>
          <w:rFonts w:ascii="Rockwell" w:hAnsi="Rockwell" w:cs="Arial"/>
          <w:b/>
          <w:bCs/>
          <w:color w:val="003366"/>
          <w:sz w:val="28"/>
          <w:szCs w:val="28"/>
          <w:lang w:val="fr-FR"/>
        </w:rPr>
        <w:t xml:space="preserve">Analyse de la période sous revue </w:t>
      </w:r>
      <w:proofErr w:type="spellStart"/>
      <w:r w:rsidRPr="003D7872">
        <w:rPr>
          <w:rFonts w:ascii="Rockwell" w:hAnsi="Rockwell" w:cs="Arial"/>
          <w:b/>
          <w:bCs/>
          <w:color w:val="003366"/>
          <w:sz w:val="28"/>
          <w:szCs w:val="28"/>
          <w:lang w:val="fr-FR"/>
        </w:rPr>
        <w:t>year</w:t>
      </w:r>
      <w:proofErr w:type="spellEnd"/>
      <w:r w:rsidRPr="003D7872">
        <w:rPr>
          <w:rFonts w:ascii="Rockwell" w:hAnsi="Rockwell" w:cs="Arial"/>
          <w:b/>
          <w:bCs/>
          <w:color w:val="003366"/>
          <w:sz w:val="28"/>
          <w:szCs w:val="28"/>
          <w:lang w:val="fr-FR"/>
        </w:rPr>
        <w:t>-to-date (9 premiers mois de 2014)</w:t>
      </w:r>
    </w:p>
    <w:p w:rsidR="00E8411D" w:rsidRPr="00E8411D" w:rsidRDefault="00E8411D" w:rsidP="00734B00">
      <w:pPr>
        <w:autoSpaceDE w:val="0"/>
        <w:autoSpaceDN w:val="0"/>
        <w:adjustRightInd w:val="0"/>
        <w:spacing w:after="120" w:line="240" w:lineRule="auto"/>
        <w:ind w:left="992" w:right="6"/>
        <w:jc w:val="both"/>
        <w:rPr>
          <w:rFonts w:cs="Arial"/>
          <w:b/>
          <w:bCs/>
          <w:color w:val="003768"/>
          <w:lang w:val="fr-FR"/>
        </w:rPr>
      </w:pPr>
      <w:r w:rsidRPr="00E8411D">
        <w:rPr>
          <w:rFonts w:cs="Arial"/>
          <w:b/>
          <w:bCs/>
          <w:color w:val="003768"/>
          <w:lang w:val="fr-FR"/>
        </w:rPr>
        <w:t xml:space="preserve">Le résultat net pour les 9 premiers mois de 2014 s'élève à 1 305 millions d'euros. Sans les activités </w:t>
      </w:r>
      <w:proofErr w:type="spellStart"/>
      <w:r w:rsidRPr="00E8411D">
        <w:rPr>
          <w:rFonts w:cs="Arial"/>
          <w:b/>
          <w:bCs/>
          <w:color w:val="003768"/>
          <w:lang w:val="fr-FR"/>
        </w:rPr>
        <w:t>legacy</w:t>
      </w:r>
      <w:proofErr w:type="spellEnd"/>
      <w:r w:rsidRPr="00E8411D">
        <w:rPr>
          <w:rFonts w:cs="Arial"/>
          <w:b/>
          <w:bCs/>
          <w:color w:val="003768"/>
          <w:lang w:val="fr-FR"/>
        </w:rPr>
        <w:t xml:space="preserve"> et l’incidence du risque de crédit propre, le résultat net ajusté ressort à 1 151 millions d’euros, contre </w:t>
      </w:r>
      <w:r w:rsidR="003E2730">
        <w:rPr>
          <w:rFonts w:cs="Arial"/>
          <w:b/>
          <w:bCs/>
          <w:color w:val="003768"/>
          <w:lang w:val="fr-FR"/>
        </w:rPr>
        <w:br/>
      </w:r>
      <w:r w:rsidRPr="00E8411D">
        <w:rPr>
          <w:rFonts w:cs="Arial"/>
          <w:b/>
          <w:bCs/>
          <w:color w:val="003768"/>
          <w:lang w:val="fr-FR"/>
        </w:rPr>
        <w:t>1 300 millions pour les neuf premiers mois de 2013.</w:t>
      </w:r>
    </w:p>
    <w:p w:rsidR="00E8411D" w:rsidRDefault="00E8411D" w:rsidP="00734B00">
      <w:pPr>
        <w:autoSpaceDE w:val="0"/>
        <w:autoSpaceDN w:val="0"/>
        <w:adjustRightInd w:val="0"/>
        <w:spacing w:after="120" w:line="240" w:lineRule="auto"/>
        <w:ind w:left="992" w:right="6"/>
        <w:jc w:val="both"/>
        <w:rPr>
          <w:rFonts w:cs="Arial"/>
          <w:bCs/>
          <w:color w:val="003768"/>
          <w:lang w:val="fr-FR"/>
        </w:rPr>
      </w:pPr>
    </w:p>
    <w:p w:rsidR="00E8411D" w:rsidRPr="00E8411D" w:rsidRDefault="00E8411D" w:rsidP="00734B00">
      <w:pPr>
        <w:autoSpaceDE w:val="0"/>
        <w:autoSpaceDN w:val="0"/>
        <w:adjustRightInd w:val="0"/>
        <w:spacing w:after="120" w:line="240" w:lineRule="auto"/>
        <w:ind w:left="992" w:right="6"/>
        <w:jc w:val="both"/>
        <w:rPr>
          <w:rFonts w:cs="Arial"/>
          <w:b/>
          <w:bCs/>
          <w:color w:val="003768"/>
          <w:lang w:val="fr-FR"/>
        </w:rPr>
      </w:pPr>
      <w:r w:rsidRPr="00E8411D">
        <w:rPr>
          <w:rFonts w:cs="Arial"/>
          <w:b/>
          <w:bCs/>
          <w:color w:val="003768"/>
          <w:lang w:val="fr-FR"/>
        </w:rPr>
        <w:t>Total des produits (résultat net ajusté)</w:t>
      </w:r>
    </w:p>
    <w:p w:rsidR="00E8411D" w:rsidRPr="00E8411D" w:rsidRDefault="00E8411D" w:rsidP="006763FA">
      <w:pPr>
        <w:pStyle w:val="ListParagraph"/>
        <w:numPr>
          <w:ilvl w:val="0"/>
          <w:numId w:val="4"/>
        </w:numPr>
        <w:autoSpaceDE w:val="0"/>
        <w:autoSpaceDN w:val="0"/>
        <w:adjustRightInd w:val="0"/>
        <w:spacing w:after="120" w:line="240" w:lineRule="auto"/>
        <w:ind w:left="1440" w:right="6" w:hanging="448"/>
        <w:contextualSpacing w:val="0"/>
        <w:jc w:val="both"/>
        <w:rPr>
          <w:rFonts w:cs="Arial"/>
          <w:bCs/>
          <w:color w:val="003768"/>
          <w:lang w:val="fr-FR"/>
        </w:rPr>
      </w:pPr>
      <w:r w:rsidRPr="00E8411D">
        <w:rPr>
          <w:rFonts w:cs="Arial"/>
          <w:bCs/>
          <w:color w:val="003768"/>
          <w:lang w:val="fr-FR"/>
        </w:rPr>
        <w:t>La performance en rythme annuel a été affectée en partie par la déconsolidation d'</w:t>
      </w:r>
      <w:proofErr w:type="spellStart"/>
      <w:r w:rsidRPr="00E8411D">
        <w:rPr>
          <w:rFonts w:cs="Arial"/>
          <w:bCs/>
          <w:color w:val="003768"/>
          <w:lang w:val="fr-FR"/>
        </w:rPr>
        <w:t>Absolut</w:t>
      </w:r>
      <w:proofErr w:type="spellEnd"/>
      <w:r w:rsidRPr="00E8411D">
        <w:rPr>
          <w:rFonts w:cs="Arial"/>
          <w:bCs/>
          <w:color w:val="003768"/>
          <w:lang w:val="fr-FR"/>
        </w:rPr>
        <w:t xml:space="preserve"> Bank et par quelques changements mineurs. Afin de permettre la comparaison, ces éléments ne seront pas pris en considération (« sur une base comparable »).</w:t>
      </w:r>
    </w:p>
    <w:p w:rsidR="00E8411D" w:rsidRPr="00E8411D" w:rsidRDefault="00E8411D" w:rsidP="006763FA">
      <w:pPr>
        <w:pStyle w:val="ListParagraph"/>
        <w:numPr>
          <w:ilvl w:val="0"/>
          <w:numId w:val="4"/>
        </w:numPr>
        <w:autoSpaceDE w:val="0"/>
        <w:autoSpaceDN w:val="0"/>
        <w:adjustRightInd w:val="0"/>
        <w:spacing w:after="120" w:line="240" w:lineRule="auto"/>
        <w:ind w:left="1440" w:right="6" w:hanging="448"/>
        <w:contextualSpacing w:val="0"/>
        <w:jc w:val="both"/>
        <w:rPr>
          <w:rFonts w:cs="Arial"/>
          <w:bCs/>
          <w:color w:val="003768"/>
          <w:lang w:val="fr-FR"/>
        </w:rPr>
      </w:pPr>
      <w:r w:rsidRPr="00E8411D">
        <w:rPr>
          <w:rFonts w:cs="Arial"/>
          <w:bCs/>
          <w:color w:val="003768"/>
          <w:lang w:val="fr-FR"/>
        </w:rPr>
        <w:t>Les revenus nets d'intérêts s'inscrivent à 3 158 millions d'euros, en hausse de 6% en rythme annuel. Sur une base comparable, ils augmentent de 7% en rythme annuel. Les marges commerciales restent satisfaisantes, les taux d'intérêt des comptes d'épargne ont diminué et les coûts de financement "</w:t>
      </w:r>
      <w:proofErr w:type="spellStart"/>
      <w:r w:rsidRPr="00E8411D">
        <w:rPr>
          <w:rFonts w:cs="Arial"/>
          <w:bCs/>
          <w:color w:val="003768"/>
          <w:lang w:val="fr-FR"/>
        </w:rPr>
        <w:t>wholesale</w:t>
      </w:r>
      <w:proofErr w:type="spellEnd"/>
      <w:r w:rsidRPr="00E8411D">
        <w:rPr>
          <w:rFonts w:cs="Arial"/>
          <w:bCs/>
          <w:color w:val="003768"/>
          <w:lang w:val="fr-FR"/>
        </w:rPr>
        <w:t>" ont baissé considérablement. La marge nette d'intérêts s'établit à 2,06% (</w:t>
      </w:r>
      <w:proofErr w:type="spellStart"/>
      <w:r w:rsidRPr="00E8411D">
        <w:rPr>
          <w:rFonts w:cs="Arial"/>
          <w:bCs/>
          <w:color w:val="003768"/>
          <w:lang w:val="fr-FR"/>
        </w:rPr>
        <w:t>year</w:t>
      </w:r>
      <w:proofErr w:type="spellEnd"/>
      <w:r w:rsidRPr="00E8411D">
        <w:rPr>
          <w:rFonts w:cs="Arial"/>
          <w:bCs/>
          <w:color w:val="003768"/>
          <w:lang w:val="fr-FR"/>
        </w:rPr>
        <w:t>-to-date), soit 17 points de base de plus qu’un an auparavant (niveau recalculé). Dans la division Belgique, le portefeuille de crédits augmente de 2% en rythme annuel, tandis que les dépôts progressent de 4%.</w:t>
      </w:r>
      <w:r w:rsidR="003E2730">
        <w:rPr>
          <w:rFonts w:cs="Arial"/>
          <w:bCs/>
          <w:color w:val="003768"/>
          <w:lang w:val="fr-FR"/>
        </w:rPr>
        <w:br/>
      </w:r>
      <w:r w:rsidRPr="00E8411D">
        <w:rPr>
          <w:rFonts w:cs="Arial"/>
          <w:bCs/>
          <w:color w:val="003768"/>
          <w:lang w:val="fr-FR"/>
        </w:rPr>
        <w:t xml:space="preserve">Le portefeuille de crédits en République tchèque progresse de 6% en rythme annuel, alors que les dépôts augmentent de 8%. Le portefeuille de crédits de la division Marchés internationaux se contracte de 6% en rythme annuel (sous l'effet de la situation en Irlande), tandis que les dépôts s'améliorent de 1% (tirés par l’Irlande). </w:t>
      </w:r>
    </w:p>
    <w:p w:rsidR="00E8411D" w:rsidRPr="00E8411D" w:rsidRDefault="00E8411D" w:rsidP="006763FA">
      <w:pPr>
        <w:pStyle w:val="ListParagraph"/>
        <w:numPr>
          <w:ilvl w:val="0"/>
          <w:numId w:val="4"/>
        </w:numPr>
        <w:autoSpaceDE w:val="0"/>
        <w:autoSpaceDN w:val="0"/>
        <w:adjustRightInd w:val="0"/>
        <w:spacing w:after="120" w:line="240" w:lineRule="auto"/>
        <w:ind w:left="1440" w:right="6" w:hanging="448"/>
        <w:contextualSpacing w:val="0"/>
        <w:jc w:val="both"/>
        <w:rPr>
          <w:rFonts w:cs="Arial"/>
          <w:bCs/>
          <w:color w:val="003768"/>
          <w:lang w:val="fr-FR"/>
        </w:rPr>
      </w:pPr>
      <w:r w:rsidRPr="00E8411D">
        <w:rPr>
          <w:rFonts w:cs="Arial"/>
          <w:bCs/>
          <w:color w:val="003768"/>
          <w:lang w:val="fr-FR"/>
        </w:rPr>
        <w:t>Les activités d'assurance vie et non-vie ont enregistré les résultats suivants au cours des neuf premiers mois de 2014. Les primes brutes acquises moins les charges techniques brutes et le résultat de la réassurance cédée se sont établies à 224 millions d'euros, en recul de 1% en rythme annuel.</w:t>
      </w:r>
    </w:p>
    <w:p w:rsidR="00E8411D" w:rsidRPr="00E8411D" w:rsidRDefault="00E8411D" w:rsidP="006763FA">
      <w:pPr>
        <w:pStyle w:val="ListParagraph"/>
        <w:autoSpaceDE w:val="0"/>
        <w:autoSpaceDN w:val="0"/>
        <w:adjustRightInd w:val="0"/>
        <w:spacing w:after="120" w:line="240" w:lineRule="auto"/>
        <w:ind w:left="1440" w:right="6"/>
        <w:contextualSpacing w:val="0"/>
        <w:jc w:val="both"/>
        <w:rPr>
          <w:rFonts w:cs="Arial"/>
          <w:bCs/>
          <w:color w:val="003768"/>
          <w:lang w:val="fr-FR"/>
        </w:rPr>
      </w:pPr>
      <w:r w:rsidRPr="00E8411D">
        <w:rPr>
          <w:rFonts w:cs="Arial"/>
          <w:bCs/>
          <w:color w:val="003768"/>
          <w:lang w:val="fr-FR"/>
        </w:rPr>
        <w:t>Les primes de la branche non-vie demeurent stables en rythme annuel. Les déclarations de sinistres résultant des averses de grêle en Belgique ont fait grimper légèrement le niveau des charges techniques par rapport aux neufs premiers mois de 2013, qui avaient été eux-mêmes affectés par les inondations en République tchèque. Ceci n'empêche toutefois pas d'atteindre un robuste ratio combiné de 93% (</w:t>
      </w:r>
      <w:proofErr w:type="spellStart"/>
      <w:r w:rsidRPr="00E8411D">
        <w:rPr>
          <w:rFonts w:cs="Arial"/>
          <w:bCs/>
          <w:color w:val="003768"/>
          <w:lang w:val="fr-FR"/>
        </w:rPr>
        <w:t>year</w:t>
      </w:r>
      <w:proofErr w:type="spellEnd"/>
      <w:r w:rsidRPr="00E8411D">
        <w:rPr>
          <w:rFonts w:cs="Arial"/>
          <w:bCs/>
          <w:color w:val="003768"/>
          <w:lang w:val="fr-FR"/>
        </w:rPr>
        <w:t xml:space="preserve">-to-date). </w:t>
      </w:r>
    </w:p>
    <w:p w:rsidR="00E8411D" w:rsidRPr="00E8411D" w:rsidRDefault="00E8411D" w:rsidP="006763FA">
      <w:pPr>
        <w:pStyle w:val="ListParagraph"/>
        <w:autoSpaceDE w:val="0"/>
        <w:autoSpaceDN w:val="0"/>
        <w:adjustRightInd w:val="0"/>
        <w:spacing w:after="120" w:line="240" w:lineRule="auto"/>
        <w:ind w:left="1440" w:right="6"/>
        <w:contextualSpacing w:val="0"/>
        <w:jc w:val="both"/>
        <w:rPr>
          <w:rFonts w:cs="Arial"/>
          <w:bCs/>
          <w:color w:val="003768"/>
          <w:lang w:val="fr-FR"/>
        </w:rPr>
      </w:pPr>
      <w:r w:rsidRPr="00E8411D">
        <w:rPr>
          <w:rFonts w:cs="Arial"/>
          <w:bCs/>
          <w:color w:val="003768"/>
          <w:lang w:val="fr-FR"/>
        </w:rPr>
        <w:t>Dans la branche vie, on observe une hausse de 3% des ventes de produits d'assurance vie (y compris les produits branche 23 non inclus dans les recettes de primes) par rapport aux 9 premiers mois de 2013. L'augmentation des ventes de produits à taux d'intérêt garanti compense largement la diminution enregistrée au niveau des ventes de produits de la branche 23.</w:t>
      </w:r>
    </w:p>
    <w:p w:rsidR="00E8411D" w:rsidRPr="00E8411D" w:rsidRDefault="00E8411D" w:rsidP="006763FA">
      <w:pPr>
        <w:pStyle w:val="ListParagraph"/>
        <w:autoSpaceDE w:val="0"/>
        <w:autoSpaceDN w:val="0"/>
        <w:adjustRightInd w:val="0"/>
        <w:spacing w:after="120" w:line="240" w:lineRule="auto"/>
        <w:ind w:left="1440" w:right="6"/>
        <w:contextualSpacing w:val="0"/>
        <w:jc w:val="both"/>
        <w:rPr>
          <w:rFonts w:cs="Arial"/>
          <w:bCs/>
          <w:color w:val="003768"/>
          <w:lang w:val="fr-FR"/>
        </w:rPr>
      </w:pPr>
      <w:r w:rsidRPr="00E8411D">
        <w:rPr>
          <w:rFonts w:cs="Arial"/>
          <w:bCs/>
          <w:color w:val="003768"/>
          <w:lang w:val="fr-FR"/>
        </w:rPr>
        <w:t xml:space="preserve">Il convient de noter que les résultats des assurances ont bénéficié de la légère augmentation des revenus des investissements, tirés par la hausse du résultat net réalisé sur des actifs disponibles à la vente, la baisse des réductions de valeur, ainsi que la hausse des revenus de dividendes, ce qui a permis de compenser la diminution des revenus nets d'intérêts et du résultat net des instruments financiers à la juste valeur. Les frais administratifs généraux sont bien maîtrisés et diminuent de 5% en rythme annuel. </w:t>
      </w:r>
    </w:p>
    <w:p w:rsidR="00E8411D" w:rsidRPr="00E8411D" w:rsidRDefault="00E8411D" w:rsidP="006763FA">
      <w:pPr>
        <w:pStyle w:val="ListParagraph"/>
        <w:numPr>
          <w:ilvl w:val="0"/>
          <w:numId w:val="5"/>
        </w:numPr>
        <w:autoSpaceDE w:val="0"/>
        <w:autoSpaceDN w:val="0"/>
        <w:adjustRightInd w:val="0"/>
        <w:spacing w:after="120" w:line="240" w:lineRule="auto"/>
        <w:ind w:left="1440" w:right="6" w:hanging="448"/>
        <w:contextualSpacing w:val="0"/>
        <w:jc w:val="both"/>
        <w:rPr>
          <w:rFonts w:cs="Arial"/>
          <w:bCs/>
          <w:color w:val="003768"/>
          <w:lang w:val="fr-FR"/>
        </w:rPr>
      </w:pPr>
      <w:r w:rsidRPr="00E8411D">
        <w:rPr>
          <w:rFonts w:cs="Arial"/>
          <w:bCs/>
          <w:color w:val="003768"/>
          <w:lang w:val="fr-FR"/>
        </w:rPr>
        <w:t>Le résultat net des instruments financiers à la juste valeur s'établit à 103 millions d'euros pour les neuf premiers trimestres de 2014, contre 620 millions pour la période correspondante de l'an dernier. Les neuf premiers mois de cette année ont surtout été influe</w:t>
      </w:r>
      <w:r w:rsidR="003E2730">
        <w:rPr>
          <w:rFonts w:cs="Arial"/>
          <w:bCs/>
          <w:color w:val="003768"/>
          <w:lang w:val="fr-FR"/>
        </w:rPr>
        <w:t>ncés par le résultat négatif de</w:t>
      </w:r>
      <w:r w:rsidR="003D7872">
        <w:rPr>
          <w:rFonts w:cs="Arial"/>
          <w:bCs/>
          <w:color w:val="003768"/>
          <w:lang w:val="fr-FR"/>
        </w:rPr>
        <w:t xml:space="preserve"> </w:t>
      </w:r>
      <w:r w:rsidRPr="00E8411D">
        <w:rPr>
          <w:rFonts w:cs="Arial"/>
          <w:bCs/>
          <w:color w:val="003768"/>
          <w:lang w:val="fr-FR"/>
        </w:rPr>
        <w:t xml:space="preserve">186 millions d’euros sur les valorisations </w:t>
      </w:r>
      <w:proofErr w:type="spellStart"/>
      <w:r w:rsidRPr="00E8411D">
        <w:rPr>
          <w:rFonts w:cs="Arial"/>
          <w:bCs/>
          <w:color w:val="003768"/>
          <w:lang w:val="fr-FR"/>
        </w:rPr>
        <w:t>marked</w:t>
      </w:r>
      <w:proofErr w:type="spellEnd"/>
      <w:r w:rsidRPr="00E8411D">
        <w:rPr>
          <w:rFonts w:cs="Arial"/>
          <w:bCs/>
          <w:color w:val="003768"/>
          <w:lang w:val="fr-FR"/>
        </w:rPr>
        <w:t>-to-</w:t>
      </w:r>
      <w:proofErr w:type="spellStart"/>
      <w:r w:rsidRPr="00E8411D">
        <w:rPr>
          <w:rFonts w:cs="Arial"/>
          <w:bCs/>
          <w:color w:val="003768"/>
          <w:lang w:val="fr-FR"/>
        </w:rPr>
        <w:t>market</w:t>
      </w:r>
      <w:proofErr w:type="spellEnd"/>
      <w:r w:rsidRPr="00E8411D">
        <w:rPr>
          <w:rFonts w:cs="Arial"/>
          <w:bCs/>
          <w:color w:val="003768"/>
          <w:lang w:val="fr-FR"/>
        </w:rPr>
        <w:t xml:space="preserve"> relatives aux instruments dérivés utilisés dans la gestion de l'actif et du passif (ALM), par rapport à un résultat positif de 250 millions d'euros pour les neuf premiers mois de 2013.</w:t>
      </w:r>
    </w:p>
    <w:p w:rsidR="00E8411D" w:rsidRPr="00E8411D" w:rsidRDefault="00E8411D" w:rsidP="006763FA">
      <w:pPr>
        <w:pStyle w:val="ListParagraph"/>
        <w:numPr>
          <w:ilvl w:val="0"/>
          <w:numId w:val="5"/>
        </w:numPr>
        <w:autoSpaceDE w:val="0"/>
        <w:autoSpaceDN w:val="0"/>
        <w:adjustRightInd w:val="0"/>
        <w:spacing w:after="120" w:line="240" w:lineRule="auto"/>
        <w:ind w:left="1440" w:right="6" w:hanging="448"/>
        <w:contextualSpacing w:val="0"/>
        <w:jc w:val="both"/>
        <w:rPr>
          <w:rFonts w:cs="Arial"/>
          <w:bCs/>
          <w:color w:val="003768"/>
          <w:lang w:val="fr-FR"/>
        </w:rPr>
      </w:pPr>
      <w:r w:rsidRPr="00E8411D">
        <w:rPr>
          <w:rFonts w:cs="Arial"/>
          <w:bCs/>
          <w:color w:val="003768"/>
          <w:lang w:val="fr-FR"/>
        </w:rPr>
        <w:t>Les plus-values nettes réalisées sur des actifs disponibles à la vente s'inscrivent à 127 millions d'euros pour les neufs premiers mois, contre 183 millions d'euros pour la période correspondante de l’an dernier. 43% des plus-values ont été réalisées sur la vente d'obligations et 57% sur la cession d'actions.</w:t>
      </w:r>
    </w:p>
    <w:p w:rsidR="006763FA" w:rsidRDefault="006763FA">
      <w:pPr>
        <w:spacing w:after="0" w:line="240" w:lineRule="auto"/>
        <w:rPr>
          <w:rFonts w:cs="Arial"/>
          <w:bCs/>
          <w:color w:val="003768"/>
          <w:lang w:val="fr-FR"/>
        </w:rPr>
      </w:pPr>
      <w:r>
        <w:rPr>
          <w:rFonts w:cs="Arial"/>
          <w:bCs/>
          <w:color w:val="003768"/>
          <w:lang w:val="fr-FR"/>
        </w:rPr>
        <w:br w:type="page"/>
      </w:r>
    </w:p>
    <w:p w:rsidR="008F3197" w:rsidRDefault="008F3197" w:rsidP="008F3197">
      <w:pPr>
        <w:pStyle w:val="ListParagraph"/>
        <w:autoSpaceDE w:val="0"/>
        <w:autoSpaceDN w:val="0"/>
        <w:adjustRightInd w:val="0"/>
        <w:spacing w:after="120" w:line="240" w:lineRule="auto"/>
        <w:ind w:left="1440" w:right="6"/>
        <w:contextualSpacing w:val="0"/>
        <w:jc w:val="both"/>
        <w:rPr>
          <w:rFonts w:cs="Arial"/>
          <w:bCs/>
          <w:color w:val="003768"/>
          <w:lang w:val="fr-FR"/>
        </w:rPr>
      </w:pPr>
    </w:p>
    <w:p w:rsidR="00E8411D" w:rsidRPr="00E8411D" w:rsidRDefault="00E8411D" w:rsidP="006763FA">
      <w:pPr>
        <w:pStyle w:val="ListParagraph"/>
        <w:numPr>
          <w:ilvl w:val="0"/>
          <w:numId w:val="5"/>
        </w:numPr>
        <w:autoSpaceDE w:val="0"/>
        <w:autoSpaceDN w:val="0"/>
        <w:adjustRightInd w:val="0"/>
        <w:spacing w:after="120" w:line="240" w:lineRule="auto"/>
        <w:ind w:left="1440" w:right="6" w:hanging="448"/>
        <w:contextualSpacing w:val="0"/>
        <w:jc w:val="both"/>
        <w:rPr>
          <w:rFonts w:cs="Arial"/>
          <w:bCs/>
          <w:color w:val="003768"/>
          <w:lang w:val="fr-FR"/>
        </w:rPr>
      </w:pPr>
      <w:r w:rsidRPr="00E8411D">
        <w:rPr>
          <w:rFonts w:cs="Arial"/>
          <w:bCs/>
          <w:color w:val="003768"/>
          <w:lang w:val="fr-FR"/>
        </w:rPr>
        <w:t>Les revenus nets de commissions s'établissent à 1 171 millions d'euros, en hausse de 6% en rythme annuel (également sur une base comparable). Les actifs sous gestion atteignent 180 milliards d’euros, en hausse de 13% depuis fin septembre 2013, 9% étant à mettre au compte des effets de prix et 4% au compte des entrées nettes.</w:t>
      </w:r>
    </w:p>
    <w:p w:rsidR="00E8411D" w:rsidRPr="00E8411D" w:rsidRDefault="00E8411D" w:rsidP="006763FA">
      <w:pPr>
        <w:pStyle w:val="ListParagraph"/>
        <w:numPr>
          <w:ilvl w:val="0"/>
          <w:numId w:val="5"/>
        </w:numPr>
        <w:autoSpaceDE w:val="0"/>
        <w:autoSpaceDN w:val="0"/>
        <w:adjustRightInd w:val="0"/>
        <w:spacing w:after="120" w:line="240" w:lineRule="auto"/>
        <w:ind w:left="1440" w:right="6" w:hanging="448"/>
        <w:contextualSpacing w:val="0"/>
        <w:jc w:val="both"/>
        <w:rPr>
          <w:rFonts w:cs="Arial"/>
          <w:bCs/>
          <w:color w:val="003768"/>
          <w:lang w:val="fr-FR"/>
        </w:rPr>
      </w:pPr>
      <w:r w:rsidRPr="00E8411D">
        <w:rPr>
          <w:rFonts w:cs="Arial"/>
          <w:bCs/>
          <w:color w:val="003768"/>
          <w:lang w:val="fr-FR"/>
        </w:rPr>
        <w:t>Les revenus nets s'inscrivent à -8 millions d'euros, contre 296 millions d'euros pour la période correspondante de l'an dernier. Ce poste a été grandement affecté par les provisions passées au</w:t>
      </w:r>
      <w:r w:rsidR="003D7872">
        <w:rPr>
          <w:rFonts w:cs="Arial"/>
          <w:bCs/>
          <w:color w:val="003768"/>
          <w:lang w:val="fr-FR"/>
        </w:rPr>
        <w:t xml:space="preserve"> </w:t>
      </w:r>
      <w:r w:rsidRPr="00E8411D">
        <w:rPr>
          <w:rFonts w:cs="Arial"/>
          <w:bCs/>
          <w:color w:val="003768"/>
          <w:lang w:val="fr-FR"/>
        </w:rPr>
        <w:t>2e trimestre 2014 pour la nouvelle loi hongroise sur le crédit aux particuliers "Résolution de certaines questions liées à la décision de la Cour suprême (</w:t>
      </w:r>
      <w:proofErr w:type="spellStart"/>
      <w:r w:rsidRPr="00E8411D">
        <w:rPr>
          <w:rFonts w:cs="Arial"/>
          <w:bCs/>
          <w:color w:val="003768"/>
          <w:lang w:val="fr-FR"/>
        </w:rPr>
        <w:t>Curia</w:t>
      </w:r>
      <w:proofErr w:type="spellEnd"/>
      <w:r w:rsidRPr="00E8411D">
        <w:rPr>
          <w:rFonts w:cs="Arial"/>
          <w:bCs/>
          <w:color w:val="003768"/>
          <w:lang w:val="fr-FR"/>
        </w:rPr>
        <w:t>) d'uniformiser les contrats de crédit aux particuliers conclus par des établissements financiers" (-231 million euros).</w:t>
      </w:r>
    </w:p>
    <w:p w:rsidR="00E8411D" w:rsidRPr="00E8411D" w:rsidRDefault="00E8411D" w:rsidP="006763FA">
      <w:pPr>
        <w:autoSpaceDE w:val="0"/>
        <w:autoSpaceDN w:val="0"/>
        <w:adjustRightInd w:val="0"/>
        <w:spacing w:after="120" w:line="240" w:lineRule="auto"/>
        <w:ind w:left="992" w:right="6"/>
        <w:jc w:val="both"/>
        <w:rPr>
          <w:rFonts w:cs="Arial"/>
          <w:bCs/>
          <w:color w:val="003768"/>
          <w:lang w:val="fr-FR"/>
        </w:rPr>
      </w:pPr>
    </w:p>
    <w:p w:rsidR="00E8411D" w:rsidRPr="006763FA" w:rsidRDefault="00E8411D" w:rsidP="006763FA">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Charges d'exploitation (résultat net ajusté)</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 xml:space="preserve">Les charges d’exploitation ressortent à 2 789 millions d’euros pour les neuf premiers mois de 2014, en baisse de 2% par rapport à un an auparavant. Sur une base comparable, les charges diminuent de 1%, la hausse de la taxe bancaire en Belgique et en Hongrie, des charges de personnel et des frais administratifs généraux en Irlande étant contrebalancée par une diminution des charges d'exploitation au niveau du Centre de groupe et par une évolution positive des taux de change. Le ratio charges/produits s'établit à un niveau relativement élevé de 59% </w:t>
      </w:r>
      <w:proofErr w:type="spellStart"/>
      <w:r w:rsidRPr="00E8411D">
        <w:rPr>
          <w:rFonts w:cs="Arial"/>
          <w:bCs/>
          <w:color w:val="003768"/>
          <w:lang w:val="fr-FR"/>
        </w:rPr>
        <w:t>year</w:t>
      </w:r>
      <w:proofErr w:type="spellEnd"/>
      <w:r w:rsidRPr="00E8411D">
        <w:rPr>
          <w:rFonts w:cs="Arial"/>
          <w:bCs/>
          <w:color w:val="003768"/>
          <w:lang w:val="fr-FR"/>
        </w:rPr>
        <w:t xml:space="preserve">-to-date. Il s'explique principalement par le fait que le dénominateur (total des produits) a souffert des valorisations </w:t>
      </w:r>
      <w:proofErr w:type="spellStart"/>
      <w:r w:rsidRPr="00E8411D">
        <w:rPr>
          <w:rFonts w:cs="Arial"/>
          <w:bCs/>
          <w:color w:val="003768"/>
          <w:lang w:val="fr-FR"/>
        </w:rPr>
        <w:t>marked</w:t>
      </w:r>
      <w:proofErr w:type="spellEnd"/>
      <w:r w:rsidRPr="00E8411D">
        <w:rPr>
          <w:rFonts w:cs="Arial"/>
          <w:bCs/>
          <w:color w:val="003768"/>
          <w:lang w:val="fr-FR"/>
        </w:rPr>
        <w:t>-to-</w:t>
      </w:r>
      <w:proofErr w:type="spellStart"/>
      <w:r w:rsidRPr="00E8411D">
        <w:rPr>
          <w:rFonts w:cs="Arial"/>
          <w:bCs/>
          <w:color w:val="003768"/>
          <w:lang w:val="fr-FR"/>
        </w:rPr>
        <w:t>market</w:t>
      </w:r>
      <w:proofErr w:type="spellEnd"/>
      <w:r w:rsidRPr="00E8411D">
        <w:rPr>
          <w:rFonts w:cs="Arial"/>
          <w:bCs/>
          <w:color w:val="003768"/>
          <w:lang w:val="fr-FR"/>
        </w:rPr>
        <w:t xml:space="preserve"> négatives des dérivés ALM et de l'impact de la nouvelle loi sur le crédit aux particuliers en Hongrie. Après ajustement des éléments exceptionnels, le ratio charges/revenus s'inscrit à 54%. </w:t>
      </w:r>
    </w:p>
    <w:p w:rsidR="00E8411D" w:rsidRPr="00E8411D" w:rsidRDefault="00E8411D" w:rsidP="006763FA">
      <w:pPr>
        <w:pStyle w:val="ListParagraph"/>
        <w:autoSpaceDE w:val="0"/>
        <w:autoSpaceDN w:val="0"/>
        <w:adjustRightInd w:val="0"/>
        <w:spacing w:after="120" w:line="240" w:lineRule="auto"/>
        <w:ind w:left="1442" w:right="6"/>
        <w:contextualSpacing w:val="0"/>
        <w:jc w:val="both"/>
        <w:rPr>
          <w:rFonts w:cs="Arial"/>
          <w:bCs/>
          <w:color w:val="003768"/>
          <w:lang w:val="fr-FR"/>
        </w:rPr>
      </w:pPr>
      <w:r w:rsidRPr="00E8411D">
        <w:rPr>
          <w:rFonts w:cs="Arial"/>
          <w:bCs/>
          <w:color w:val="003768"/>
          <w:lang w:val="fr-FR"/>
        </w:rPr>
        <w:t> </w:t>
      </w:r>
    </w:p>
    <w:p w:rsidR="00E8411D" w:rsidRPr="006763FA" w:rsidRDefault="00E8411D" w:rsidP="006763FA">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Réductions de valeur (résultat net ajusté)</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Les réductions de valeur pour pertes sur crédits s'élèvent à 398 millions d'euros pour les neuf premiers mois de 2014, en net recul par rapport aux 693 millions d'euro</w:t>
      </w:r>
      <w:r w:rsidR="003E2730">
        <w:rPr>
          <w:rFonts w:cs="Arial"/>
          <w:bCs/>
          <w:color w:val="003768"/>
          <w:lang w:val="fr-FR"/>
        </w:rPr>
        <w:t xml:space="preserve">s enregistrés un an auparavant. </w:t>
      </w:r>
      <w:r w:rsidRPr="00E8411D">
        <w:rPr>
          <w:rFonts w:cs="Arial"/>
          <w:bCs/>
          <w:color w:val="003768"/>
          <w:lang w:val="fr-FR"/>
        </w:rPr>
        <w:t xml:space="preserve">En termes annualisés, le ratio de pertes sur crédits s'établit à 0,41%. Il se répartit comme suit : 0,20% pour la division Belgique (contre 0,37% pour l'exercice 2013), 0,13% dans la division République tchèque (contre 0,26% pour l'exercice 2013) et 1,09% pour la division Marchés internationaux (amélioration par rapport aux 4,48% de l'exercice 2013). </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 xml:space="preserve">Les autres réductions de valeur se montent à 26 millions d'euros et portent sur des actifs disponibles à la vente et d'autres postes. </w:t>
      </w:r>
    </w:p>
    <w:p w:rsidR="00E8411D" w:rsidRPr="00E8411D" w:rsidRDefault="00E8411D" w:rsidP="006763FA">
      <w:pPr>
        <w:autoSpaceDE w:val="0"/>
        <w:autoSpaceDN w:val="0"/>
        <w:adjustRightInd w:val="0"/>
        <w:spacing w:after="120" w:line="240" w:lineRule="auto"/>
        <w:ind w:left="992" w:right="6"/>
        <w:jc w:val="both"/>
        <w:rPr>
          <w:rFonts w:cs="Arial"/>
          <w:bCs/>
          <w:color w:val="003768"/>
          <w:lang w:val="fr-FR"/>
        </w:rPr>
      </w:pPr>
    </w:p>
    <w:p w:rsidR="00E8411D" w:rsidRPr="006763FA" w:rsidRDefault="00E8411D" w:rsidP="006763FA">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Impôt sur le revenu</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L'impôt sur le résultat s'élève à 469 millions d’euros pour les neufs premiers mois de 2014.</w:t>
      </w:r>
    </w:p>
    <w:p w:rsidR="00E8411D" w:rsidRPr="00E8411D" w:rsidRDefault="00E8411D" w:rsidP="006763FA">
      <w:pPr>
        <w:autoSpaceDE w:val="0"/>
        <w:autoSpaceDN w:val="0"/>
        <w:adjustRightInd w:val="0"/>
        <w:spacing w:after="120" w:line="240" w:lineRule="auto"/>
        <w:ind w:left="992" w:right="6"/>
        <w:jc w:val="both"/>
        <w:rPr>
          <w:rFonts w:cs="Arial"/>
          <w:bCs/>
          <w:color w:val="003768"/>
          <w:lang w:val="fr-FR"/>
        </w:rPr>
      </w:pPr>
    </w:p>
    <w:p w:rsidR="00E8411D" w:rsidRPr="006763FA" w:rsidRDefault="00E8411D" w:rsidP="006763FA">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 xml:space="preserve">Incidence des activités </w:t>
      </w:r>
      <w:proofErr w:type="spellStart"/>
      <w:r w:rsidRPr="006763FA">
        <w:rPr>
          <w:rFonts w:cs="Arial"/>
          <w:b/>
          <w:bCs/>
          <w:color w:val="003768"/>
          <w:lang w:val="fr-FR"/>
        </w:rPr>
        <w:t>legacy</w:t>
      </w:r>
      <w:proofErr w:type="spellEnd"/>
      <w:r w:rsidRPr="006763FA">
        <w:rPr>
          <w:rFonts w:cs="Arial"/>
          <w:b/>
          <w:bCs/>
          <w:color w:val="003768"/>
          <w:lang w:val="fr-FR"/>
        </w:rPr>
        <w:t xml:space="preserve"> et du risque de crédit propre sur le résultat :</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 xml:space="preserve">CDO : pendant les neuf premiers mois de 2014, KBC a démantelé les CDO qui restaient dans son portefeuille. Si l'on prend en compte l'impact de la commission pour le système de garantie des CDO convenu avec le gouvernement fédéral belge, l'évolution des différentiels de crédit </w:t>
      </w:r>
      <w:proofErr w:type="spellStart"/>
      <w:r w:rsidRPr="00E8411D">
        <w:rPr>
          <w:rFonts w:cs="Arial"/>
          <w:bCs/>
          <w:color w:val="003768"/>
          <w:lang w:val="fr-FR"/>
        </w:rPr>
        <w:t>corporate</w:t>
      </w:r>
      <w:proofErr w:type="spellEnd"/>
      <w:r w:rsidRPr="00E8411D">
        <w:rPr>
          <w:rFonts w:cs="Arial"/>
          <w:bCs/>
          <w:color w:val="003768"/>
          <w:lang w:val="fr-FR"/>
        </w:rPr>
        <w:t xml:space="preserve"> et ABS, la diminution de l'exposition nette aux positions CDO </w:t>
      </w:r>
      <w:proofErr w:type="spellStart"/>
      <w:r w:rsidRPr="00E8411D">
        <w:rPr>
          <w:rFonts w:cs="Arial"/>
          <w:bCs/>
          <w:color w:val="003768"/>
          <w:lang w:val="fr-FR"/>
        </w:rPr>
        <w:t>legacy</w:t>
      </w:r>
      <w:proofErr w:type="spellEnd"/>
      <w:r w:rsidRPr="00E8411D">
        <w:rPr>
          <w:rFonts w:cs="Arial"/>
          <w:bCs/>
          <w:color w:val="003768"/>
          <w:lang w:val="fr-FR"/>
        </w:rPr>
        <w:t xml:space="preserve"> et les coûts de résiliation, l'impact positif sur le compte de résultats atteint 23 millions d'euros (après impôts) pour les neuf premiers mois de 2014.</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Désinvestissements restants : nous enregistrons un effet positif global après impôts de</w:t>
      </w:r>
      <w:r w:rsidR="003D7872">
        <w:rPr>
          <w:rFonts w:cs="Arial"/>
          <w:bCs/>
          <w:color w:val="003768"/>
          <w:lang w:val="fr-FR"/>
        </w:rPr>
        <w:t xml:space="preserve"> </w:t>
      </w:r>
      <w:r w:rsidRPr="00E8411D">
        <w:rPr>
          <w:rFonts w:cs="Arial"/>
          <w:bCs/>
          <w:color w:val="003768"/>
          <w:lang w:val="fr-FR"/>
        </w:rPr>
        <w:t xml:space="preserve">131 millions pour les neuf premiers mois de 2014, principalement dû à une reprise des réductions de valeur actées sur la participation dans la Banque Diamantaire Anversoise en 2012 et en 2013. </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 xml:space="preserve">Incidence de la valorisation du risque de crédit propre : les niveaux comparables de différentiels de crédit sur la dette KBC au 31 décembre 2013 et au 30 septembre 2014 n'ont pratiquement pas entraîné d'ajustements </w:t>
      </w:r>
      <w:proofErr w:type="spellStart"/>
      <w:r w:rsidRPr="00E8411D">
        <w:rPr>
          <w:rFonts w:cs="Arial"/>
          <w:bCs/>
          <w:color w:val="003768"/>
          <w:lang w:val="fr-FR"/>
        </w:rPr>
        <w:t>marked</w:t>
      </w:r>
      <w:proofErr w:type="spellEnd"/>
      <w:r w:rsidRPr="00E8411D">
        <w:rPr>
          <w:rFonts w:cs="Arial"/>
          <w:bCs/>
          <w:color w:val="003768"/>
          <w:lang w:val="fr-FR"/>
        </w:rPr>
        <w:t>-to-</w:t>
      </w:r>
      <w:proofErr w:type="spellStart"/>
      <w:r w:rsidRPr="00E8411D">
        <w:rPr>
          <w:rFonts w:cs="Arial"/>
          <w:bCs/>
          <w:color w:val="003768"/>
          <w:lang w:val="fr-FR"/>
        </w:rPr>
        <w:t>market</w:t>
      </w:r>
      <w:proofErr w:type="spellEnd"/>
      <w:r w:rsidRPr="00E8411D">
        <w:rPr>
          <w:rFonts w:cs="Arial"/>
          <w:bCs/>
          <w:color w:val="003768"/>
          <w:lang w:val="fr-FR"/>
        </w:rPr>
        <w:t xml:space="preserve"> pour les neuf premiers mois de 2014.</w:t>
      </w:r>
    </w:p>
    <w:p w:rsidR="00E8411D" w:rsidRPr="00E8411D" w:rsidRDefault="00E8411D" w:rsidP="006763FA">
      <w:pPr>
        <w:autoSpaceDE w:val="0"/>
        <w:autoSpaceDN w:val="0"/>
        <w:adjustRightInd w:val="0"/>
        <w:spacing w:after="120" w:line="240" w:lineRule="auto"/>
        <w:ind w:left="992" w:right="6"/>
        <w:jc w:val="both"/>
        <w:rPr>
          <w:rFonts w:cs="Arial"/>
          <w:bCs/>
          <w:color w:val="003768"/>
          <w:lang w:val="fr-FR"/>
        </w:rPr>
      </w:pPr>
    </w:p>
    <w:p w:rsidR="003D7872" w:rsidRDefault="003D7872" w:rsidP="006763FA">
      <w:pPr>
        <w:autoSpaceDE w:val="0"/>
        <w:autoSpaceDN w:val="0"/>
        <w:adjustRightInd w:val="0"/>
        <w:spacing w:after="120" w:line="240" w:lineRule="auto"/>
        <w:ind w:left="992" w:right="6"/>
        <w:jc w:val="both"/>
        <w:rPr>
          <w:rFonts w:cs="Arial"/>
          <w:b/>
          <w:bCs/>
          <w:color w:val="003768"/>
          <w:lang w:val="fr-FR"/>
        </w:rPr>
      </w:pPr>
    </w:p>
    <w:p w:rsidR="008F3197" w:rsidRDefault="008F3197" w:rsidP="006763FA">
      <w:pPr>
        <w:autoSpaceDE w:val="0"/>
        <w:autoSpaceDN w:val="0"/>
        <w:adjustRightInd w:val="0"/>
        <w:spacing w:after="120" w:line="240" w:lineRule="auto"/>
        <w:ind w:left="992" w:right="6"/>
        <w:jc w:val="both"/>
        <w:rPr>
          <w:rFonts w:cs="Arial"/>
          <w:b/>
          <w:bCs/>
          <w:color w:val="003768"/>
          <w:lang w:val="fr-FR"/>
        </w:rPr>
      </w:pPr>
    </w:p>
    <w:p w:rsidR="008F3197" w:rsidRDefault="008F3197" w:rsidP="006763FA">
      <w:pPr>
        <w:autoSpaceDE w:val="0"/>
        <w:autoSpaceDN w:val="0"/>
        <w:adjustRightInd w:val="0"/>
        <w:spacing w:after="120" w:line="240" w:lineRule="auto"/>
        <w:ind w:left="992" w:right="6"/>
        <w:jc w:val="both"/>
        <w:rPr>
          <w:rFonts w:cs="Arial"/>
          <w:b/>
          <w:bCs/>
          <w:color w:val="003768"/>
          <w:lang w:val="fr-FR"/>
        </w:rPr>
      </w:pPr>
    </w:p>
    <w:p w:rsidR="00E8411D" w:rsidRPr="006763FA" w:rsidRDefault="00E8411D" w:rsidP="006763FA">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Capitaux propres et solvabilité</w:t>
      </w:r>
    </w:p>
    <w:p w:rsidR="00E8411D" w:rsidRPr="00565993"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565993">
        <w:rPr>
          <w:rFonts w:cs="Arial"/>
          <w:bCs/>
          <w:color w:val="003768"/>
          <w:lang w:val="fr-FR"/>
        </w:rPr>
        <w:t xml:space="preserve">Fin septembre 2014, le total des capitaux propres s'élevait à 16,2 milliards d'euros – en hausse de 1,7 milliard d'euros par rapport à son niveau de début d'année – principalement en raison de l'intégration de l'instrument additionnel </w:t>
      </w:r>
      <w:proofErr w:type="spellStart"/>
      <w:r w:rsidRPr="00565993">
        <w:rPr>
          <w:rFonts w:cs="Arial"/>
          <w:bCs/>
          <w:color w:val="003768"/>
          <w:lang w:val="fr-FR"/>
        </w:rPr>
        <w:t>Tier</w:t>
      </w:r>
      <w:proofErr w:type="spellEnd"/>
      <w:r w:rsidRPr="00565993">
        <w:rPr>
          <w:rFonts w:cs="Arial"/>
          <w:bCs/>
          <w:color w:val="003768"/>
          <w:lang w:val="fr-FR"/>
        </w:rPr>
        <w:t xml:space="preserve"> 1 (+1,4 milliard d'euros) émis en mars. Les autres facteurs qui ont eu un impact sur le total des capitaux pendant les neuf</w:t>
      </w:r>
      <w:r w:rsidR="003E2730">
        <w:rPr>
          <w:rFonts w:cs="Arial"/>
          <w:bCs/>
          <w:color w:val="003768"/>
          <w:lang w:val="fr-FR"/>
        </w:rPr>
        <w:t xml:space="preserve"> premiers mois de 2014 sont les</w:t>
      </w:r>
      <w:r w:rsidR="003D7872" w:rsidRPr="00565993">
        <w:rPr>
          <w:rFonts w:cs="Arial"/>
          <w:bCs/>
          <w:color w:val="003768"/>
          <w:lang w:val="fr-FR"/>
        </w:rPr>
        <w:t xml:space="preserve"> </w:t>
      </w:r>
      <w:r w:rsidRPr="00565993">
        <w:rPr>
          <w:rFonts w:cs="Arial"/>
          <w:bCs/>
          <w:color w:val="003768"/>
          <w:lang w:val="fr-FR"/>
        </w:rPr>
        <w:t xml:space="preserve">0,5 milliard d'euros (y compris la pénalité de 50%) d'aides publiques remboursées au gouvernement flamand, l'intégration des résultats des neuf premiers mois de 2014 (+1,3 milliard d'euros) et le rachat de titres </w:t>
      </w:r>
      <w:proofErr w:type="spellStart"/>
      <w:r w:rsidRPr="00565993">
        <w:rPr>
          <w:rFonts w:cs="Arial"/>
          <w:bCs/>
          <w:color w:val="003768"/>
          <w:lang w:val="fr-FR"/>
        </w:rPr>
        <w:t>Funding</w:t>
      </w:r>
      <w:proofErr w:type="spellEnd"/>
      <w:r w:rsidRPr="00565993">
        <w:rPr>
          <w:rFonts w:cs="Arial"/>
          <w:bCs/>
          <w:color w:val="003768"/>
          <w:lang w:val="fr-FR"/>
        </w:rPr>
        <w:t xml:space="preserve"> Trust (-0,4 milliard d'euros d'intérêts minoritaires).</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 xml:space="preserve">Le ratio Common </w:t>
      </w:r>
      <w:proofErr w:type="spellStart"/>
      <w:r w:rsidRPr="00E8411D">
        <w:rPr>
          <w:rFonts w:cs="Arial"/>
          <w:bCs/>
          <w:color w:val="003768"/>
          <w:lang w:val="fr-FR"/>
        </w:rPr>
        <w:t>equity</w:t>
      </w:r>
      <w:proofErr w:type="spellEnd"/>
      <w:r w:rsidRPr="00E8411D">
        <w:rPr>
          <w:rFonts w:cs="Arial"/>
          <w:bCs/>
          <w:color w:val="003768"/>
          <w:lang w:val="fr-FR"/>
        </w:rPr>
        <w:t xml:space="preserve"> (Bâle III, </w:t>
      </w:r>
      <w:proofErr w:type="spellStart"/>
      <w:r w:rsidRPr="00E8411D">
        <w:rPr>
          <w:rFonts w:cs="Arial"/>
          <w:bCs/>
          <w:color w:val="003768"/>
          <w:lang w:val="fr-FR"/>
        </w:rPr>
        <w:t>fully</w:t>
      </w:r>
      <w:proofErr w:type="spellEnd"/>
      <w:r w:rsidRPr="00E8411D">
        <w:rPr>
          <w:rFonts w:cs="Arial"/>
          <w:bCs/>
          <w:color w:val="003768"/>
          <w:lang w:val="fr-FR"/>
        </w:rPr>
        <w:t xml:space="preserve"> </w:t>
      </w:r>
      <w:proofErr w:type="spellStart"/>
      <w:r w:rsidRPr="00E8411D">
        <w:rPr>
          <w:rFonts w:cs="Arial"/>
          <w:bCs/>
          <w:color w:val="003768"/>
          <w:lang w:val="fr-FR"/>
        </w:rPr>
        <w:t>loaded</w:t>
      </w:r>
      <w:proofErr w:type="spellEnd"/>
      <w:r w:rsidRPr="00E8411D">
        <w:rPr>
          <w:rFonts w:cs="Arial"/>
          <w:bCs/>
          <w:color w:val="003768"/>
          <w:lang w:val="fr-FR"/>
        </w:rPr>
        <w:t xml:space="preserve">, sous la méthode du compromis danois, incluant le solde des aides publiques reçues du gouvernement régional flamand l'impact) atteint le niveau favorable de 13,7% au 30 septembre 2014. </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Le ratio de solvabilité de KBC Assurances s'inscrit à 329% au 30 septembre 2014, un résultat encore supérieur au niveau déjà très élevé de 281% enregistré fin 2013.</w:t>
      </w:r>
    </w:p>
    <w:p w:rsidR="00E8411D" w:rsidRPr="00E8411D" w:rsidRDefault="00E8411D" w:rsidP="006763FA">
      <w:pPr>
        <w:autoSpaceDE w:val="0"/>
        <w:autoSpaceDN w:val="0"/>
        <w:adjustRightInd w:val="0"/>
        <w:spacing w:after="120" w:line="240" w:lineRule="auto"/>
        <w:ind w:left="992" w:right="6"/>
        <w:jc w:val="both"/>
        <w:rPr>
          <w:rFonts w:cs="Arial"/>
          <w:bCs/>
          <w:color w:val="003768"/>
          <w:lang w:val="fr-FR"/>
        </w:rPr>
      </w:pPr>
    </w:p>
    <w:p w:rsidR="00E8411D" w:rsidRPr="006763FA" w:rsidRDefault="00E8411D" w:rsidP="006763FA">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Liquidité</w:t>
      </w:r>
    </w:p>
    <w:p w:rsidR="00E8411D" w:rsidRPr="00E8411D" w:rsidRDefault="00E8411D"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E8411D">
        <w:rPr>
          <w:rFonts w:cs="Arial"/>
          <w:bCs/>
          <w:color w:val="003768"/>
          <w:lang w:val="fr-FR"/>
        </w:rPr>
        <w:t>La liquidité du groupe demeure excellente, avec un ratio LCR de 120% et un ratio NSFR de 109% à l'issue du troisième trimestre.</w:t>
      </w:r>
    </w:p>
    <w:p w:rsidR="00E8411D" w:rsidRDefault="00E8411D" w:rsidP="006763FA">
      <w:pPr>
        <w:autoSpaceDE w:val="0"/>
        <w:autoSpaceDN w:val="0"/>
        <w:adjustRightInd w:val="0"/>
        <w:spacing w:after="120" w:line="240" w:lineRule="auto"/>
        <w:ind w:left="992" w:right="6"/>
        <w:jc w:val="both"/>
        <w:rPr>
          <w:rFonts w:cs="Arial"/>
          <w:bCs/>
          <w:color w:val="003768"/>
          <w:lang w:val="fr-FR"/>
        </w:rPr>
      </w:pPr>
    </w:p>
    <w:p w:rsidR="006763FA" w:rsidRDefault="006763FA">
      <w:pPr>
        <w:spacing w:after="0" w:line="240" w:lineRule="auto"/>
        <w:rPr>
          <w:rFonts w:cs="Arial"/>
          <w:bCs/>
          <w:color w:val="003768"/>
          <w:lang w:val="fr-FR"/>
        </w:rPr>
      </w:pPr>
      <w:r>
        <w:rPr>
          <w:rFonts w:cs="Arial"/>
          <w:bCs/>
          <w:color w:val="003768"/>
          <w:lang w:val="fr-FR"/>
        </w:rPr>
        <w:br w:type="page"/>
      </w:r>
    </w:p>
    <w:p w:rsidR="003D7872" w:rsidRDefault="003D7872" w:rsidP="006763FA">
      <w:pPr>
        <w:autoSpaceDE w:val="0"/>
        <w:autoSpaceDN w:val="0"/>
        <w:adjustRightInd w:val="0"/>
        <w:spacing w:after="120" w:line="240" w:lineRule="auto"/>
        <w:ind w:left="992" w:right="6"/>
        <w:jc w:val="both"/>
        <w:rPr>
          <w:rFonts w:cs="Arial"/>
          <w:bCs/>
          <w:color w:val="003768"/>
          <w:lang w:val="fr-FR"/>
        </w:rPr>
      </w:pPr>
    </w:p>
    <w:p w:rsidR="003D7872" w:rsidRDefault="003D7872" w:rsidP="006763FA">
      <w:pPr>
        <w:autoSpaceDE w:val="0"/>
        <w:autoSpaceDN w:val="0"/>
        <w:adjustRightInd w:val="0"/>
        <w:spacing w:after="120" w:line="240" w:lineRule="auto"/>
        <w:ind w:left="992" w:right="6"/>
        <w:jc w:val="both"/>
        <w:rPr>
          <w:rFonts w:cs="Arial"/>
          <w:bCs/>
          <w:color w:val="003768"/>
          <w:lang w:val="fr-FR"/>
        </w:rPr>
      </w:pPr>
    </w:p>
    <w:p w:rsidR="00E8411D" w:rsidRDefault="006763FA" w:rsidP="006763FA">
      <w:pPr>
        <w:autoSpaceDE w:val="0"/>
        <w:autoSpaceDN w:val="0"/>
        <w:adjustRightInd w:val="0"/>
        <w:spacing w:after="120" w:line="240" w:lineRule="auto"/>
        <w:ind w:left="992" w:right="6"/>
        <w:jc w:val="both"/>
        <w:rPr>
          <w:rFonts w:cs="Arial"/>
          <w:bCs/>
          <w:color w:val="003768"/>
          <w:lang w:val="fr-FR"/>
        </w:rPr>
      </w:pPr>
      <w:r>
        <w:rPr>
          <w:rFonts w:cs="Arial"/>
          <w:bCs/>
          <w:noProof/>
          <w:color w:val="003768"/>
          <w:lang w:val="nl-BE" w:eastAsia="nl-BE"/>
        </w:rPr>
        <w:drawing>
          <wp:inline distT="0" distB="0" distL="0" distR="0" wp14:anchorId="524D0798">
            <wp:extent cx="6450330" cy="530225"/>
            <wp:effectExtent l="0" t="0" r="762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p w:rsidR="006763FA" w:rsidRDefault="006763FA" w:rsidP="006763FA">
      <w:pPr>
        <w:autoSpaceDE w:val="0"/>
        <w:autoSpaceDN w:val="0"/>
        <w:adjustRightInd w:val="0"/>
        <w:spacing w:after="120" w:line="240" w:lineRule="auto"/>
        <w:ind w:left="992" w:right="6"/>
        <w:jc w:val="both"/>
        <w:rPr>
          <w:rFonts w:cs="Arial"/>
          <w:bCs/>
          <w:color w:val="003768"/>
          <w:lang w:val="fr-FR"/>
        </w:rPr>
      </w:pPr>
    </w:p>
    <w:tbl>
      <w:tblPr>
        <w:tblW w:w="10008" w:type="dxa"/>
        <w:tblInd w:w="1133" w:type="dxa"/>
        <w:tblLook w:val="01E0" w:firstRow="1" w:lastRow="1" w:firstColumn="1" w:lastColumn="1" w:noHBand="0" w:noVBand="0"/>
      </w:tblPr>
      <w:tblGrid>
        <w:gridCol w:w="3686"/>
        <w:gridCol w:w="794"/>
        <w:gridCol w:w="794"/>
        <w:gridCol w:w="794"/>
        <w:gridCol w:w="794"/>
        <w:gridCol w:w="794"/>
        <w:gridCol w:w="794"/>
        <w:gridCol w:w="764"/>
        <w:gridCol w:w="794"/>
      </w:tblGrid>
      <w:tr w:rsidR="006763FA" w:rsidRPr="006763FA" w:rsidTr="006763FA">
        <w:tc>
          <w:tcPr>
            <w:tcW w:w="3686" w:type="dxa"/>
            <w:shd w:val="clear" w:color="auto" w:fill="365F91" w:themeFill="accent1" w:themeFillShade="BF"/>
            <w:vAlign w:val="center"/>
          </w:tcPr>
          <w:p w:rsidR="006763FA" w:rsidRPr="006763FA" w:rsidRDefault="006763FA" w:rsidP="006763FA">
            <w:pPr>
              <w:spacing w:after="0" w:line="240" w:lineRule="auto"/>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 xml:space="preserve">Chiffres clés du bilan consolidé, </w:t>
            </w:r>
            <w:r w:rsidRPr="006763FA">
              <w:rPr>
                <w:rFonts w:ascii="Arial" w:eastAsia="Times New Roman" w:hAnsi="Arial"/>
                <w:bCs/>
                <w:snapToGrid w:val="0"/>
                <w:color w:val="FFFFFF" w:themeColor="background1"/>
                <w:sz w:val="14"/>
                <w:szCs w:val="14"/>
                <w:lang w:val="fr-FR"/>
              </w:rPr>
              <w:br/>
              <w:t>*KBC Groupe (en millions d’EUR)</w:t>
            </w:r>
          </w:p>
        </w:tc>
        <w:tc>
          <w:tcPr>
            <w:tcW w:w="794" w:type="dxa"/>
            <w:shd w:val="clear" w:color="auto" w:fill="365F91" w:themeFill="accent1" w:themeFillShade="BF"/>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31-03-2013</w:t>
            </w:r>
          </w:p>
        </w:tc>
        <w:tc>
          <w:tcPr>
            <w:tcW w:w="794" w:type="dxa"/>
            <w:shd w:val="clear" w:color="auto" w:fill="365F91" w:themeFill="accent1" w:themeFillShade="BF"/>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30-06-2013</w:t>
            </w:r>
          </w:p>
        </w:tc>
        <w:tc>
          <w:tcPr>
            <w:tcW w:w="794" w:type="dxa"/>
            <w:shd w:val="clear" w:color="auto" w:fill="365F91" w:themeFill="accent1" w:themeFillShade="BF"/>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30-09-2013</w:t>
            </w:r>
          </w:p>
        </w:tc>
        <w:tc>
          <w:tcPr>
            <w:tcW w:w="794" w:type="dxa"/>
            <w:shd w:val="clear" w:color="auto" w:fill="365F91" w:themeFill="accent1" w:themeFillShade="BF"/>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31-12-2013</w:t>
            </w:r>
          </w:p>
        </w:tc>
        <w:tc>
          <w:tcPr>
            <w:tcW w:w="794" w:type="dxa"/>
            <w:shd w:val="clear" w:color="auto" w:fill="365F91" w:themeFill="accent1" w:themeFillShade="BF"/>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31-03-2014</w:t>
            </w:r>
          </w:p>
        </w:tc>
        <w:tc>
          <w:tcPr>
            <w:tcW w:w="794" w:type="dxa"/>
            <w:shd w:val="clear" w:color="auto" w:fill="365F91" w:themeFill="accent1" w:themeFillShade="BF"/>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30-06-2014</w:t>
            </w:r>
          </w:p>
        </w:tc>
        <w:tc>
          <w:tcPr>
            <w:tcW w:w="764" w:type="dxa"/>
            <w:shd w:val="clear" w:color="auto" w:fill="365F91" w:themeFill="accent1" w:themeFillShade="BF"/>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30-09-2014</w:t>
            </w:r>
          </w:p>
        </w:tc>
        <w:tc>
          <w:tcPr>
            <w:tcW w:w="794" w:type="dxa"/>
            <w:shd w:val="clear" w:color="auto" w:fill="365F91" w:themeFill="accent1" w:themeFillShade="BF"/>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31-12-2014</w:t>
            </w:r>
          </w:p>
        </w:tc>
      </w:tr>
      <w:tr w:rsidR="006763FA" w:rsidRPr="006763FA" w:rsidTr="006763FA">
        <w:trPr>
          <w:trHeight w:val="284"/>
        </w:trPr>
        <w:tc>
          <w:tcPr>
            <w:tcW w:w="3686" w:type="dxa"/>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Total du bilan</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255 753</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250 557</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247 530</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238 686</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246 179</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252 768</w:t>
            </w:r>
          </w:p>
        </w:tc>
        <w:tc>
          <w:tcPr>
            <w:tcW w:w="764" w:type="dxa"/>
            <w:shd w:val="clear" w:color="auto" w:fill="DBE5F1" w:themeFill="accent1" w:themeFillTint="33"/>
            <w:vAlign w:val="center"/>
          </w:tcPr>
          <w:p w:rsidR="006763FA" w:rsidRPr="006763FA" w:rsidRDefault="006763FA" w:rsidP="006763FA">
            <w:pPr>
              <w:spacing w:after="0" w:line="240" w:lineRule="auto"/>
              <w:jc w:val="center"/>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251 612</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w:t>
            </w:r>
          </w:p>
        </w:tc>
      </w:tr>
      <w:tr w:rsidR="006763FA" w:rsidRPr="006763FA" w:rsidTr="006763FA">
        <w:trPr>
          <w:trHeight w:val="284"/>
        </w:trPr>
        <w:tc>
          <w:tcPr>
            <w:tcW w:w="3686" w:type="dxa"/>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Prêts et avances à la clientèle</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127 112</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129 179</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125 795</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120 371</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120 810</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124 661</w:t>
            </w:r>
          </w:p>
        </w:tc>
        <w:tc>
          <w:tcPr>
            <w:tcW w:w="764" w:type="dxa"/>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125 898</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w:t>
            </w:r>
          </w:p>
        </w:tc>
      </w:tr>
      <w:tr w:rsidR="006763FA" w:rsidRPr="006763FA" w:rsidTr="006763FA">
        <w:trPr>
          <w:trHeight w:val="284"/>
        </w:trPr>
        <w:tc>
          <w:tcPr>
            <w:tcW w:w="3686" w:type="dxa"/>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Titres (actions et titres de créance)</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64 777</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65 435</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63 854</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64 904</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66 313</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68 380</w:t>
            </w:r>
          </w:p>
        </w:tc>
        <w:tc>
          <w:tcPr>
            <w:tcW w:w="764" w:type="dxa"/>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69 530</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w:t>
            </w:r>
          </w:p>
        </w:tc>
      </w:tr>
      <w:tr w:rsidR="006763FA" w:rsidRPr="006763FA" w:rsidTr="006763FA">
        <w:trPr>
          <w:trHeight w:val="284"/>
        </w:trPr>
        <w:tc>
          <w:tcPr>
            <w:tcW w:w="3686" w:type="dxa"/>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Dépôts de la clientèle et titres de créance</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164 766</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164 213</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166 223</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161 135</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163 838</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166 407</w:t>
            </w:r>
          </w:p>
        </w:tc>
        <w:tc>
          <w:tcPr>
            <w:tcW w:w="764" w:type="dxa"/>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166 843</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w:t>
            </w:r>
          </w:p>
        </w:tc>
      </w:tr>
      <w:tr w:rsidR="006763FA" w:rsidRPr="006763FA" w:rsidTr="006763FA">
        <w:trPr>
          <w:trHeight w:val="74"/>
        </w:trPr>
        <w:tc>
          <w:tcPr>
            <w:tcW w:w="3686" w:type="dxa"/>
            <w:vAlign w:val="center"/>
          </w:tcPr>
          <w:p w:rsidR="006763FA" w:rsidRPr="006763FA" w:rsidRDefault="006763FA" w:rsidP="006763FA">
            <w:pPr>
              <w:spacing w:before="120"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Provisions techniques avant réassurance</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18 836</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18 805</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18 803</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18 701</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18 941</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19 007</w:t>
            </w:r>
          </w:p>
        </w:tc>
        <w:tc>
          <w:tcPr>
            <w:tcW w:w="764" w:type="dxa"/>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19 065</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w:t>
            </w:r>
          </w:p>
        </w:tc>
      </w:tr>
      <w:tr w:rsidR="006763FA" w:rsidRPr="006763FA" w:rsidTr="006763FA">
        <w:trPr>
          <w:trHeight w:val="284"/>
        </w:trPr>
        <w:tc>
          <w:tcPr>
            <w:tcW w:w="3686" w:type="dxa"/>
            <w:vAlign w:val="center"/>
          </w:tcPr>
          <w:p w:rsidR="006763FA" w:rsidRPr="006763FA" w:rsidRDefault="006763FA" w:rsidP="006763FA">
            <w:pPr>
              <w:spacing w:before="120"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Dettes de contrats d'investissement, assurance</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11 664</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11 606</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11 684</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11 787</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11 976</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12 322</w:t>
            </w:r>
          </w:p>
        </w:tc>
        <w:tc>
          <w:tcPr>
            <w:tcW w:w="764" w:type="dxa"/>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12 540</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w:t>
            </w:r>
          </w:p>
        </w:tc>
      </w:tr>
      <w:tr w:rsidR="006763FA" w:rsidRPr="006763FA" w:rsidTr="006763FA">
        <w:trPr>
          <w:trHeight w:val="284"/>
        </w:trPr>
        <w:tc>
          <w:tcPr>
            <w:tcW w:w="3686" w:type="dxa"/>
            <w:vAlign w:val="center"/>
          </w:tcPr>
          <w:p w:rsidR="006763FA" w:rsidRPr="006763FA" w:rsidRDefault="006763FA" w:rsidP="006763FA">
            <w:pPr>
              <w:spacing w:before="120"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Capitaux propres des actionnaires</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12 505</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12 119</w:t>
            </w:r>
          </w:p>
        </w:tc>
        <w:tc>
          <w:tcPr>
            <w:tcW w:w="79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11 895</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11 826</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11 968</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12 318</w:t>
            </w:r>
          </w:p>
        </w:tc>
        <w:tc>
          <w:tcPr>
            <w:tcW w:w="764" w:type="dxa"/>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12 840</w:t>
            </w:r>
          </w:p>
        </w:tc>
        <w:tc>
          <w:tcPr>
            <w:tcW w:w="794" w:type="dxa"/>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w:t>
            </w:r>
          </w:p>
        </w:tc>
      </w:tr>
      <w:tr w:rsidR="006763FA" w:rsidRPr="006763FA" w:rsidTr="006763FA">
        <w:trPr>
          <w:trHeight w:val="284"/>
        </w:trPr>
        <w:tc>
          <w:tcPr>
            <w:tcW w:w="3686" w:type="dxa"/>
            <w:tcBorders>
              <w:bottom w:val="single" w:sz="8" w:space="0" w:color="1F497D" w:themeColor="text2"/>
            </w:tcBorders>
            <w:vAlign w:val="center"/>
          </w:tcPr>
          <w:p w:rsidR="006763FA" w:rsidRPr="006763FA" w:rsidRDefault="006763FA" w:rsidP="006763FA">
            <w:pPr>
              <w:spacing w:before="120"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Titres de capital de base sans droit de vote</w:t>
            </w:r>
          </w:p>
        </w:tc>
        <w:tc>
          <w:tcPr>
            <w:tcW w:w="794" w:type="dxa"/>
            <w:tcBorders>
              <w:bottom w:val="single" w:sz="8" w:space="0" w:color="1F497D" w:themeColor="text2"/>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3 500</w:t>
            </w:r>
          </w:p>
        </w:tc>
        <w:tc>
          <w:tcPr>
            <w:tcW w:w="794" w:type="dxa"/>
            <w:tcBorders>
              <w:bottom w:val="single" w:sz="8" w:space="0" w:color="1F497D" w:themeColor="text2"/>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3 500</w:t>
            </w:r>
          </w:p>
        </w:tc>
        <w:tc>
          <w:tcPr>
            <w:tcW w:w="794" w:type="dxa"/>
            <w:tcBorders>
              <w:bottom w:val="single" w:sz="8" w:space="0" w:color="1F497D" w:themeColor="text2"/>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2 333</w:t>
            </w:r>
          </w:p>
        </w:tc>
        <w:tc>
          <w:tcPr>
            <w:tcW w:w="794" w:type="dxa"/>
            <w:tcBorders>
              <w:bottom w:val="single" w:sz="8" w:space="0" w:color="1F497D" w:themeColor="text2"/>
            </w:tcBorders>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2 333</w:t>
            </w:r>
          </w:p>
        </w:tc>
        <w:tc>
          <w:tcPr>
            <w:tcW w:w="794" w:type="dxa"/>
            <w:tcBorders>
              <w:bottom w:val="single" w:sz="8" w:space="0" w:color="1F497D" w:themeColor="text2"/>
            </w:tcBorders>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2 000</w:t>
            </w:r>
          </w:p>
        </w:tc>
        <w:tc>
          <w:tcPr>
            <w:tcW w:w="794" w:type="dxa"/>
            <w:tcBorders>
              <w:bottom w:val="single" w:sz="8" w:space="0" w:color="1F497D" w:themeColor="text2"/>
            </w:tcBorders>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2 000</w:t>
            </w:r>
          </w:p>
        </w:tc>
        <w:tc>
          <w:tcPr>
            <w:tcW w:w="764" w:type="dxa"/>
            <w:tcBorders>
              <w:bottom w:val="single" w:sz="8" w:space="0" w:color="1F497D" w:themeColor="text2"/>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2 000</w:t>
            </w:r>
          </w:p>
        </w:tc>
        <w:tc>
          <w:tcPr>
            <w:tcW w:w="794" w:type="dxa"/>
            <w:tcBorders>
              <w:bottom w:val="single" w:sz="8" w:space="0" w:color="1F497D" w:themeColor="text2"/>
            </w:tcBorders>
            <w:shd w:val="clear" w:color="auto" w:fill="auto"/>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w:t>
            </w:r>
          </w:p>
        </w:tc>
      </w:tr>
      <w:tr w:rsidR="006763FA" w:rsidRPr="006763FA" w:rsidTr="006763FA">
        <w:trPr>
          <w:trHeight w:val="339"/>
        </w:trPr>
        <w:tc>
          <w:tcPr>
            <w:tcW w:w="10008" w:type="dxa"/>
            <w:gridSpan w:val="9"/>
            <w:tcBorders>
              <w:top w:val="single" w:sz="8" w:space="0" w:color="1F497D" w:themeColor="text2"/>
            </w:tcBorders>
            <w:vAlign w:val="center"/>
          </w:tcPr>
          <w:p w:rsidR="006763FA" w:rsidRPr="006763FA" w:rsidRDefault="006763FA" w:rsidP="006763FA">
            <w:pPr>
              <w:autoSpaceDE w:val="0"/>
              <w:autoSpaceDN w:val="0"/>
              <w:adjustRightInd w:val="0"/>
              <w:spacing w:after="120" w:line="240" w:lineRule="auto"/>
              <w:ind w:right="6"/>
              <w:jc w:val="both"/>
              <w:rPr>
                <w:rFonts w:cs="Arial"/>
                <w:bCs/>
                <w:color w:val="003768"/>
                <w:sz w:val="16"/>
                <w:szCs w:val="16"/>
              </w:rPr>
            </w:pPr>
            <w:r w:rsidRPr="006763FA">
              <w:rPr>
                <w:rFonts w:cs="Arial"/>
                <w:bCs/>
                <w:color w:val="003768"/>
                <w:sz w:val="16"/>
                <w:szCs w:val="16"/>
                <w:lang w:val="fr-FR"/>
              </w:rPr>
              <w:t xml:space="preserve">* Notons que les chiffres de référence 2013 ont été légèrement ajustés par suite de l'application de la nouvelle norme IFRS 11. </w:t>
            </w:r>
            <w:proofErr w:type="spellStart"/>
            <w:r w:rsidRPr="006763FA">
              <w:rPr>
                <w:rFonts w:cs="Arial"/>
                <w:bCs/>
                <w:color w:val="003768"/>
                <w:sz w:val="16"/>
                <w:szCs w:val="16"/>
              </w:rPr>
              <w:t>Cette</w:t>
            </w:r>
            <w:proofErr w:type="spellEnd"/>
            <w:r w:rsidRPr="006763FA">
              <w:rPr>
                <w:rFonts w:cs="Arial"/>
                <w:bCs/>
                <w:color w:val="003768"/>
                <w:sz w:val="16"/>
                <w:szCs w:val="16"/>
              </w:rPr>
              <w:t xml:space="preserve"> </w:t>
            </w:r>
            <w:proofErr w:type="spellStart"/>
            <w:r w:rsidRPr="006763FA">
              <w:rPr>
                <w:rFonts w:cs="Arial"/>
                <w:bCs/>
                <w:color w:val="003768"/>
                <w:sz w:val="16"/>
                <w:szCs w:val="16"/>
              </w:rPr>
              <w:t>norme</w:t>
            </w:r>
            <w:proofErr w:type="spellEnd"/>
            <w:r w:rsidRPr="006763FA">
              <w:rPr>
                <w:rFonts w:cs="Arial"/>
                <w:bCs/>
                <w:color w:val="003768"/>
                <w:sz w:val="16"/>
                <w:szCs w:val="16"/>
              </w:rPr>
              <w:t xml:space="preserve"> stipule </w:t>
            </w:r>
            <w:proofErr w:type="spellStart"/>
            <w:r w:rsidRPr="006763FA">
              <w:rPr>
                <w:rFonts w:cs="Arial"/>
                <w:bCs/>
                <w:color w:val="003768"/>
                <w:sz w:val="16"/>
                <w:szCs w:val="16"/>
              </w:rPr>
              <w:t>que</w:t>
            </w:r>
            <w:proofErr w:type="spellEnd"/>
            <w:r w:rsidRPr="006763FA">
              <w:rPr>
                <w:rFonts w:cs="Arial"/>
                <w:bCs/>
                <w:color w:val="003768"/>
                <w:sz w:val="16"/>
                <w:szCs w:val="16"/>
              </w:rPr>
              <w:t xml:space="preserve"> les joint ventures </w:t>
            </w:r>
            <w:proofErr w:type="spellStart"/>
            <w:r w:rsidRPr="006763FA">
              <w:rPr>
                <w:rFonts w:cs="Arial"/>
                <w:bCs/>
                <w:color w:val="003768"/>
                <w:sz w:val="16"/>
                <w:szCs w:val="16"/>
              </w:rPr>
              <w:t>doivent</w:t>
            </w:r>
            <w:proofErr w:type="spellEnd"/>
            <w:r w:rsidRPr="006763FA">
              <w:rPr>
                <w:rFonts w:cs="Arial"/>
                <w:bCs/>
                <w:color w:val="003768"/>
                <w:sz w:val="16"/>
                <w:szCs w:val="16"/>
              </w:rPr>
              <w:t xml:space="preserve"> </w:t>
            </w:r>
            <w:proofErr w:type="spellStart"/>
            <w:r w:rsidRPr="006763FA">
              <w:rPr>
                <w:rFonts w:cs="Arial"/>
                <w:bCs/>
                <w:color w:val="003768"/>
                <w:sz w:val="16"/>
                <w:szCs w:val="16"/>
              </w:rPr>
              <w:t>être</w:t>
            </w:r>
            <w:proofErr w:type="spellEnd"/>
            <w:r w:rsidRPr="006763FA">
              <w:rPr>
                <w:rFonts w:cs="Arial"/>
                <w:bCs/>
                <w:color w:val="003768"/>
                <w:sz w:val="16"/>
                <w:szCs w:val="16"/>
              </w:rPr>
              <w:t xml:space="preserve"> </w:t>
            </w:r>
            <w:proofErr w:type="spellStart"/>
            <w:r w:rsidRPr="006763FA">
              <w:rPr>
                <w:rFonts w:cs="Arial"/>
                <w:bCs/>
                <w:color w:val="003768"/>
                <w:sz w:val="16"/>
                <w:szCs w:val="16"/>
              </w:rPr>
              <w:t>comptabilisées</w:t>
            </w:r>
            <w:proofErr w:type="spellEnd"/>
            <w:r w:rsidRPr="006763FA">
              <w:rPr>
                <w:rFonts w:cs="Arial"/>
                <w:bCs/>
                <w:color w:val="003768"/>
                <w:sz w:val="16"/>
                <w:szCs w:val="16"/>
              </w:rPr>
              <w:t xml:space="preserve"> </w:t>
            </w:r>
            <w:proofErr w:type="spellStart"/>
            <w:r w:rsidRPr="006763FA">
              <w:rPr>
                <w:rFonts w:cs="Arial"/>
                <w:bCs/>
                <w:color w:val="003768"/>
                <w:sz w:val="16"/>
                <w:szCs w:val="16"/>
              </w:rPr>
              <w:t>selon</w:t>
            </w:r>
            <w:proofErr w:type="spellEnd"/>
            <w:r w:rsidRPr="006763FA">
              <w:rPr>
                <w:rFonts w:cs="Arial"/>
                <w:bCs/>
                <w:color w:val="003768"/>
                <w:sz w:val="16"/>
                <w:szCs w:val="16"/>
              </w:rPr>
              <w:t xml:space="preserve"> la méthode de mise en équivalence au lieu de la méthode de la consolidation proportionnelle. Pour KBC, cela </w:t>
            </w:r>
            <w:proofErr w:type="spellStart"/>
            <w:r w:rsidRPr="006763FA">
              <w:rPr>
                <w:rFonts w:cs="Arial"/>
                <w:bCs/>
                <w:color w:val="003768"/>
                <w:sz w:val="16"/>
                <w:szCs w:val="16"/>
              </w:rPr>
              <w:t>s'applique</w:t>
            </w:r>
            <w:proofErr w:type="spellEnd"/>
            <w:r w:rsidRPr="006763FA">
              <w:rPr>
                <w:rFonts w:cs="Arial"/>
                <w:bCs/>
                <w:color w:val="003768"/>
                <w:sz w:val="16"/>
                <w:szCs w:val="16"/>
              </w:rPr>
              <w:t xml:space="preserve"> à ČMSS, </w:t>
            </w:r>
            <w:proofErr w:type="spellStart"/>
            <w:r w:rsidRPr="006763FA">
              <w:rPr>
                <w:rFonts w:cs="Arial"/>
                <w:bCs/>
                <w:color w:val="003768"/>
                <w:sz w:val="16"/>
                <w:szCs w:val="16"/>
              </w:rPr>
              <w:t>une</w:t>
            </w:r>
            <w:proofErr w:type="spellEnd"/>
            <w:r w:rsidRPr="006763FA">
              <w:rPr>
                <w:rFonts w:cs="Arial"/>
                <w:bCs/>
                <w:color w:val="003768"/>
                <w:sz w:val="16"/>
                <w:szCs w:val="16"/>
              </w:rPr>
              <w:t xml:space="preserve"> joint venture de ČSOB en République tchèque. Ce changement n'affecte pas les capitaux propres, mais a un impact sur différents postes du bilan consolidé. Par ailleurs, conformément à l'IFRS 5, les actifs et passifs d’un certain nombre de désinvestissements ont été réattribués aux postes « Actifs non courants détenus en vue de la vente et groupes destinés à être cédés » et « Passifs liés à des groupes d'actifs destinés à être cédés », ce qui fausse légèrement la comparaison entre périodes.</w:t>
            </w:r>
          </w:p>
          <w:p w:rsidR="006763FA" w:rsidRPr="006763FA" w:rsidRDefault="006763FA" w:rsidP="006763FA">
            <w:pPr>
              <w:spacing w:after="0" w:line="240" w:lineRule="auto"/>
              <w:ind w:left="88" w:hanging="88"/>
              <w:outlineLvl w:val="8"/>
              <w:rPr>
                <w:rFonts w:ascii="Times New Roman" w:eastAsia="Times New Roman" w:hAnsi="Times New Roman"/>
                <w:sz w:val="14"/>
                <w:szCs w:val="14"/>
                <w:lang w:val="fr-FR"/>
              </w:rPr>
            </w:pPr>
          </w:p>
        </w:tc>
      </w:tr>
    </w:tbl>
    <w:p w:rsidR="00E8411D" w:rsidRDefault="006763FA" w:rsidP="00734B00">
      <w:pPr>
        <w:autoSpaceDE w:val="0"/>
        <w:autoSpaceDN w:val="0"/>
        <w:adjustRightInd w:val="0"/>
        <w:spacing w:after="120" w:line="240" w:lineRule="auto"/>
        <w:ind w:left="992" w:right="6"/>
        <w:jc w:val="both"/>
        <w:rPr>
          <w:rFonts w:cs="Arial"/>
          <w:bCs/>
          <w:color w:val="003768"/>
          <w:lang w:val="fr-FR"/>
        </w:rPr>
      </w:pPr>
      <w:r>
        <w:rPr>
          <w:rFonts w:cs="Arial"/>
          <w:bCs/>
          <w:noProof/>
          <w:color w:val="003768"/>
          <w:lang w:val="nl-BE" w:eastAsia="nl-BE"/>
        </w:rPr>
        <w:drawing>
          <wp:inline distT="0" distB="0" distL="0" distR="0" wp14:anchorId="561EE5D3">
            <wp:extent cx="6450330" cy="530225"/>
            <wp:effectExtent l="0" t="0" r="762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0330" cy="530225"/>
                    </a:xfrm>
                    <a:prstGeom prst="rect">
                      <a:avLst/>
                    </a:prstGeom>
                    <a:noFill/>
                  </pic:spPr>
                </pic:pic>
              </a:graphicData>
            </a:graphic>
          </wp:inline>
        </w:drawing>
      </w:r>
    </w:p>
    <w:tbl>
      <w:tblPr>
        <w:tblpPr w:leftFromText="141" w:rightFromText="141" w:vertAnchor="text" w:horzAnchor="page" w:tblpX="1318" w:tblpY="37"/>
        <w:tblW w:w="10065" w:type="dxa"/>
        <w:tblLook w:val="01E0" w:firstRow="1" w:lastRow="1" w:firstColumn="1" w:lastColumn="1" w:noHBand="0" w:noVBand="0"/>
      </w:tblPr>
      <w:tblGrid>
        <w:gridCol w:w="5954"/>
        <w:gridCol w:w="1843"/>
        <w:gridCol w:w="1134"/>
        <w:gridCol w:w="1134"/>
      </w:tblGrid>
      <w:tr w:rsidR="006763FA" w:rsidRPr="006763FA" w:rsidTr="006763FA">
        <w:tc>
          <w:tcPr>
            <w:tcW w:w="5954" w:type="dxa"/>
            <w:shd w:val="clear" w:color="auto" w:fill="1F497D" w:themeFill="text2"/>
            <w:vAlign w:val="center"/>
          </w:tcPr>
          <w:p w:rsidR="006763FA" w:rsidRPr="006763FA" w:rsidRDefault="006763FA" w:rsidP="006763FA">
            <w:pPr>
              <w:spacing w:after="0" w:line="240" w:lineRule="auto"/>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Ratios sélectionnés</w:t>
            </w:r>
          </w:p>
          <w:p w:rsidR="006763FA" w:rsidRPr="006763FA" w:rsidRDefault="006763FA" w:rsidP="006763FA">
            <w:pPr>
              <w:spacing w:after="0" w:line="240" w:lineRule="auto"/>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Groupe KBC (consolidé)</w:t>
            </w:r>
          </w:p>
        </w:tc>
        <w:tc>
          <w:tcPr>
            <w:tcW w:w="1843" w:type="dxa"/>
            <w:shd w:val="clear" w:color="auto" w:fill="1F497D" w:themeFill="text2"/>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p>
        </w:tc>
        <w:tc>
          <w:tcPr>
            <w:tcW w:w="1134" w:type="dxa"/>
            <w:shd w:val="clear" w:color="auto" w:fill="1F497D" w:themeFill="text2"/>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Exercice 2013</w:t>
            </w:r>
          </w:p>
        </w:tc>
        <w:tc>
          <w:tcPr>
            <w:tcW w:w="1134" w:type="dxa"/>
            <w:shd w:val="clear" w:color="auto" w:fill="1F497D" w:themeFill="text2"/>
            <w:vAlign w:val="center"/>
          </w:tcPr>
          <w:p w:rsidR="006763FA" w:rsidRPr="006763FA" w:rsidRDefault="006763FA" w:rsidP="006763FA">
            <w:pPr>
              <w:spacing w:after="0" w:line="240" w:lineRule="auto"/>
              <w:jc w:val="right"/>
              <w:rPr>
                <w:rFonts w:ascii="Arial" w:eastAsia="Times New Roman" w:hAnsi="Arial"/>
                <w:bCs/>
                <w:snapToGrid w:val="0"/>
                <w:color w:val="FFFFFF" w:themeColor="background1"/>
                <w:sz w:val="14"/>
                <w:szCs w:val="14"/>
                <w:lang w:val="fr-FR"/>
              </w:rPr>
            </w:pPr>
            <w:r w:rsidRPr="006763FA">
              <w:rPr>
                <w:rFonts w:ascii="Arial" w:eastAsia="Times New Roman" w:hAnsi="Arial"/>
                <w:bCs/>
                <w:snapToGrid w:val="0"/>
                <w:color w:val="FFFFFF" w:themeColor="background1"/>
                <w:sz w:val="14"/>
                <w:szCs w:val="14"/>
                <w:lang w:val="fr-FR"/>
              </w:rPr>
              <w:t>9M2014</w:t>
            </w:r>
          </w:p>
        </w:tc>
      </w:tr>
      <w:tr w:rsidR="006763FA" w:rsidRPr="006763FA" w:rsidTr="006763FA">
        <w:trPr>
          <w:trHeight w:val="227"/>
        </w:trPr>
        <w:tc>
          <w:tcPr>
            <w:tcW w:w="5954" w:type="dxa"/>
            <w:tcBorders>
              <w:bottom w:val="single" w:sz="8" w:space="0" w:color="365F91" w:themeColor="accent1" w:themeShade="BF"/>
            </w:tcBorders>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Rentabilité et efficacité (basées sur le résultat net ajusté)</w:t>
            </w:r>
          </w:p>
        </w:tc>
        <w:tc>
          <w:tcPr>
            <w:tcW w:w="1843" w:type="dxa"/>
            <w:tcBorders>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bottom w:val="single" w:sz="8" w:space="0" w:color="365F91" w:themeColor="accent1" w:themeShade="BF"/>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r>
      <w:tr w:rsidR="006763FA" w:rsidRPr="006763FA" w:rsidTr="006763FA">
        <w:trPr>
          <w:trHeight w:val="227"/>
        </w:trPr>
        <w:tc>
          <w:tcPr>
            <w:tcW w:w="5954" w:type="dxa"/>
            <w:tcBorders>
              <w:top w:val="single" w:sz="8" w:space="0" w:color="365F91" w:themeColor="accent1" w:themeShade="BF"/>
            </w:tcBorders>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 xml:space="preserve">    Rendement des capitaux propres*  </w:t>
            </w:r>
          </w:p>
        </w:tc>
        <w:tc>
          <w:tcPr>
            <w:tcW w:w="1843" w:type="dxa"/>
            <w:tcBorders>
              <w:top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top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9%</w:t>
            </w:r>
          </w:p>
        </w:tc>
        <w:tc>
          <w:tcPr>
            <w:tcW w:w="1134" w:type="dxa"/>
            <w:tcBorders>
              <w:top w:val="single" w:sz="8" w:space="0" w:color="365F91" w:themeColor="accent1" w:themeShade="BF"/>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w:t>
            </w:r>
          </w:p>
        </w:tc>
      </w:tr>
      <w:tr w:rsidR="006763FA" w:rsidRPr="006763FA" w:rsidTr="006763FA">
        <w:trPr>
          <w:trHeight w:val="227"/>
        </w:trPr>
        <w:tc>
          <w:tcPr>
            <w:tcW w:w="5954" w:type="dxa"/>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 xml:space="preserve">    Ratio charges/produits, activités bancaires</w:t>
            </w:r>
          </w:p>
        </w:tc>
        <w:tc>
          <w:tcPr>
            <w:tcW w:w="1843"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52%</w:t>
            </w:r>
          </w:p>
        </w:tc>
        <w:tc>
          <w:tcPr>
            <w:tcW w:w="1134" w:type="dxa"/>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59%</w:t>
            </w:r>
          </w:p>
        </w:tc>
      </w:tr>
      <w:tr w:rsidR="006763FA" w:rsidRPr="006763FA" w:rsidTr="006763FA">
        <w:trPr>
          <w:trHeight w:val="227"/>
        </w:trPr>
        <w:tc>
          <w:tcPr>
            <w:tcW w:w="5954" w:type="dxa"/>
            <w:tcBorders>
              <w:bottom w:val="single" w:sz="8" w:space="0" w:color="365F91" w:themeColor="accent1" w:themeShade="BF"/>
            </w:tcBorders>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 xml:space="preserve">    Ratio combiné, assurances dommages</w:t>
            </w:r>
          </w:p>
        </w:tc>
        <w:tc>
          <w:tcPr>
            <w:tcW w:w="1843" w:type="dxa"/>
            <w:tcBorders>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94%</w:t>
            </w:r>
          </w:p>
        </w:tc>
        <w:tc>
          <w:tcPr>
            <w:tcW w:w="1134" w:type="dxa"/>
            <w:tcBorders>
              <w:bottom w:val="single" w:sz="8" w:space="0" w:color="365F91" w:themeColor="accent1" w:themeShade="BF"/>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93%</w:t>
            </w:r>
          </w:p>
        </w:tc>
      </w:tr>
      <w:tr w:rsidR="006763FA" w:rsidRPr="006763FA" w:rsidTr="006763FA">
        <w:trPr>
          <w:trHeight w:val="227"/>
        </w:trPr>
        <w:tc>
          <w:tcPr>
            <w:tcW w:w="5954" w:type="dxa"/>
            <w:tcBorders>
              <w:top w:val="single" w:sz="8" w:space="0" w:color="365F91" w:themeColor="accent1" w:themeShade="BF"/>
              <w:bottom w:val="single" w:sz="8" w:space="0" w:color="365F91" w:themeColor="accent1" w:themeShade="BF"/>
            </w:tcBorders>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Solvabilité</w:t>
            </w:r>
          </w:p>
        </w:tc>
        <w:tc>
          <w:tcPr>
            <w:tcW w:w="1843" w:type="dxa"/>
            <w:tcBorders>
              <w:top w:val="single" w:sz="8" w:space="0" w:color="365F91" w:themeColor="accent1" w:themeShade="BF"/>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top w:val="single" w:sz="8" w:space="0" w:color="365F91" w:themeColor="accent1" w:themeShade="BF"/>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r>
      <w:tr w:rsidR="006763FA" w:rsidRPr="006763FA" w:rsidTr="006763FA">
        <w:trPr>
          <w:trHeight w:val="227"/>
        </w:trPr>
        <w:tc>
          <w:tcPr>
            <w:tcW w:w="5954" w:type="dxa"/>
            <w:tcBorders>
              <w:top w:val="single" w:sz="8" w:space="0" w:color="365F91" w:themeColor="accent1" w:themeShade="BF"/>
            </w:tcBorders>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 xml:space="preserve">    Ratio Common </w:t>
            </w:r>
            <w:proofErr w:type="spellStart"/>
            <w:r w:rsidRPr="006763FA">
              <w:rPr>
                <w:rFonts w:ascii="Arial" w:eastAsia="Times New Roman" w:hAnsi="Arial"/>
                <w:bCs/>
                <w:snapToGrid w:val="0"/>
                <w:sz w:val="14"/>
                <w:szCs w:val="14"/>
                <w:lang w:val="fr-FR"/>
              </w:rPr>
              <w:t>equity</w:t>
            </w:r>
            <w:proofErr w:type="spellEnd"/>
            <w:r w:rsidRPr="006763FA">
              <w:rPr>
                <w:rFonts w:ascii="Arial" w:eastAsia="Times New Roman" w:hAnsi="Arial"/>
                <w:bCs/>
                <w:snapToGrid w:val="0"/>
                <w:sz w:val="14"/>
                <w:szCs w:val="14"/>
                <w:lang w:val="fr-FR"/>
              </w:rPr>
              <w:t xml:space="preserve"> (Bâle III, </w:t>
            </w:r>
            <w:proofErr w:type="spellStart"/>
            <w:r w:rsidRPr="006763FA">
              <w:rPr>
                <w:rFonts w:ascii="Arial" w:eastAsia="Times New Roman" w:hAnsi="Arial"/>
                <w:bCs/>
                <w:snapToGrid w:val="0"/>
                <w:sz w:val="14"/>
                <w:szCs w:val="14"/>
                <w:lang w:val="fr-FR"/>
              </w:rPr>
              <w:t>fully</w:t>
            </w:r>
            <w:proofErr w:type="spellEnd"/>
            <w:r w:rsidRPr="006763FA">
              <w:rPr>
                <w:rFonts w:ascii="Arial" w:eastAsia="Times New Roman" w:hAnsi="Arial"/>
                <w:bCs/>
                <w:snapToGrid w:val="0"/>
                <w:sz w:val="14"/>
                <w:szCs w:val="14"/>
                <w:lang w:val="fr-FR"/>
              </w:rPr>
              <w:t xml:space="preserve"> </w:t>
            </w:r>
            <w:proofErr w:type="spellStart"/>
            <w:r w:rsidRPr="006763FA">
              <w:rPr>
                <w:rFonts w:ascii="Arial" w:eastAsia="Times New Roman" w:hAnsi="Arial"/>
                <w:bCs/>
                <w:snapToGrid w:val="0"/>
                <w:sz w:val="14"/>
                <w:szCs w:val="14"/>
                <w:lang w:val="fr-FR"/>
              </w:rPr>
              <w:t>loaded</w:t>
            </w:r>
            <w:proofErr w:type="spellEnd"/>
            <w:r w:rsidRPr="006763FA">
              <w:rPr>
                <w:rFonts w:ascii="Arial" w:eastAsia="Times New Roman" w:hAnsi="Arial"/>
                <w:bCs/>
                <w:snapToGrid w:val="0"/>
                <w:sz w:val="14"/>
                <w:szCs w:val="14"/>
                <w:lang w:val="fr-FR"/>
              </w:rPr>
              <w:t>, y compris l'aide publique restante)</w:t>
            </w:r>
          </w:p>
        </w:tc>
        <w:tc>
          <w:tcPr>
            <w:tcW w:w="1843" w:type="dxa"/>
            <w:tcBorders>
              <w:top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top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12.8%</w:t>
            </w:r>
          </w:p>
        </w:tc>
        <w:tc>
          <w:tcPr>
            <w:tcW w:w="1134" w:type="dxa"/>
            <w:tcBorders>
              <w:top w:val="single" w:sz="8" w:space="0" w:color="365F91" w:themeColor="accent1" w:themeShade="BF"/>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13.7%</w:t>
            </w:r>
          </w:p>
        </w:tc>
      </w:tr>
      <w:tr w:rsidR="006763FA" w:rsidRPr="006763FA" w:rsidTr="006763FA">
        <w:trPr>
          <w:trHeight w:val="227"/>
        </w:trPr>
        <w:tc>
          <w:tcPr>
            <w:tcW w:w="5954" w:type="dxa"/>
            <w:tcBorders>
              <w:top w:val="single" w:sz="8" w:space="0" w:color="365F91" w:themeColor="accent1" w:themeShade="BF"/>
              <w:bottom w:val="single" w:sz="8" w:space="0" w:color="365F91" w:themeColor="accent1" w:themeShade="BF"/>
            </w:tcBorders>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Risque de crédit</w:t>
            </w:r>
          </w:p>
        </w:tc>
        <w:tc>
          <w:tcPr>
            <w:tcW w:w="1843" w:type="dxa"/>
            <w:tcBorders>
              <w:top w:val="single" w:sz="8" w:space="0" w:color="365F91" w:themeColor="accent1" w:themeShade="BF"/>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top w:val="single" w:sz="8" w:space="0" w:color="365F91" w:themeColor="accent1" w:themeShade="BF"/>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top w:val="single" w:sz="8" w:space="0" w:color="365F91" w:themeColor="accent1" w:themeShade="BF"/>
              <w:bottom w:val="single" w:sz="8" w:space="0" w:color="365F91" w:themeColor="accent1" w:themeShade="BF"/>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r>
      <w:tr w:rsidR="006763FA" w:rsidRPr="006763FA" w:rsidTr="006763FA">
        <w:trPr>
          <w:trHeight w:val="227"/>
        </w:trPr>
        <w:tc>
          <w:tcPr>
            <w:tcW w:w="5954" w:type="dxa"/>
            <w:tcBorders>
              <w:top w:val="single" w:sz="8" w:space="0" w:color="365F91" w:themeColor="accent1" w:themeShade="BF"/>
            </w:tcBorders>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 xml:space="preserve">    Ratio de pertes sur crédits</w:t>
            </w:r>
          </w:p>
        </w:tc>
        <w:tc>
          <w:tcPr>
            <w:tcW w:w="1843" w:type="dxa"/>
            <w:tcBorders>
              <w:top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top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1.21%</w:t>
            </w:r>
          </w:p>
        </w:tc>
        <w:tc>
          <w:tcPr>
            <w:tcW w:w="1134" w:type="dxa"/>
            <w:tcBorders>
              <w:top w:val="single" w:sz="8" w:space="0" w:color="365F91" w:themeColor="accent1" w:themeShade="BF"/>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0.41%</w:t>
            </w:r>
          </w:p>
        </w:tc>
      </w:tr>
      <w:tr w:rsidR="006763FA" w:rsidRPr="006763FA" w:rsidTr="006763FA">
        <w:trPr>
          <w:trHeight w:val="227"/>
        </w:trPr>
        <w:tc>
          <w:tcPr>
            <w:tcW w:w="5954" w:type="dxa"/>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 xml:space="preserve">   Ratio de crédits </w:t>
            </w:r>
            <w:proofErr w:type="spellStart"/>
            <w:r w:rsidRPr="006763FA">
              <w:rPr>
                <w:rFonts w:ascii="Arial" w:eastAsia="Times New Roman" w:hAnsi="Arial"/>
                <w:bCs/>
                <w:snapToGrid w:val="0"/>
                <w:sz w:val="14"/>
                <w:szCs w:val="14"/>
                <w:lang w:val="fr-FR"/>
              </w:rPr>
              <w:t>impaired</w:t>
            </w:r>
            <w:proofErr w:type="spellEnd"/>
            <w:r w:rsidRPr="006763FA">
              <w:rPr>
                <w:rFonts w:ascii="Arial" w:eastAsia="Times New Roman" w:hAnsi="Arial"/>
                <w:bCs/>
                <w:snapToGrid w:val="0"/>
                <w:sz w:val="14"/>
                <w:szCs w:val="14"/>
                <w:lang w:val="fr-FR"/>
              </w:rPr>
              <w:t xml:space="preserve">     </w:t>
            </w:r>
          </w:p>
        </w:tc>
        <w:tc>
          <w:tcPr>
            <w:tcW w:w="1843"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10.2%</w:t>
            </w:r>
          </w:p>
        </w:tc>
        <w:tc>
          <w:tcPr>
            <w:tcW w:w="1134" w:type="dxa"/>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10.3%</w:t>
            </w:r>
          </w:p>
        </w:tc>
      </w:tr>
      <w:tr w:rsidR="006763FA" w:rsidRPr="006763FA" w:rsidTr="006763FA">
        <w:trPr>
          <w:trHeight w:val="227"/>
        </w:trPr>
        <w:tc>
          <w:tcPr>
            <w:tcW w:w="5954" w:type="dxa"/>
            <w:tcBorders>
              <w:bottom w:val="single" w:sz="8" w:space="0" w:color="365F91" w:themeColor="accent1" w:themeShade="BF"/>
            </w:tcBorders>
            <w:vAlign w:val="center"/>
          </w:tcPr>
          <w:p w:rsidR="006763FA" w:rsidRPr="006763FA" w:rsidRDefault="006763FA" w:rsidP="006763FA">
            <w:pPr>
              <w:spacing w:after="0" w:line="240" w:lineRule="auto"/>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 xml:space="preserve">          pour des prêts en retard de plus de 90 jours</w:t>
            </w:r>
          </w:p>
        </w:tc>
        <w:tc>
          <w:tcPr>
            <w:tcW w:w="1843" w:type="dxa"/>
            <w:tcBorders>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p>
        </w:tc>
        <w:tc>
          <w:tcPr>
            <w:tcW w:w="1134" w:type="dxa"/>
            <w:tcBorders>
              <w:bottom w:val="single" w:sz="8" w:space="0" w:color="365F91" w:themeColor="accent1" w:themeShade="BF"/>
            </w:tcBorders>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5.9%</w:t>
            </w:r>
          </w:p>
        </w:tc>
        <w:tc>
          <w:tcPr>
            <w:tcW w:w="1134" w:type="dxa"/>
            <w:tcBorders>
              <w:bottom w:val="single" w:sz="8" w:space="0" w:color="365F91" w:themeColor="accent1" w:themeShade="BF"/>
            </w:tcBorders>
            <w:shd w:val="clear" w:color="auto" w:fill="DBE5F1" w:themeFill="accent1" w:themeFillTint="33"/>
            <w:vAlign w:val="center"/>
          </w:tcPr>
          <w:p w:rsidR="006763FA" w:rsidRPr="006763FA" w:rsidRDefault="006763FA" w:rsidP="006763FA">
            <w:pPr>
              <w:spacing w:after="0" w:line="240" w:lineRule="auto"/>
              <w:jc w:val="right"/>
              <w:rPr>
                <w:rFonts w:ascii="Arial" w:eastAsia="Times New Roman" w:hAnsi="Arial"/>
                <w:bCs/>
                <w:snapToGrid w:val="0"/>
                <w:sz w:val="14"/>
                <w:szCs w:val="14"/>
                <w:lang w:val="fr-FR"/>
              </w:rPr>
            </w:pPr>
            <w:r w:rsidRPr="006763FA">
              <w:rPr>
                <w:rFonts w:ascii="Arial" w:eastAsia="Times New Roman" w:hAnsi="Arial"/>
                <w:bCs/>
                <w:snapToGrid w:val="0"/>
                <w:sz w:val="14"/>
                <w:szCs w:val="14"/>
                <w:lang w:val="fr-FR"/>
              </w:rPr>
              <w:t>6.0%</w:t>
            </w:r>
          </w:p>
        </w:tc>
      </w:tr>
      <w:tr w:rsidR="006763FA" w:rsidRPr="006763FA" w:rsidTr="006763FA">
        <w:trPr>
          <w:trHeight w:val="217"/>
        </w:trPr>
        <w:tc>
          <w:tcPr>
            <w:tcW w:w="10065" w:type="dxa"/>
            <w:gridSpan w:val="4"/>
            <w:tcBorders>
              <w:top w:val="single" w:sz="8" w:space="0" w:color="365F91" w:themeColor="accent1" w:themeShade="BF"/>
            </w:tcBorders>
            <w:vAlign w:val="center"/>
          </w:tcPr>
          <w:p w:rsidR="006763FA" w:rsidRDefault="006763FA" w:rsidP="006763FA">
            <w:pPr>
              <w:autoSpaceDE w:val="0"/>
              <w:autoSpaceDN w:val="0"/>
              <w:adjustRightInd w:val="0"/>
              <w:spacing w:after="0" w:line="240" w:lineRule="auto"/>
              <w:ind w:right="6"/>
              <w:jc w:val="both"/>
              <w:rPr>
                <w:rFonts w:cs="Arial"/>
                <w:bCs/>
                <w:color w:val="003768"/>
                <w:sz w:val="16"/>
                <w:szCs w:val="16"/>
                <w:lang w:val="fr-FR"/>
              </w:rPr>
            </w:pPr>
            <w:r w:rsidRPr="006763FA">
              <w:rPr>
                <w:rFonts w:cs="Arial"/>
                <w:bCs/>
                <w:color w:val="003768"/>
                <w:sz w:val="16"/>
                <w:szCs w:val="16"/>
                <w:lang w:val="fr-FR"/>
              </w:rPr>
              <w:t xml:space="preserve">* En cas de paiement d'un coupon sur les titres de capital de base vendus aux gouvernements belge et flamand et sur les instruments additionnels </w:t>
            </w:r>
            <w:proofErr w:type="spellStart"/>
            <w:r w:rsidRPr="006763FA">
              <w:rPr>
                <w:rFonts w:cs="Arial"/>
                <w:bCs/>
                <w:color w:val="003768"/>
                <w:sz w:val="16"/>
                <w:szCs w:val="16"/>
                <w:lang w:val="fr-FR"/>
              </w:rPr>
              <w:t>Tier</w:t>
            </w:r>
            <w:proofErr w:type="spellEnd"/>
            <w:r w:rsidRPr="006763FA">
              <w:rPr>
                <w:rFonts w:cs="Arial"/>
                <w:bCs/>
                <w:color w:val="003768"/>
                <w:sz w:val="16"/>
                <w:szCs w:val="16"/>
                <w:lang w:val="fr-FR"/>
              </w:rPr>
              <w:t xml:space="preserve"> 1 inclus, il sera déduit du numérateur (au prorata).</w:t>
            </w:r>
          </w:p>
          <w:p w:rsidR="006763FA" w:rsidRPr="006763FA" w:rsidRDefault="006763FA" w:rsidP="006763FA">
            <w:pPr>
              <w:autoSpaceDE w:val="0"/>
              <w:autoSpaceDN w:val="0"/>
              <w:adjustRightInd w:val="0"/>
              <w:spacing w:after="0" w:line="240" w:lineRule="auto"/>
              <w:ind w:right="6"/>
              <w:jc w:val="both"/>
              <w:rPr>
                <w:rFonts w:cs="Arial"/>
                <w:bCs/>
                <w:color w:val="003768"/>
                <w:sz w:val="16"/>
                <w:szCs w:val="16"/>
                <w:lang w:val="fr-FR"/>
              </w:rPr>
            </w:pPr>
            <w:r w:rsidRPr="006763FA">
              <w:rPr>
                <w:rFonts w:cs="Arial"/>
                <w:bCs/>
                <w:color w:val="003768"/>
                <w:sz w:val="16"/>
                <w:szCs w:val="16"/>
                <w:lang w:val="fr-FR"/>
              </w:rPr>
              <w:t>Note : certains ratios ont été affectés (avec application rétroactive) par des changements résultant de la mise en application de l'IFRS11, Bâle III et de la suppression de la dérogation relative à la pondération nulle des obligations d'État nationales.</w:t>
            </w:r>
          </w:p>
          <w:p w:rsidR="006763FA" w:rsidRPr="006763FA" w:rsidRDefault="006763FA" w:rsidP="006763FA">
            <w:pPr>
              <w:autoSpaceDE w:val="0"/>
              <w:autoSpaceDN w:val="0"/>
              <w:adjustRightInd w:val="0"/>
              <w:spacing w:after="120" w:line="240" w:lineRule="auto"/>
              <w:ind w:right="6"/>
              <w:jc w:val="both"/>
              <w:rPr>
                <w:rFonts w:cs="Arial"/>
                <w:bCs/>
                <w:color w:val="003768"/>
                <w:sz w:val="16"/>
                <w:szCs w:val="16"/>
                <w:lang w:val="fr-FR"/>
              </w:rPr>
            </w:pPr>
          </w:p>
        </w:tc>
      </w:tr>
    </w:tbl>
    <w:p w:rsidR="006763FA" w:rsidRPr="006763FA" w:rsidRDefault="006763FA" w:rsidP="006763FA">
      <w:pPr>
        <w:autoSpaceDE w:val="0"/>
        <w:autoSpaceDN w:val="0"/>
        <w:adjustRightInd w:val="0"/>
        <w:spacing w:after="120" w:line="240" w:lineRule="auto"/>
        <w:ind w:right="6"/>
        <w:jc w:val="both"/>
        <w:rPr>
          <w:rFonts w:cs="Arial"/>
          <w:bCs/>
          <w:color w:val="003768"/>
          <w:sz w:val="16"/>
          <w:szCs w:val="16"/>
          <w:lang w:val="fr-FR"/>
        </w:rPr>
      </w:pPr>
    </w:p>
    <w:p w:rsidR="006763FA" w:rsidRPr="006763FA" w:rsidRDefault="006763FA" w:rsidP="006763FA">
      <w:pPr>
        <w:autoSpaceDE w:val="0"/>
        <w:autoSpaceDN w:val="0"/>
        <w:adjustRightInd w:val="0"/>
        <w:spacing w:after="120" w:line="240" w:lineRule="auto"/>
        <w:ind w:right="6"/>
        <w:jc w:val="both"/>
        <w:rPr>
          <w:rFonts w:cs="Arial"/>
          <w:bCs/>
          <w:color w:val="003768"/>
          <w:sz w:val="16"/>
          <w:szCs w:val="16"/>
          <w:lang w:val="fr-FR"/>
        </w:rPr>
      </w:pPr>
    </w:p>
    <w:p w:rsidR="00E8411D" w:rsidRPr="006763FA" w:rsidRDefault="00E8411D" w:rsidP="006763FA">
      <w:pPr>
        <w:autoSpaceDE w:val="0"/>
        <w:autoSpaceDN w:val="0"/>
        <w:adjustRightInd w:val="0"/>
        <w:spacing w:after="120" w:line="240" w:lineRule="auto"/>
        <w:ind w:right="6"/>
        <w:jc w:val="both"/>
        <w:rPr>
          <w:rFonts w:cs="Arial"/>
          <w:bCs/>
          <w:color w:val="003768"/>
          <w:sz w:val="16"/>
          <w:szCs w:val="16"/>
          <w:lang w:val="fr-FR"/>
        </w:rPr>
      </w:pPr>
    </w:p>
    <w:p w:rsidR="00E8411D" w:rsidRPr="006763FA" w:rsidRDefault="00E8411D" w:rsidP="006763FA">
      <w:pPr>
        <w:autoSpaceDE w:val="0"/>
        <w:autoSpaceDN w:val="0"/>
        <w:adjustRightInd w:val="0"/>
        <w:spacing w:after="120" w:line="240" w:lineRule="auto"/>
        <w:ind w:right="6"/>
        <w:jc w:val="both"/>
        <w:rPr>
          <w:rFonts w:cs="Arial"/>
          <w:bCs/>
          <w:color w:val="003768"/>
          <w:sz w:val="16"/>
          <w:szCs w:val="16"/>
          <w:lang w:val="fr-FR"/>
        </w:rPr>
      </w:pPr>
    </w:p>
    <w:p w:rsidR="00E8411D" w:rsidRPr="006763FA" w:rsidRDefault="00E8411D" w:rsidP="006763FA">
      <w:pPr>
        <w:autoSpaceDE w:val="0"/>
        <w:autoSpaceDN w:val="0"/>
        <w:adjustRightInd w:val="0"/>
        <w:spacing w:after="120" w:line="240" w:lineRule="auto"/>
        <w:ind w:right="6"/>
        <w:jc w:val="both"/>
        <w:rPr>
          <w:rFonts w:cs="Arial"/>
          <w:bCs/>
          <w:color w:val="003768"/>
          <w:sz w:val="16"/>
          <w:szCs w:val="16"/>
          <w:lang w:val="fr-FR"/>
        </w:rPr>
      </w:pPr>
    </w:p>
    <w:p w:rsidR="00E8411D" w:rsidRPr="006763FA" w:rsidRDefault="00E8411D" w:rsidP="006763FA">
      <w:pPr>
        <w:autoSpaceDE w:val="0"/>
        <w:autoSpaceDN w:val="0"/>
        <w:adjustRightInd w:val="0"/>
        <w:spacing w:after="120" w:line="240" w:lineRule="auto"/>
        <w:ind w:right="6"/>
        <w:jc w:val="both"/>
        <w:rPr>
          <w:rFonts w:cs="Arial"/>
          <w:bCs/>
          <w:color w:val="003768"/>
          <w:sz w:val="16"/>
          <w:szCs w:val="16"/>
          <w:lang w:val="fr-FR"/>
        </w:rPr>
      </w:pPr>
    </w:p>
    <w:p w:rsidR="00E8411D" w:rsidRPr="006763FA" w:rsidRDefault="00E8411D" w:rsidP="006763FA">
      <w:pPr>
        <w:autoSpaceDE w:val="0"/>
        <w:autoSpaceDN w:val="0"/>
        <w:adjustRightInd w:val="0"/>
        <w:spacing w:after="120" w:line="240" w:lineRule="auto"/>
        <w:ind w:right="6"/>
        <w:jc w:val="both"/>
        <w:rPr>
          <w:rFonts w:cs="Arial"/>
          <w:bCs/>
          <w:color w:val="003768"/>
          <w:sz w:val="16"/>
          <w:szCs w:val="16"/>
          <w:lang w:val="fr-FR"/>
        </w:rPr>
      </w:pPr>
    </w:p>
    <w:p w:rsidR="00E8411D" w:rsidRPr="006763FA" w:rsidRDefault="00E8411D" w:rsidP="006763FA">
      <w:pPr>
        <w:autoSpaceDE w:val="0"/>
        <w:autoSpaceDN w:val="0"/>
        <w:adjustRightInd w:val="0"/>
        <w:spacing w:after="120" w:line="240" w:lineRule="auto"/>
        <w:ind w:right="6"/>
        <w:jc w:val="both"/>
        <w:rPr>
          <w:rFonts w:cs="Arial"/>
          <w:bCs/>
          <w:color w:val="003768"/>
          <w:sz w:val="16"/>
          <w:szCs w:val="16"/>
          <w:lang w:val="fr-FR"/>
        </w:rPr>
      </w:pPr>
    </w:p>
    <w:p w:rsidR="00E8411D" w:rsidRPr="006763FA" w:rsidRDefault="00E8411D" w:rsidP="006763FA">
      <w:pPr>
        <w:autoSpaceDE w:val="0"/>
        <w:autoSpaceDN w:val="0"/>
        <w:adjustRightInd w:val="0"/>
        <w:spacing w:after="120" w:line="240" w:lineRule="auto"/>
        <w:ind w:right="6"/>
        <w:jc w:val="both"/>
        <w:rPr>
          <w:rFonts w:cs="Arial"/>
          <w:bCs/>
          <w:color w:val="003768"/>
          <w:sz w:val="16"/>
          <w:szCs w:val="16"/>
          <w:lang w:val="fr-FR"/>
        </w:rPr>
      </w:pPr>
    </w:p>
    <w:p w:rsidR="00E8411D" w:rsidRDefault="00E8411D" w:rsidP="00734B00">
      <w:pPr>
        <w:autoSpaceDE w:val="0"/>
        <w:autoSpaceDN w:val="0"/>
        <w:adjustRightInd w:val="0"/>
        <w:spacing w:after="120" w:line="240" w:lineRule="auto"/>
        <w:ind w:left="992" w:right="6"/>
        <w:jc w:val="both"/>
        <w:rPr>
          <w:rFonts w:cs="Arial"/>
          <w:bCs/>
          <w:color w:val="003768"/>
          <w:lang w:val="fr-FR"/>
        </w:rPr>
      </w:pPr>
    </w:p>
    <w:p w:rsidR="00E8411D" w:rsidRDefault="00E8411D" w:rsidP="00734B00">
      <w:pPr>
        <w:autoSpaceDE w:val="0"/>
        <w:autoSpaceDN w:val="0"/>
        <w:adjustRightInd w:val="0"/>
        <w:spacing w:after="120" w:line="240" w:lineRule="auto"/>
        <w:ind w:left="992" w:right="6"/>
        <w:jc w:val="both"/>
        <w:rPr>
          <w:rFonts w:cs="Arial"/>
          <w:bCs/>
          <w:color w:val="003768"/>
          <w:lang w:val="fr-FR"/>
        </w:rPr>
      </w:pPr>
    </w:p>
    <w:p w:rsidR="00E8411D" w:rsidRDefault="00E8411D" w:rsidP="00734B00">
      <w:pPr>
        <w:autoSpaceDE w:val="0"/>
        <w:autoSpaceDN w:val="0"/>
        <w:adjustRightInd w:val="0"/>
        <w:spacing w:after="120" w:line="240" w:lineRule="auto"/>
        <w:ind w:left="992" w:right="6"/>
        <w:jc w:val="both"/>
        <w:rPr>
          <w:rFonts w:cs="Arial"/>
          <w:bCs/>
          <w:color w:val="003768"/>
          <w:lang w:val="fr-FR"/>
        </w:rPr>
      </w:pPr>
    </w:p>
    <w:p w:rsidR="006763FA" w:rsidRDefault="006763FA">
      <w:pPr>
        <w:spacing w:after="0" w:line="240" w:lineRule="auto"/>
        <w:rPr>
          <w:rFonts w:cs="Arial"/>
          <w:bCs/>
          <w:color w:val="003768"/>
          <w:lang w:val="fr-FR"/>
        </w:rPr>
      </w:pPr>
      <w:r>
        <w:rPr>
          <w:rFonts w:cs="Arial"/>
          <w:bCs/>
          <w:color w:val="003768"/>
          <w:lang w:val="fr-FR"/>
        </w:rPr>
        <w:br w:type="page"/>
      </w:r>
    </w:p>
    <w:p w:rsidR="006763FA" w:rsidRDefault="006763FA" w:rsidP="00734B00">
      <w:pPr>
        <w:autoSpaceDE w:val="0"/>
        <w:autoSpaceDN w:val="0"/>
        <w:adjustRightInd w:val="0"/>
        <w:spacing w:after="120" w:line="240" w:lineRule="auto"/>
        <w:ind w:left="992" w:right="6"/>
        <w:jc w:val="both"/>
        <w:rPr>
          <w:rFonts w:cs="Arial"/>
          <w:bCs/>
          <w:color w:val="003768"/>
          <w:lang w:val="fr-FR"/>
        </w:rPr>
      </w:pPr>
    </w:p>
    <w:p w:rsidR="00E8411D" w:rsidRDefault="006763FA" w:rsidP="00734B00">
      <w:pPr>
        <w:autoSpaceDE w:val="0"/>
        <w:autoSpaceDN w:val="0"/>
        <w:adjustRightInd w:val="0"/>
        <w:spacing w:after="120" w:line="240" w:lineRule="auto"/>
        <w:ind w:left="992" w:right="6"/>
        <w:jc w:val="both"/>
        <w:rPr>
          <w:rFonts w:cs="Arial"/>
          <w:bCs/>
          <w:color w:val="003768"/>
          <w:lang w:val="fr-FR"/>
        </w:rPr>
      </w:pPr>
      <w:r>
        <w:rPr>
          <w:rFonts w:cs="Arial"/>
          <w:bCs/>
          <w:noProof/>
          <w:color w:val="003768"/>
          <w:lang w:val="nl-BE" w:eastAsia="nl-BE"/>
        </w:rPr>
        <w:drawing>
          <wp:inline distT="0" distB="0" distL="0" distR="0" wp14:anchorId="7FEBF485">
            <wp:extent cx="6517005" cy="53022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7005" cy="530225"/>
                    </a:xfrm>
                    <a:prstGeom prst="rect">
                      <a:avLst/>
                    </a:prstGeom>
                    <a:noFill/>
                  </pic:spPr>
                </pic:pic>
              </a:graphicData>
            </a:graphic>
          </wp:inline>
        </w:drawing>
      </w:r>
    </w:p>
    <w:p w:rsidR="006763FA" w:rsidRDefault="006763FA" w:rsidP="00734B00">
      <w:pPr>
        <w:autoSpaceDE w:val="0"/>
        <w:autoSpaceDN w:val="0"/>
        <w:adjustRightInd w:val="0"/>
        <w:spacing w:after="120" w:line="240" w:lineRule="auto"/>
        <w:ind w:left="992" w:right="6"/>
        <w:jc w:val="both"/>
        <w:rPr>
          <w:rFonts w:cs="Arial"/>
          <w:b/>
          <w:bCs/>
          <w:color w:val="003768"/>
          <w:lang w:val="fr-FR"/>
        </w:rPr>
      </w:pPr>
    </w:p>
    <w:p w:rsidR="006763FA" w:rsidRPr="006763FA" w:rsidRDefault="006763FA" w:rsidP="00734B00">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Stratégie et faits marquants (depuis le début du 3e trimestre)</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La stratégie de base de KBC reste centrée sur la fourniture de produits et de services de bancassurance aux particuliers, aux PME et aux moyennes capitalisations en Belgique, en République tchèque, en Slovaquie, en Hongrie et en Bulgarie. Conformément à son plan stratégique, le groupe a désormais terminé son programme de désinvestissement.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En juillet 2014, </w:t>
      </w:r>
      <w:proofErr w:type="spellStart"/>
      <w:r w:rsidRPr="006763FA">
        <w:rPr>
          <w:rFonts w:cs="Arial"/>
          <w:bCs/>
          <w:color w:val="003768"/>
          <w:lang w:val="fr-FR"/>
        </w:rPr>
        <w:t>Fitch</w:t>
      </w:r>
      <w:proofErr w:type="spellEnd"/>
      <w:r w:rsidRPr="006763FA">
        <w:rPr>
          <w:rFonts w:cs="Arial"/>
          <w:bCs/>
          <w:color w:val="003768"/>
          <w:lang w:val="fr-FR"/>
        </w:rPr>
        <w:t xml:space="preserve"> a confirmé les ratings à long terme de KBC Bank et KBC Groupe à ‘A-‘ (avec "stable </w:t>
      </w:r>
      <w:proofErr w:type="spellStart"/>
      <w:r w:rsidRPr="006763FA">
        <w:rPr>
          <w:rFonts w:cs="Arial"/>
          <w:bCs/>
          <w:color w:val="003768"/>
          <w:lang w:val="fr-FR"/>
        </w:rPr>
        <w:t>outlook</w:t>
      </w:r>
      <w:proofErr w:type="spellEnd"/>
      <w:r w:rsidRPr="006763FA">
        <w:rPr>
          <w:rFonts w:cs="Arial"/>
          <w:bCs/>
          <w:color w:val="003768"/>
          <w:lang w:val="fr-FR"/>
        </w:rPr>
        <w:t xml:space="preserve">"). Il a également confirmé les ratings à long terme identiques de KBC Assurances et KBC Group </w:t>
      </w:r>
      <w:proofErr w:type="spellStart"/>
      <w:r w:rsidRPr="006763FA">
        <w:rPr>
          <w:rFonts w:cs="Arial"/>
          <w:bCs/>
          <w:color w:val="003768"/>
          <w:lang w:val="fr-FR"/>
        </w:rPr>
        <w:t>Re</w:t>
      </w:r>
      <w:proofErr w:type="spellEnd"/>
      <w:r w:rsidRPr="006763FA">
        <w:rPr>
          <w:rFonts w:cs="Arial"/>
          <w:bCs/>
          <w:color w:val="003768"/>
          <w:lang w:val="fr-FR"/>
        </w:rPr>
        <w:t xml:space="preserve"> en novembre 2014.</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En septembre 2014, KBC a décidé – conformément à l'accord passé avec la Commission européenne – de réduire graduellement et méthodiquement le portefeuille de crédits et les activités de la Banque Diamantaire Anversoise (ADB). Le désengagement se fera par le biais d'une fusion par absorption, dans laquelle ADB sera absorbée par KBC. À terme, les activités, le portefeuille et l'entité juridique d'ADB seront entièrement retirés du périmètre de KBC.</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En septembre 2014, KBC a finalisé la vente de KBC Bank </w:t>
      </w:r>
      <w:proofErr w:type="spellStart"/>
      <w:r w:rsidRPr="006763FA">
        <w:rPr>
          <w:rFonts w:cs="Arial"/>
          <w:bCs/>
          <w:color w:val="003768"/>
          <w:lang w:val="fr-FR"/>
        </w:rPr>
        <w:t>Deutschland</w:t>
      </w:r>
      <w:proofErr w:type="spellEnd"/>
      <w:r w:rsidRPr="006763FA">
        <w:rPr>
          <w:rFonts w:cs="Arial"/>
          <w:bCs/>
          <w:color w:val="003768"/>
          <w:lang w:val="fr-FR"/>
        </w:rPr>
        <w:t xml:space="preserve"> AG à un groupe d'investisseurs. Cette transaction a libéré environ 0,1 milliard d'euros de capital pour KBC, en réduisant principalement les actifs pondérés par le risque.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En septembre 2014, KBC a démantelé les deux derniers CDO en portefeuille, ce qui a permis de libérer 0,3 milliard en capital. Le démantèlement des CDO met également un terme à l'accord de garantie (Portfolio Protection Agreement) conclu par KBC avec le Gouvernement fédéral belge et supprime entièrement l'exposition du groupe à MBIA.</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Les transactions susmentionnées sont les dernières à être finalisées dans le cadre du programme de désinvestissement conclu avec la Commission européenne en 2009.</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En septembre 2014, KBC a salué aussi l'extension des accords d'ancrage de KBC Groupe conclus par </w:t>
      </w:r>
      <w:proofErr w:type="spellStart"/>
      <w:r w:rsidRPr="006763FA">
        <w:rPr>
          <w:rFonts w:cs="Arial"/>
          <w:bCs/>
          <w:color w:val="003768"/>
          <w:lang w:val="fr-FR"/>
        </w:rPr>
        <w:t>Cera</w:t>
      </w:r>
      <w:proofErr w:type="spellEnd"/>
      <w:r w:rsidRPr="006763FA">
        <w:rPr>
          <w:rFonts w:cs="Arial"/>
          <w:bCs/>
          <w:color w:val="003768"/>
          <w:lang w:val="fr-FR"/>
        </w:rPr>
        <w:t xml:space="preserve">, KBC </w:t>
      </w:r>
      <w:proofErr w:type="spellStart"/>
      <w:r w:rsidRPr="006763FA">
        <w:rPr>
          <w:rFonts w:cs="Arial"/>
          <w:bCs/>
          <w:color w:val="003768"/>
          <w:lang w:val="fr-FR"/>
        </w:rPr>
        <w:t>Ancora</w:t>
      </w:r>
      <w:proofErr w:type="spellEnd"/>
      <w:r w:rsidRPr="006763FA">
        <w:rPr>
          <w:rFonts w:cs="Arial"/>
          <w:bCs/>
          <w:color w:val="003768"/>
          <w:lang w:val="fr-FR"/>
        </w:rPr>
        <w:t xml:space="preserve">, MRBB et les autres actionnaires stables. Conjointement avec MRBB et les autres actionnaires stables, </w:t>
      </w:r>
      <w:proofErr w:type="spellStart"/>
      <w:r w:rsidRPr="006763FA">
        <w:rPr>
          <w:rFonts w:cs="Arial"/>
          <w:bCs/>
          <w:color w:val="003768"/>
          <w:lang w:val="fr-FR"/>
        </w:rPr>
        <w:t>Cera</w:t>
      </w:r>
      <w:proofErr w:type="spellEnd"/>
      <w:r w:rsidRPr="006763FA">
        <w:rPr>
          <w:rFonts w:cs="Arial"/>
          <w:bCs/>
          <w:color w:val="003768"/>
          <w:lang w:val="fr-FR"/>
        </w:rPr>
        <w:t xml:space="preserve"> et KBC </w:t>
      </w:r>
      <w:proofErr w:type="spellStart"/>
      <w:r w:rsidRPr="006763FA">
        <w:rPr>
          <w:rFonts w:cs="Arial"/>
          <w:bCs/>
          <w:color w:val="003768"/>
          <w:lang w:val="fr-FR"/>
        </w:rPr>
        <w:t>Ancora</w:t>
      </w:r>
      <w:proofErr w:type="spellEnd"/>
      <w:r w:rsidRPr="006763FA">
        <w:rPr>
          <w:rFonts w:cs="Arial"/>
          <w:bCs/>
          <w:color w:val="003768"/>
          <w:lang w:val="fr-FR"/>
        </w:rPr>
        <w:t xml:space="preserve"> ont confirmé qu'ils continueraient à agir de concert à l'égard de KBC Groupe SA pour une nouvelle période de 10 ans. Ils continueront donc à assurer la stabilité de l'actionnariat et à soutenir le développement futur du groupe KBC.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En octobre 2014, la Banque centrale européenne (BCE) et la Banque nationale de Belgique ont fait des annonces concernant les résultats de l'Évaluation complète menée par la BCE. KBC a réussi l'examen de la qualité des actifs, dépasse les seuils de stress test et garde une bonne réserve. Dans le cadre du scénario 2016 pessimiste, l'incidence du stress test sur le ratio Common </w:t>
      </w:r>
      <w:proofErr w:type="spellStart"/>
      <w:r w:rsidRPr="006763FA">
        <w:rPr>
          <w:rFonts w:cs="Arial"/>
          <w:bCs/>
          <w:color w:val="003768"/>
          <w:lang w:val="fr-FR"/>
        </w:rPr>
        <w:t>Equity</w:t>
      </w:r>
      <w:proofErr w:type="spellEnd"/>
      <w:r w:rsidRPr="006763FA">
        <w:rPr>
          <w:rFonts w:cs="Arial"/>
          <w:bCs/>
          <w:color w:val="003768"/>
          <w:lang w:val="fr-FR"/>
        </w:rPr>
        <w:t xml:space="preserve"> </w:t>
      </w:r>
      <w:proofErr w:type="spellStart"/>
      <w:r w:rsidRPr="006763FA">
        <w:rPr>
          <w:rFonts w:cs="Arial"/>
          <w:bCs/>
          <w:color w:val="003768"/>
          <w:lang w:val="fr-FR"/>
        </w:rPr>
        <w:t>Tier</w:t>
      </w:r>
      <w:proofErr w:type="spellEnd"/>
      <w:r w:rsidRPr="006763FA">
        <w:rPr>
          <w:rFonts w:cs="Arial"/>
          <w:bCs/>
          <w:color w:val="003768"/>
          <w:lang w:val="fr-FR"/>
        </w:rPr>
        <w:t xml:space="preserve"> 1 (ratio CET1) s'est traduit par une contraction de ce ratio CET1 de 2,6 points de pourcentage. L'impact de l'examen de la qualité des actifs (AQR) s'est limité à réduire le ratio CET1 de 0,6 points de pourcentage. L'impact combiné du remboursement des aides publiques tel que convenu avec la Commission européenne sur un horizon de stress test de 3 ans (1,8 milliard d'euros, pénalités et coupon compris), de l'examen de la qualité des actifs et du stress test proprement dit se solde par un ratio CET1 de 8,3%, ce qui représente un ample matelas de 2,8 points de pourcentage (2,8 milliards d'euros), qui dépasse de loin le seuil de 5,5% imposé par la BCE et prouve donc la capacité de résistance de KBC.</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ČSOB a reçu le prix de la meilleure banque privée de République tchèque de PWM/The </w:t>
      </w:r>
      <w:proofErr w:type="spellStart"/>
      <w:r w:rsidRPr="006763FA">
        <w:rPr>
          <w:rFonts w:cs="Arial"/>
          <w:bCs/>
          <w:color w:val="003768"/>
          <w:lang w:val="fr-FR"/>
        </w:rPr>
        <w:t>Banker</w:t>
      </w:r>
      <w:proofErr w:type="spellEnd"/>
      <w:r w:rsidRPr="006763FA">
        <w:rPr>
          <w:rFonts w:cs="Arial"/>
          <w:bCs/>
          <w:color w:val="003768"/>
          <w:lang w:val="fr-FR"/>
        </w:rPr>
        <w:t xml:space="preserve"> et </w:t>
      </w:r>
      <w:proofErr w:type="spellStart"/>
      <w:r w:rsidRPr="006763FA">
        <w:rPr>
          <w:rFonts w:cs="Arial"/>
          <w:bCs/>
          <w:color w:val="003768"/>
          <w:lang w:val="fr-FR"/>
        </w:rPr>
        <w:t>Patria</w:t>
      </w:r>
      <w:proofErr w:type="spellEnd"/>
      <w:r w:rsidRPr="006763FA">
        <w:rPr>
          <w:rFonts w:cs="Arial"/>
          <w:bCs/>
          <w:color w:val="003768"/>
          <w:lang w:val="fr-FR"/>
        </w:rPr>
        <w:t xml:space="preserve"> s'est vu décerner le prix de la banque d'investissement de l'année par Acquisition International.</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KBC a obtenu quatre prix aux "Marketing and Interactive Excellence </w:t>
      </w:r>
      <w:proofErr w:type="spellStart"/>
      <w:r w:rsidRPr="006763FA">
        <w:rPr>
          <w:rFonts w:cs="Arial"/>
          <w:bCs/>
          <w:color w:val="003768"/>
          <w:lang w:val="fr-FR"/>
        </w:rPr>
        <w:t>Awards</w:t>
      </w:r>
      <w:proofErr w:type="spellEnd"/>
      <w:r w:rsidRPr="006763FA">
        <w:rPr>
          <w:rFonts w:cs="Arial"/>
          <w:bCs/>
          <w:color w:val="003768"/>
          <w:lang w:val="fr-FR"/>
        </w:rPr>
        <w:t xml:space="preserve">" de l'IAB </w:t>
      </w:r>
      <w:proofErr w:type="spellStart"/>
      <w:r w:rsidRPr="006763FA">
        <w:rPr>
          <w:rFonts w:cs="Arial"/>
          <w:bCs/>
          <w:color w:val="003768"/>
          <w:lang w:val="fr-FR"/>
        </w:rPr>
        <w:t>Belgium</w:t>
      </w:r>
      <w:proofErr w:type="spellEnd"/>
      <w:r w:rsidRPr="006763FA">
        <w:rPr>
          <w:rFonts w:cs="Arial"/>
          <w:bCs/>
          <w:color w:val="003768"/>
          <w:lang w:val="fr-FR"/>
        </w:rPr>
        <w:t xml:space="preserve"> et Best of </w:t>
      </w:r>
      <w:proofErr w:type="spellStart"/>
      <w:r w:rsidRPr="006763FA">
        <w:rPr>
          <w:rFonts w:cs="Arial"/>
          <w:bCs/>
          <w:color w:val="003768"/>
          <w:lang w:val="fr-FR"/>
        </w:rPr>
        <w:t>Publishing</w:t>
      </w:r>
      <w:proofErr w:type="spellEnd"/>
      <w:r w:rsidRPr="006763FA">
        <w:rPr>
          <w:rFonts w:cs="Arial"/>
          <w:bCs/>
          <w:color w:val="003768"/>
          <w:lang w:val="fr-FR"/>
        </w:rPr>
        <w:t>.</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KBC s'est vu décerner le prix de la meilleure banque privée de Belgique par Professional </w:t>
      </w:r>
      <w:proofErr w:type="spellStart"/>
      <w:r w:rsidRPr="006763FA">
        <w:rPr>
          <w:rFonts w:cs="Arial"/>
          <w:bCs/>
          <w:color w:val="003768"/>
          <w:lang w:val="fr-FR"/>
        </w:rPr>
        <w:t>Wealth</w:t>
      </w:r>
      <w:proofErr w:type="spellEnd"/>
      <w:r w:rsidRPr="006763FA">
        <w:rPr>
          <w:rFonts w:cs="Arial"/>
          <w:bCs/>
          <w:color w:val="003768"/>
          <w:lang w:val="fr-FR"/>
        </w:rPr>
        <w:t xml:space="preserve"> Magazine.</w:t>
      </w:r>
    </w:p>
    <w:p w:rsidR="008F3197" w:rsidRDefault="008F3197" w:rsidP="008F3197">
      <w:pPr>
        <w:pStyle w:val="ListParagraph"/>
        <w:autoSpaceDE w:val="0"/>
        <w:autoSpaceDN w:val="0"/>
        <w:adjustRightInd w:val="0"/>
        <w:spacing w:after="120" w:line="240" w:lineRule="auto"/>
        <w:ind w:left="1442" w:right="6"/>
        <w:contextualSpacing w:val="0"/>
        <w:jc w:val="both"/>
        <w:rPr>
          <w:rFonts w:cs="Arial"/>
          <w:bCs/>
          <w:color w:val="003768"/>
          <w:lang w:val="fr-FR"/>
        </w:rPr>
      </w:pP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KBC a été nommée banque privée de l'année en Belgique et a obtenu le prix pour l’</w:t>
      </w:r>
      <w:r w:rsidR="00565993">
        <w:rPr>
          <w:rFonts w:cs="Arial"/>
          <w:bCs/>
          <w:color w:val="003768"/>
          <w:lang w:val="fr-FR"/>
        </w:rPr>
        <w:t>i</w:t>
      </w:r>
      <w:r w:rsidRPr="006763FA">
        <w:rPr>
          <w:rFonts w:cs="Arial"/>
          <w:bCs/>
          <w:color w:val="003768"/>
          <w:lang w:val="fr-FR"/>
        </w:rPr>
        <w:t xml:space="preserve">nnovation dans la banque de détail en Belgique de l'International </w:t>
      </w:r>
      <w:proofErr w:type="spellStart"/>
      <w:r w:rsidRPr="006763FA">
        <w:rPr>
          <w:rFonts w:cs="Arial"/>
          <w:bCs/>
          <w:color w:val="003768"/>
          <w:lang w:val="fr-FR"/>
        </w:rPr>
        <w:t>Banker</w:t>
      </w:r>
      <w:proofErr w:type="spellEnd"/>
      <w:r w:rsidRPr="006763FA">
        <w:rPr>
          <w:rFonts w:cs="Arial"/>
          <w:bCs/>
          <w:color w:val="003768"/>
          <w:lang w:val="fr-FR"/>
        </w:rPr>
        <w:t>.</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K&amp;H s'est à nouveau vu décerner le prix de l'Assureur de l'année par Biztositas.hu.</w:t>
      </w:r>
    </w:p>
    <w:p w:rsidR="006763FA" w:rsidRPr="006763FA" w:rsidRDefault="006763FA" w:rsidP="006763FA">
      <w:pPr>
        <w:autoSpaceDE w:val="0"/>
        <w:autoSpaceDN w:val="0"/>
        <w:adjustRightInd w:val="0"/>
        <w:spacing w:after="120" w:line="240" w:lineRule="auto"/>
        <w:ind w:left="992" w:right="6"/>
        <w:jc w:val="both"/>
        <w:rPr>
          <w:rFonts w:cs="Arial"/>
          <w:bCs/>
          <w:color w:val="003768"/>
          <w:lang w:val="fr-FR"/>
        </w:rPr>
      </w:pPr>
    </w:p>
    <w:p w:rsidR="006763FA" w:rsidRPr="006763FA" w:rsidRDefault="006763FA" w:rsidP="006763FA">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Évolution en matière de développement durable et de responsabilité de l’entreprise (depuis le début du 3e trimestre)</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En août, KBC a participé au "</w:t>
      </w:r>
      <w:proofErr w:type="spellStart"/>
      <w:r w:rsidRPr="006763FA">
        <w:rPr>
          <w:rFonts w:cs="Arial"/>
          <w:bCs/>
          <w:color w:val="003768"/>
          <w:lang w:val="fr-FR"/>
        </w:rPr>
        <w:t>Climate</w:t>
      </w:r>
      <w:proofErr w:type="spellEnd"/>
      <w:r w:rsidRPr="006763FA">
        <w:rPr>
          <w:rFonts w:cs="Arial"/>
          <w:bCs/>
          <w:color w:val="003768"/>
          <w:lang w:val="fr-FR"/>
        </w:rPr>
        <w:t xml:space="preserve"> weekend" en tant que partenaire de Leuven </w:t>
      </w:r>
      <w:proofErr w:type="spellStart"/>
      <w:r w:rsidRPr="006763FA">
        <w:rPr>
          <w:rFonts w:cs="Arial"/>
          <w:bCs/>
          <w:color w:val="003768"/>
          <w:lang w:val="fr-FR"/>
        </w:rPr>
        <w:t>Klimaat</w:t>
      </w:r>
      <w:proofErr w:type="spellEnd"/>
      <w:r w:rsidRPr="006763FA">
        <w:rPr>
          <w:rFonts w:cs="Arial"/>
          <w:bCs/>
          <w:color w:val="003768"/>
          <w:lang w:val="fr-FR"/>
        </w:rPr>
        <w:t xml:space="preserve"> </w:t>
      </w:r>
      <w:proofErr w:type="spellStart"/>
      <w:r w:rsidRPr="006763FA">
        <w:rPr>
          <w:rFonts w:cs="Arial"/>
          <w:bCs/>
          <w:color w:val="003768"/>
          <w:lang w:val="fr-FR"/>
        </w:rPr>
        <w:t>Neutraal</w:t>
      </w:r>
      <w:proofErr w:type="spellEnd"/>
      <w:r w:rsidRPr="006763FA">
        <w:rPr>
          <w:rFonts w:cs="Arial"/>
          <w:bCs/>
          <w:color w:val="003768"/>
          <w:lang w:val="fr-FR"/>
        </w:rPr>
        <w:t xml:space="preserve">, une </w:t>
      </w:r>
      <w:proofErr w:type="spellStart"/>
      <w:r w:rsidRPr="006763FA">
        <w:rPr>
          <w:rFonts w:cs="Arial"/>
          <w:bCs/>
          <w:color w:val="003768"/>
          <w:lang w:val="fr-FR"/>
        </w:rPr>
        <w:t>asbl</w:t>
      </w:r>
      <w:proofErr w:type="spellEnd"/>
      <w:r w:rsidRPr="006763FA">
        <w:rPr>
          <w:rFonts w:cs="Arial"/>
          <w:bCs/>
          <w:color w:val="003768"/>
          <w:lang w:val="fr-FR"/>
        </w:rPr>
        <w:t xml:space="preserve"> qui vise à faire de Leuven une ville climatiquement neutre d'ici 2030. KBC a organisé un stand où les visiteurs pouvaient essayer des vélos électriques et participer à des jeux pour remporter des prix offerts par la Boutique des Mamans Prévoyantes de KBC Assurances.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K&amp;H a tenu la septième édition de "ART pour un monde meilleur et plus sensé", qui donne à un jeune artiste l'opportunité de décrocher une bourse d'études. K&amp;H a été l'une des premières sociétés en Hongrie à reconstituer sa collection d'œuvres d'art, une collection d'entreprise qui est désormais l'une des plus modernes et qui ne cesse de s'enrichir. Sa devise "L'art pour un monde meilleur et plus sensé" résume bien les tendances artistiques appréciées et soutenues par K&amp;H.</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Le programme "K&amp;H pour les moins favorisés" soutient 47 régions plus démunies en matière de soins de santé pour les enfants, d'arts de la scène, d'éducation pré-adulte et de sports.</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En Belgique, KBC se focalise toujours sur la mobilité. Le télétravail est désormais bien implanté dans la culture de l'entreprise, ce qui devrait permettre de réduire de 15 millions de kilomètres les déplacements de travail en 2014.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KBC confirme sa cotation sur l'indice FTSE4Good.</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KBC est membre de l'indice STOXX </w:t>
      </w:r>
      <w:proofErr w:type="spellStart"/>
      <w:r w:rsidRPr="006763FA">
        <w:rPr>
          <w:rFonts w:cs="Arial"/>
          <w:bCs/>
          <w:color w:val="003768"/>
          <w:lang w:val="fr-FR"/>
        </w:rPr>
        <w:t>Sustainability</w:t>
      </w:r>
      <w:proofErr w:type="spellEnd"/>
      <w:r w:rsidRPr="006763FA">
        <w:rPr>
          <w:rFonts w:cs="Arial"/>
          <w:bCs/>
          <w:color w:val="003768"/>
          <w:lang w:val="fr-FR"/>
        </w:rPr>
        <w:t>.</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KBC partenaire d'Horizon 2050 : "L'argent fait tourner le monde !’. Le nouvel Horizon 2050 prévoit une série de conférences par lesquelles Argus, </w:t>
      </w:r>
      <w:proofErr w:type="spellStart"/>
      <w:r w:rsidRPr="006763FA">
        <w:rPr>
          <w:rFonts w:cs="Arial"/>
          <w:bCs/>
          <w:color w:val="003768"/>
          <w:lang w:val="fr-FR"/>
        </w:rPr>
        <w:t>Cera</w:t>
      </w:r>
      <w:proofErr w:type="spellEnd"/>
      <w:r w:rsidRPr="006763FA">
        <w:rPr>
          <w:rFonts w:cs="Arial"/>
          <w:bCs/>
          <w:color w:val="003768"/>
          <w:lang w:val="fr-FR"/>
        </w:rPr>
        <w:t xml:space="preserve"> et KBC cherchent à partager des visions inspiratrices avec un large groupe de parties prenantes. Cette première édition est consacrée à l'impact des investisseurs durables sur les sociétés cotées en bourse.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KBC a lancé une plateforme de </w:t>
      </w:r>
      <w:proofErr w:type="spellStart"/>
      <w:r w:rsidRPr="006763FA">
        <w:rPr>
          <w:rFonts w:cs="Arial"/>
          <w:bCs/>
          <w:color w:val="003768"/>
          <w:lang w:val="fr-FR"/>
        </w:rPr>
        <w:t>crowdfunding</w:t>
      </w:r>
      <w:proofErr w:type="spellEnd"/>
      <w:r w:rsidRPr="006763FA">
        <w:rPr>
          <w:rFonts w:cs="Arial"/>
          <w:bCs/>
          <w:color w:val="003768"/>
          <w:lang w:val="fr-FR"/>
        </w:rPr>
        <w:t xml:space="preserve"> visant à réunir entrepreneurs et investisseurs. Sur le site internet de </w:t>
      </w:r>
      <w:proofErr w:type="spellStart"/>
      <w:r w:rsidRPr="006763FA">
        <w:rPr>
          <w:rFonts w:cs="Arial"/>
          <w:bCs/>
          <w:color w:val="003768"/>
          <w:lang w:val="fr-FR"/>
        </w:rPr>
        <w:t>Bolero</w:t>
      </w:r>
      <w:proofErr w:type="spellEnd"/>
      <w:r w:rsidRPr="006763FA">
        <w:rPr>
          <w:rFonts w:cs="Arial"/>
          <w:bCs/>
          <w:color w:val="003768"/>
          <w:lang w:val="fr-FR"/>
        </w:rPr>
        <w:t>, le broker en ligne de KBC Securities, les entrepreneurs (débutants) peuvent lancer un appel de financement, et les investisseurs intéressés les aider à faire croître leurs activités avec des montants d'investissement relativement modestes.</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ČSOB a annoncé le programme d'aides "Stabilisation des Entreprises Sociales". En juin 2014, elle a lancé son deuxième programme de promotion de l'entrepreneuriat social. Ce programme est identique au projet pilote de l'an dernier, mais il inclut désormais deux ateliers d'une journée. Une aide financière pouvant aller jusqu'à 400 000 couronnes sera accordée à trois, quatre ou cinq entreprises sociales. Au premier tour du programme, onze entreprises ont été sélectionnées parmi 27 candidates.</w:t>
      </w:r>
    </w:p>
    <w:p w:rsidR="006763FA" w:rsidRPr="006763FA" w:rsidRDefault="006763FA" w:rsidP="006763FA">
      <w:pPr>
        <w:autoSpaceDE w:val="0"/>
        <w:autoSpaceDN w:val="0"/>
        <w:adjustRightInd w:val="0"/>
        <w:spacing w:after="120" w:line="240" w:lineRule="auto"/>
        <w:ind w:left="992" w:right="6"/>
        <w:jc w:val="both"/>
        <w:rPr>
          <w:rFonts w:cs="Arial"/>
          <w:bCs/>
          <w:color w:val="003768"/>
          <w:lang w:val="fr-FR"/>
        </w:rPr>
      </w:pPr>
    </w:p>
    <w:p w:rsidR="006763FA" w:rsidRPr="006763FA" w:rsidRDefault="006763FA" w:rsidP="006763FA">
      <w:pPr>
        <w:autoSpaceDE w:val="0"/>
        <w:autoSpaceDN w:val="0"/>
        <w:adjustRightInd w:val="0"/>
        <w:spacing w:after="120" w:line="240" w:lineRule="auto"/>
        <w:ind w:left="992" w:right="6"/>
        <w:jc w:val="both"/>
        <w:rPr>
          <w:rFonts w:cs="Arial"/>
          <w:b/>
          <w:bCs/>
          <w:color w:val="003768"/>
          <w:lang w:val="fr-FR"/>
        </w:rPr>
      </w:pPr>
      <w:r w:rsidRPr="006763FA">
        <w:rPr>
          <w:rFonts w:cs="Arial"/>
          <w:b/>
          <w:bCs/>
          <w:color w:val="003768"/>
          <w:lang w:val="fr-FR"/>
        </w:rPr>
        <w:t>Déclaration relative aux risques</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Ses activités étant principalement axées sur la banque, l’assurance et la gestion d'actifs, KBC s'expose à certains risques typiques tels que, entre autres, les risques de défaut de crédit, les fluctuations des taux d'intérêt, les risques du marché des capitaux, les risques de change, les risques de liquidité, les risques d'assurance, les risques opérationnels, l'exposition aux marchés émergents, l'évolution de la réglementation, les litiges avec les clients et les risques économiques en général. Le fait que le contexte macroéconomique et les plans de désinvestissement en cours puissent avoir une incidence défavorable sur la valeur des actifs ou puissent occasionner des charges supplémentaires excédant les prévisions est un autre aspect propre au risque de l'entreprise.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lastRenderedPageBreak/>
        <w:t>Les données relatives à la gestion des risques sont reproduites dans les rapports annuels,</w:t>
      </w:r>
      <w:r w:rsidR="003E2730">
        <w:rPr>
          <w:rFonts w:cs="Arial"/>
          <w:bCs/>
          <w:color w:val="003768"/>
          <w:lang w:val="fr-FR"/>
        </w:rPr>
        <w:t xml:space="preserve"> </w:t>
      </w:r>
      <w:r w:rsidRPr="006763FA">
        <w:rPr>
          <w:rFonts w:cs="Arial"/>
          <w:bCs/>
          <w:color w:val="003768"/>
          <w:lang w:val="fr-FR"/>
        </w:rPr>
        <w:t xml:space="preserve">les </w:t>
      </w:r>
      <w:r w:rsidR="003E2730">
        <w:rPr>
          <w:rFonts w:cs="Arial"/>
          <w:bCs/>
          <w:color w:val="003768"/>
          <w:lang w:val="fr-FR"/>
        </w:rPr>
        <w:t>«</w:t>
      </w:r>
      <w:r w:rsidRPr="006763FA">
        <w:rPr>
          <w:rFonts w:cs="Arial"/>
          <w:bCs/>
          <w:color w:val="003768"/>
          <w:lang w:val="fr-FR"/>
        </w:rPr>
        <w:t xml:space="preserve">Extended </w:t>
      </w:r>
      <w:proofErr w:type="spellStart"/>
      <w:r w:rsidRPr="006763FA">
        <w:rPr>
          <w:rFonts w:cs="Arial"/>
          <w:bCs/>
          <w:color w:val="003768"/>
          <w:lang w:val="fr-FR"/>
        </w:rPr>
        <w:t>Quarterly</w:t>
      </w:r>
      <w:proofErr w:type="spellEnd"/>
      <w:r w:rsidRPr="006763FA">
        <w:rPr>
          <w:rFonts w:cs="Arial"/>
          <w:bCs/>
          <w:color w:val="003768"/>
          <w:lang w:val="fr-FR"/>
        </w:rPr>
        <w:t xml:space="preserve"> Reports » et les rapports spécifiques sur les risques de KBC, tous disponibles sur le site www.kbc.com.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Au troisième trimestre, les données économiques ont été globalement décevantes. Aux États-Unis, le rapport ISM pour le secteur manufacturier a baissé légèrement en septembre (venant toutefois d'un niveau élevé), tandis que la confiance des producteurs chancelait au Royaume-Uni, au Japon et en Chine. Les cycles économiques aux États-Unis et au Royaume-Uni semblent pourtant en phase de redressement, comme l'indique la diminution du taux de chômage dans ces pays. Plus inquiétante est la détérioration constante de la confiance des producteurs dans la zone euro, en particulier en Allemagne. Les composantes courante et avancée de l'indice allemand </w:t>
      </w:r>
      <w:proofErr w:type="spellStart"/>
      <w:r w:rsidRPr="006763FA">
        <w:rPr>
          <w:rFonts w:cs="Arial"/>
          <w:bCs/>
          <w:color w:val="003768"/>
          <w:lang w:val="fr-FR"/>
        </w:rPr>
        <w:t>Ifo</w:t>
      </w:r>
      <w:proofErr w:type="spellEnd"/>
      <w:r w:rsidRPr="006763FA">
        <w:rPr>
          <w:rFonts w:cs="Arial"/>
          <w:bCs/>
          <w:color w:val="003768"/>
          <w:lang w:val="fr-FR"/>
        </w:rPr>
        <w:t xml:space="preserve"> sont à la baisse depuis la fin du printemps, ce qui augmente les risques de ralentissement de la croissance au deuxième semestre 2014.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Il y a toutefois des nouvelles positives. Le marché du travail dans la zone euro s'améliore : l'Allemagne est proche du plein emploi et le nombre de sans- emplois diminue dans la plupart des pays, à l'exception notable de la France. Des pays périphériques comme l'Irlande et l'Espagne commencent à récolter les bénéfices des réformes structurelles. D'autre part, la politique fiscale entrave moins la croissance. L'introduction du pacte fiscal et sa focalisation sur les déficits structurels plutôt que nominaux, permettra à la politique fiscale de se faire moins restrictive et peut-être même - selon les dires de la Commission européenne - accommodante en 2015. Combinés à la politique monétaire très accommodante de la BCE, ces facteurs positifs devraient permettre à la zone euro d'éviter une autre récession, en dépit de la récente agitation sur les marchés.</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Actuellement, le risque majeur est celui d'un nouvel essoufflement économique et d'une récession</w:t>
      </w:r>
      <w:r w:rsidR="003E2730">
        <w:rPr>
          <w:rFonts w:cs="Arial"/>
          <w:bCs/>
          <w:color w:val="003768"/>
          <w:lang w:val="fr-FR"/>
        </w:rPr>
        <w:t xml:space="preserve"> </w:t>
      </w:r>
      <w:bookmarkStart w:id="0" w:name="_GoBack"/>
      <w:bookmarkEnd w:id="0"/>
      <w:r w:rsidRPr="006763FA">
        <w:rPr>
          <w:rFonts w:cs="Arial"/>
          <w:bCs/>
          <w:color w:val="003768"/>
          <w:lang w:val="fr-FR"/>
        </w:rPr>
        <w:t xml:space="preserve">"à triple creux" dans la zone euro. Parallèlement, la baisse des prix de l'énergie et des matières premières pourrait encore réduire l'inflation européenne, surtout si la récente dépréciation du cours de l'euro prend fin.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 xml:space="preserve">Si la diminution des prix des matières premières est favorable à la zone euro et à la croissance de l'économie réelle, par contre, la baisse du taux d'inflation devrait encore accroître la pression sur la BCE. Compte tenu des récents propos de Mario </w:t>
      </w:r>
      <w:proofErr w:type="spellStart"/>
      <w:r w:rsidRPr="006763FA">
        <w:rPr>
          <w:rFonts w:cs="Arial"/>
          <w:bCs/>
          <w:color w:val="003768"/>
          <w:lang w:val="fr-FR"/>
        </w:rPr>
        <w:t>Draghi</w:t>
      </w:r>
      <w:proofErr w:type="spellEnd"/>
      <w:r w:rsidRPr="006763FA">
        <w:rPr>
          <w:rFonts w:cs="Arial"/>
          <w:bCs/>
          <w:color w:val="003768"/>
          <w:lang w:val="fr-FR"/>
        </w:rPr>
        <w:t xml:space="preserve">, selon lesquels il n'y aurait pas actuellement de bulle sur les marchés obligataires (contrairement à ce qu'affirme le FMI), ce facteur laisse à penser que la BCE pourrait lancer un programme de rachat d'obligations souveraines (50% de probabilités selon nous en 2015). Son impact a déjà été intégré dans les taux d'intérêt extrêmement bas que nous connaissons actuellement. </w:t>
      </w:r>
    </w:p>
    <w:p w:rsidR="006763FA" w:rsidRPr="006763FA" w:rsidRDefault="006763FA" w:rsidP="006763FA">
      <w:pPr>
        <w:pStyle w:val="ListParagraph"/>
        <w:numPr>
          <w:ilvl w:val="0"/>
          <w:numId w:val="5"/>
        </w:numPr>
        <w:autoSpaceDE w:val="0"/>
        <w:autoSpaceDN w:val="0"/>
        <w:adjustRightInd w:val="0"/>
        <w:spacing w:after="120" w:line="240" w:lineRule="auto"/>
        <w:ind w:right="6"/>
        <w:contextualSpacing w:val="0"/>
        <w:jc w:val="both"/>
        <w:rPr>
          <w:rFonts w:cs="Arial"/>
          <w:bCs/>
          <w:color w:val="003768"/>
          <w:lang w:val="fr-FR"/>
        </w:rPr>
      </w:pPr>
      <w:r w:rsidRPr="006763FA">
        <w:rPr>
          <w:rFonts w:cs="Arial"/>
          <w:bCs/>
          <w:color w:val="003768"/>
          <w:lang w:val="fr-FR"/>
        </w:rPr>
        <w:t>Des risques géopolitiques subsistent (notamment en Syrie, Irak et Ukraine), mais ils ne devraient pas jouer un rôle majeur dans les mois à venir. Enfin, il y a toujours le risque d'une croissance inférieure aux prévisions sur les marchés émergents. Les marchés émergents qui exportent de matières premières souffrent actuellement de la diminution des prix. Des risques cycliques et de stabilité financière continuent de peser sur l'économie chinoise.</w:t>
      </w:r>
    </w:p>
    <w:p w:rsidR="00D14EBE" w:rsidRDefault="00D14EBE" w:rsidP="0077354C">
      <w:pPr>
        <w:autoSpaceDE w:val="0"/>
        <w:autoSpaceDN w:val="0"/>
        <w:adjustRightInd w:val="0"/>
        <w:spacing w:after="0" w:line="240" w:lineRule="auto"/>
        <w:ind w:left="993" w:right="4"/>
        <w:rPr>
          <w:rFonts w:ascii="Rockwell" w:hAnsi="Rockwell" w:cs="Arial"/>
          <w:b/>
          <w:bCs/>
          <w:color w:val="003768"/>
          <w:sz w:val="28"/>
          <w:szCs w:val="28"/>
          <w:lang w:val="fr-FR" w:eastAsia="nl-BE"/>
        </w:rPr>
      </w:pPr>
    </w:p>
    <w:p w:rsidR="003C1BF8" w:rsidRDefault="0077354C" w:rsidP="003C1BF8">
      <w:pPr>
        <w:autoSpaceDE w:val="0"/>
        <w:autoSpaceDN w:val="0"/>
        <w:adjustRightInd w:val="0"/>
        <w:spacing w:after="120" w:line="240" w:lineRule="auto"/>
        <w:ind w:left="993" w:right="4"/>
        <w:rPr>
          <w:rFonts w:ascii="Rockwell" w:hAnsi="Rockwell" w:cs="Arial"/>
          <w:b/>
          <w:bCs/>
          <w:color w:val="003768"/>
          <w:sz w:val="24"/>
          <w:szCs w:val="24"/>
          <w:lang w:val="fr-FR" w:eastAsia="nl-BE"/>
        </w:rPr>
      </w:pPr>
      <w:r w:rsidRPr="00D57A50">
        <w:rPr>
          <w:rFonts w:ascii="Rockwell" w:hAnsi="Rockwell" w:cs="Arial"/>
          <w:b/>
          <w:bCs/>
          <w:color w:val="003768"/>
          <w:sz w:val="24"/>
          <w:szCs w:val="24"/>
          <w:lang w:val="fr-FR" w:eastAsia="nl-BE"/>
        </w:rPr>
        <w:t>Pour tout complément d’</w:t>
      </w:r>
      <w:r w:rsidR="003C1BF8">
        <w:rPr>
          <w:rFonts w:ascii="Rockwell" w:hAnsi="Rockwell" w:cs="Arial"/>
          <w:b/>
          <w:bCs/>
          <w:color w:val="003768"/>
          <w:sz w:val="24"/>
          <w:szCs w:val="24"/>
          <w:lang w:val="fr-FR" w:eastAsia="nl-BE"/>
        </w:rPr>
        <w:t xml:space="preserve">information, veuillez contacter </w:t>
      </w:r>
      <w:r w:rsidRPr="00D57A50">
        <w:rPr>
          <w:rFonts w:ascii="Rockwell" w:hAnsi="Rockwell" w:cs="Arial"/>
          <w:b/>
          <w:bCs/>
          <w:color w:val="003768"/>
          <w:sz w:val="24"/>
          <w:szCs w:val="24"/>
          <w:lang w:val="fr-FR" w:eastAsia="nl-BE"/>
        </w:rPr>
        <w:t>:</w:t>
      </w:r>
    </w:p>
    <w:p w:rsidR="0077354C" w:rsidRPr="00565993" w:rsidRDefault="0077354C" w:rsidP="003C1BF8">
      <w:pPr>
        <w:autoSpaceDE w:val="0"/>
        <w:autoSpaceDN w:val="0"/>
        <w:adjustRightInd w:val="0"/>
        <w:spacing w:after="0" w:line="240" w:lineRule="auto"/>
        <w:ind w:left="993" w:right="4"/>
        <w:rPr>
          <w:rFonts w:ascii="Rockwell" w:hAnsi="Rockwell" w:cs="Arial"/>
          <w:b/>
          <w:bCs/>
          <w:color w:val="003768"/>
          <w:sz w:val="20"/>
          <w:szCs w:val="24"/>
          <w:lang w:val="fr-FR" w:eastAsia="nl-BE"/>
        </w:rPr>
      </w:pPr>
      <w:r w:rsidRPr="00565993">
        <w:rPr>
          <w:color w:val="003768"/>
          <w:sz w:val="20"/>
          <w:szCs w:val="24"/>
          <w:lang w:val="fr-FR" w:eastAsia="nl-BE"/>
        </w:rPr>
        <w:t xml:space="preserve">Wim Allegaert, Directeur </w:t>
      </w:r>
      <w:proofErr w:type="spellStart"/>
      <w:r w:rsidRPr="00565993">
        <w:rPr>
          <w:color w:val="003768"/>
          <w:sz w:val="20"/>
          <w:szCs w:val="24"/>
          <w:lang w:val="fr-FR" w:eastAsia="nl-BE"/>
        </w:rPr>
        <w:t>Investor</w:t>
      </w:r>
      <w:proofErr w:type="spellEnd"/>
      <w:r w:rsidRPr="00565993">
        <w:rPr>
          <w:color w:val="003768"/>
          <w:sz w:val="20"/>
          <w:szCs w:val="24"/>
          <w:lang w:val="fr-FR" w:eastAsia="nl-BE"/>
        </w:rPr>
        <w:t xml:space="preserve"> Relations, KBC Groupe</w:t>
      </w:r>
    </w:p>
    <w:p w:rsidR="00D57A50" w:rsidRPr="00565993" w:rsidRDefault="0077354C" w:rsidP="00D57A50">
      <w:pPr>
        <w:pStyle w:val="NoSpacing"/>
        <w:spacing w:after="120"/>
        <w:ind w:left="993"/>
        <w:rPr>
          <w:sz w:val="20"/>
          <w:szCs w:val="24"/>
          <w:lang w:val="fr-FR"/>
        </w:rPr>
      </w:pPr>
      <w:r w:rsidRPr="00565993">
        <w:rPr>
          <w:color w:val="003768"/>
          <w:sz w:val="20"/>
          <w:szCs w:val="24"/>
          <w:lang w:val="fr-FR"/>
        </w:rPr>
        <w:t>Tel +32 2 429 50 51  - E-mail :</w:t>
      </w:r>
      <w:r w:rsidRPr="00565993">
        <w:rPr>
          <w:sz w:val="20"/>
          <w:szCs w:val="24"/>
          <w:lang w:val="fr-FR"/>
        </w:rPr>
        <w:t xml:space="preserve"> </w:t>
      </w:r>
      <w:hyperlink r:id="rId18" w:history="1">
        <w:r w:rsidRPr="00565993">
          <w:rPr>
            <w:rStyle w:val="Hyperlink"/>
            <w:rFonts w:cs="Arial"/>
            <w:color w:val="00AEEF"/>
            <w:sz w:val="20"/>
            <w:szCs w:val="24"/>
            <w:lang w:val="fr-FR"/>
          </w:rPr>
          <w:t>wim.allegaert@kbc.be</w:t>
        </w:r>
      </w:hyperlink>
    </w:p>
    <w:p w:rsidR="0077354C" w:rsidRPr="00565993" w:rsidRDefault="0077354C" w:rsidP="00D57A50">
      <w:pPr>
        <w:pStyle w:val="NoSpacing"/>
        <w:ind w:left="993"/>
        <w:rPr>
          <w:color w:val="00AEEF"/>
          <w:sz w:val="20"/>
          <w:szCs w:val="24"/>
          <w:lang w:val="fr-FR"/>
        </w:rPr>
      </w:pPr>
      <w:r w:rsidRPr="00565993">
        <w:rPr>
          <w:rFonts w:cs="Arial"/>
          <w:color w:val="003768"/>
          <w:sz w:val="20"/>
          <w:szCs w:val="24"/>
          <w:lang w:val="fr-FR" w:eastAsia="nl-BE"/>
        </w:rPr>
        <w:t xml:space="preserve">Viviane Huybrecht, Directeur Communication </w:t>
      </w:r>
      <w:proofErr w:type="spellStart"/>
      <w:r w:rsidRPr="00565993">
        <w:rPr>
          <w:rFonts w:cs="Arial"/>
          <w:color w:val="003768"/>
          <w:sz w:val="20"/>
          <w:szCs w:val="24"/>
          <w:lang w:val="fr-FR" w:eastAsia="nl-BE"/>
        </w:rPr>
        <w:t>Corporate</w:t>
      </w:r>
      <w:proofErr w:type="spellEnd"/>
      <w:r w:rsidRPr="00565993">
        <w:rPr>
          <w:rFonts w:cs="Arial"/>
          <w:color w:val="003768"/>
          <w:sz w:val="20"/>
          <w:szCs w:val="24"/>
          <w:lang w:val="fr-FR" w:eastAsia="nl-BE"/>
        </w:rPr>
        <w:t xml:space="preserve"> / Porte-parole KBC Groupe</w:t>
      </w:r>
    </w:p>
    <w:p w:rsidR="0077354C" w:rsidRDefault="0077354C" w:rsidP="00D57A50">
      <w:pPr>
        <w:autoSpaceDE w:val="0"/>
        <w:autoSpaceDN w:val="0"/>
        <w:adjustRightInd w:val="0"/>
        <w:spacing w:after="0" w:line="240" w:lineRule="auto"/>
        <w:ind w:left="993" w:right="4"/>
        <w:rPr>
          <w:rStyle w:val="Hyperlink"/>
          <w:rFonts w:cs="Arial"/>
          <w:color w:val="00AEEF"/>
          <w:sz w:val="20"/>
          <w:szCs w:val="24"/>
          <w:lang w:val="de-DE"/>
        </w:rPr>
      </w:pPr>
      <w:r w:rsidRPr="00565993">
        <w:rPr>
          <w:rFonts w:cs="Arial"/>
          <w:color w:val="003768"/>
          <w:sz w:val="20"/>
          <w:szCs w:val="24"/>
          <w:lang w:val="de-DE"/>
        </w:rPr>
        <w:t xml:space="preserve">Tel +32 2 429 85 45  - </w:t>
      </w:r>
      <w:proofErr w:type="spellStart"/>
      <w:r w:rsidRPr="00565993">
        <w:rPr>
          <w:rFonts w:cs="Arial"/>
          <w:color w:val="003768"/>
          <w:sz w:val="20"/>
          <w:szCs w:val="24"/>
          <w:lang w:val="de-DE"/>
        </w:rPr>
        <w:t>E-mail</w:t>
      </w:r>
      <w:proofErr w:type="spellEnd"/>
      <w:r w:rsidRPr="00565993">
        <w:rPr>
          <w:rFonts w:cs="Arial"/>
          <w:color w:val="003768"/>
          <w:sz w:val="20"/>
          <w:szCs w:val="24"/>
          <w:lang w:val="de-DE"/>
        </w:rPr>
        <w:t xml:space="preserve"> :</w:t>
      </w:r>
      <w:r w:rsidRPr="00565993">
        <w:rPr>
          <w:rFonts w:cs="Arial"/>
          <w:sz w:val="20"/>
          <w:szCs w:val="24"/>
          <w:lang w:val="de-DE"/>
        </w:rPr>
        <w:t xml:space="preserve"> </w:t>
      </w:r>
      <w:hyperlink r:id="rId19" w:history="1">
        <w:r w:rsidRPr="00565993">
          <w:rPr>
            <w:rStyle w:val="Hyperlink"/>
            <w:rFonts w:cs="Arial"/>
            <w:color w:val="00AEEF"/>
            <w:sz w:val="20"/>
            <w:szCs w:val="24"/>
            <w:lang w:val="de-DE"/>
          </w:rPr>
          <w:t>pressofficekbc@kbc.be</w:t>
        </w:r>
      </w:hyperlink>
    </w:p>
    <w:p w:rsidR="00565993" w:rsidRPr="00565993" w:rsidRDefault="00565993" w:rsidP="00D57A50">
      <w:pPr>
        <w:autoSpaceDE w:val="0"/>
        <w:autoSpaceDN w:val="0"/>
        <w:adjustRightInd w:val="0"/>
        <w:spacing w:after="0" w:line="240" w:lineRule="auto"/>
        <w:ind w:left="993" w:right="4"/>
        <w:rPr>
          <w:rFonts w:cs="Arial"/>
          <w:sz w:val="20"/>
          <w:szCs w:val="24"/>
          <w:lang w:val="de-DE"/>
        </w:rPr>
      </w:pPr>
    </w:p>
    <w:p w:rsidR="00574F3C" w:rsidRPr="0077354C" w:rsidRDefault="00932BCB" w:rsidP="0077354C">
      <w:pPr>
        <w:pStyle w:val="NoSpacing"/>
        <w:ind w:left="993"/>
        <w:rPr>
          <w:lang w:val="de-DE"/>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652145</wp:posOffset>
                </wp:positionH>
                <wp:positionV relativeFrom="paragraph">
                  <wp:posOffset>111760</wp:posOffset>
                </wp:positionV>
                <wp:extent cx="6134735" cy="219710"/>
                <wp:effectExtent l="4445" t="0" r="444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34B00" w:rsidRPr="006917E1" w:rsidRDefault="00734B00" w:rsidP="006917E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1.35pt;margin-top:8.8pt;width:483.05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8lsgIAALA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" filled="f" stroked="f" strokeweight=".25pt">
                <v:textbox inset="0,0,0,0">
                  <w:txbxContent>
                    <w:p w:rsidR="00734B00" w:rsidRPr="006917E1" w:rsidRDefault="00734B00" w:rsidP="006917E1"/>
                  </w:txbxContent>
                </v:textbox>
              </v:shape>
            </w:pict>
          </mc:Fallback>
        </mc:AlternateContent>
      </w: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E84EB9"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EF1A60" w:rsidRDefault="00EF1A60" w:rsidP="00EF1A60">
            <w:pPr>
              <w:autoSpaceDE w:val="0"/>
              <w:autoSpaceDN w:val="0"/>
              <w:adjustRightInd w:val="0"/>
              <w:spacing w:after="0" w:line="240" w:lineRule="auto"/>
              <w:rPr>
                <w:b/>
                <w:bCs/>
                <w:color w:val="003768"/>
                <w:sz w:val="18"/>
                <w:szCs w:val="18"/>
                <w:lang w:val="fr-FR"/>
              </w:rPr>
            </w:pPr>
            <w:r w:rsidRPr="00EF1A60">
              <w:rPr>
                <w:rFonts w:ascii="Rockwell" w:hAnsi="Rockwell" w:cs="Rockwell"/>
                <w:color w:val="003768"/>
                <w:sz w:val="18"/>
                <w:szCs w:val="18"/>
                <w:lang w:val="fr-FR" w:eastAsia="nl-BE"/>
              </w:rPr>
              <w:t>* Ce communiqué contient des informations soumises à la réglementation sur la transparence des entreprises cotées en Bourse.</w:t>
            </w:r>
          </w:p>
        </w:tc>
      </w:tr>
      <w:tr w:rsidR="00CE168D" w:rsidRPr="00E84EB9" w:rsidTr="00020337">
        <w:trPr>
          <w:trHeight w:val="913"/>
        </w:trPr>
        <w:tc>
          <w:tcPr>
            <w:tcW w:w="3400" w:type="dxa"/>
            <w:shd w:val="clear" w:color="auto" w:fill="FFFFFF"/>
            <w:tcMar>
              <w:top w:w="15" w:type="dxa"/>
              <w:left w:w="15" w:type="dxa"/>
              <w:bottom w:w="0" w:type="dxa"/>
              <w:right w:w="15" w:type="dxa"/>
            </w:tcMar>
            <w:hideMark/>
          </w:tcPr>
          <w:p w:rsidR="00CE168D" w:rsidRPr="00EF1A60" w:rsidRDefault="00CE168D" w:rsidP="0064576A">
            <w:pPr>
              <w:pStyle w:val="Footer"/>
              <w:tabs>
                <w:tab w:val="bar" w:pos="-2709"/>
              </w:tabs>
              <w:rPr>
                <w:bCs/>
                <w:color w:val="00B0F0"/>
                <w:sz w:val="4"/>
                <w:szCs w:val="4"/>
                <w:lang w:val="fr-FR"/>
              </w:rPr>
            </w:pPr>
          </w:p>
          <w:p w:rsidR="00CE168D" w:rsidRPr="00D01FB0" w:rsidRDefault="00D57A50" w:rsidP="0064576A">
            <w:pPr>
              <w:pStyle w:val="Footer"/>
              <w:tabs>
                <w:tab w:val="bar" w:pos="-2709"/>
              </w:tabs>
              <w:rPr>
                <w:rFonts w:ascii="Rockwell" w:hAnsi="Rockwell"/>
                <w:color w:val="00B0F0"/>
                <w:sz w:val="18"/>
                <w:szCs w:val="18"/>
                <w:lang w:val="fr-FR"/>
              </w:rPr>
            </w:pPr>
            <w:r>
              <w:rPr>
                <w:rFonts w:ascii="Rockwell" w:hAnsi="Rockwell"/>
                <w:b/>
                <w:bCs/>
                <w:color w:val="00B0F0"/>
                <w:sz w:val="18"/>
                <w:szCs w:val="18"/>
                <w:lang w:val="fr-FR"/>
              </w:rPr>
              <w:t>KBC Grou</w:t>
            </w:r>
            <w:r w:rsidR="00CE168D" w:rsidRPr="00D01FB0">
              <w:rPr>
                <w:rFonts w:ascii="Rockwell" w:hAnsi="Rockwell"/>
                <w:b/>
                <w:bCs/>
                <w:color w:val="00B0F0"/>
                <w:sz w:val="18"/>
                <w:szCs w:val="18"/>
                <w:lang w:val="fr-FR"/>
              </w:rPr>
              <w:t>p</w:t>
            </w:r>
            <w:r>
              <w:rPr>
                <w:rFonts w:ascii="Rockwell" w:hAnsi="Rockwell"/>
                <w:b/>
                <w:bCs/>
                <w:color w:val="00B0F0"/>
                <w:sz w:val="18"/>
                <w:szCs w:val="18"/>
                <w:lang w:val="fr-FR"/>
              </w:rPr>
              <w:t>e</w:t>
            </w:r>
            <w:r w:rsidR="00CE168D" w:rsidRPr="00D01FB0">
              <w:rPr>
                <w:rFonts w:ascii="Rockwell" w:hAnsi="Rockwell"/>
                <w:b/>
                <w:bCs/>
                <w:color w:val="00B0F0"/>
                <w:sz w:val="18"/>
                <w:szCs w:val="18"/>
                <w:lang w:val="fr-FR"/>
              </w:rPr>
              <w:t xml:space="preserve"> </w:t>
            </w:r>
            <w:r>
              <w:rPr>
                <w:rFonts w:ascii="Rockwell" w:hAnsi="Rockwell"/>
                <w:b/>
                <w:bCs/>
                <w:color w:val="00B0F0"/>
                <w:sz w:val="18"/>
                <w:szCs w:val="18"/>
                <w:lang w:val="fr-FR"/>
              </w:rPr>
              <w:t>SA</w:t>
            </w:r>
          </w:p>
          <w:p w:rsidR="00CE168D" w:rsidRPr="001E36E6" w:rsidRDefault="00A9543A" w:rsidP="0064576A">
            <w:pPr>
              <w:pStyle w:val="Footer"/>
              <w:tabs>
                <w:tab w:val="bar" w:pos="-2709"/>
              </w:tabs>
              <w:rPr>
                <w:color w:val="002060"/>
                <w:sz w:val="14"/>
                <w:szCs w:val="14"/>
                <w:lang w:val="fr-FR"/>
              </w:rPr>
            </w:pPr>
            <w:r w:rsidRPr="001E36E6">
              <w:rPr>
                <w:rFonts w:cs="Arial"/>
                <w:b/>
                <w:bCs/>
                <w:color w:val="003768"/>
                <w:sz w:val="14"/>
                <w:szCs w:val="14"/>
                <w:lang w:val="fr-FR" w:eastAsia="nl-BE"/>
              </w:rPr>
              <w:t>Av. Du Port 2</w:t>
            </w:r>
            <w:r w:rsidRPr="001E36E6">
              <w:rPr>
                <w:b/>
                <w:bCs/>
                <w:color w:val="002060"/>
                <w:sz w:val="14"/>
                <w:szCs w:val="14"/>
                <w:lang w:val="fr-FR"/>
              </w:rPr>
              <w:t xml:space="preserve"> </w:t>
            </w:r>
            <w:r w:rsidR="00340775" w:rsidRPr="001E36E6">
              <w:rPr>
                <w:b/>
                <w:bCs/>
                <w:color w:val="002060"/>
                <w:sz w:val="14"/>
                <w:szCs w:val="14"/>
                <w:lang w:val="fr-FR"/>
              </w:rPr>
              <w:t>– 1080 Brux</w:t>
            </w:r>
            <w:r w:rsidR="00CE168D" w:rsidRPr="001E36E6">
              <w:rPr>
                <w:b/>
                <w:bCs/>
                <w:color w:val="002060"/>
                <w:sz w:val="14"/>
                <w:szCs w:val="14"/>
                <w:lang w:val="fr-FR"/>
              </w:rPr>
              <w:t>el</w:t>
            </w:r>
            <w:r w:rsidR="00340775" w:rsidRPr="001E36E6">
              <w:rPr>
                <w:b/>
                <w:bCs/>
                <w:color w:val="002060"/>
                <w:sz w:val="14"/>
                <w:szCs w:val="14"/>
                <w:lang w:val="fr-FR"/>
              </w:rPr>
              <w:t>le</w:t>
            </w:r>
            <w:r w:rsidR="00CE168D" w:rsidRPr="001E36E6">
              <w:rPr>
                <w:b/>
                <w:bCs/>
                <w:color w:val="002060"/>
                <w:sz w:val="14"/>
                <w:szCs w:val="14"/>
                <w:lang w:val="fr-FR"/>
              </w:rPr>
              <w:t>s</w:t>
            </w:r>
          </w:p>
          <w:p w:rsidR="00CE168D" w:rsidRPr="001E36E6" w:rsidRDefault="00CE168D" w:rsidP="0064576A">
            <w:pPr>
              <w:pStyle w:val="Footer"/>
              <w:tabs>
                <w:tab w:val="bar" w:pos="-2709"/>
              </w:tabs>
              <w:rPr>
                <w:color w:val="002060"/>
                <w:sz w:val="14"/>
                <w:szCs w:val="14"/>
                <w:lang w:val="fr-FR"/>
              </w:rPr>
            </w:pPr>
            <w:r w:rsidRPr="001E36E6">
              <w:rPr>
                <w:b/>
                <w:bCs/>
                <w:color w:val="002060"/>
                <w:sz w:val="14"/>
                <w:szCs w:val="14"/>
                <w:lang w:val="fr-FR"/>
              </w:rPr>
              <w:t>Viviane Huybrecht</w:t>
            </w:r>
          </w:p>
          <w:p w:rsidR="00EF1A60" w:rsidRPr="00340775" w:rsidRDefault="00340775"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D</w:t>
            </w:r>
            <w:r w:rsidR="00EF1A60" w:rsidRPr="00340775">
              <w:rPr>
                <w:rFonts w:cs="Arial"/>
                <w:b/>
                <w:color w:val="003768"/>
                <w:sz w:val="14"/>
                <w:szCs w:val="14"/>
                <w:lang w:val="fr-FR" w:eastAsia="nl-BE"/>
              </w:rPr>
              <w:t>irecteur</w:t>
            </w:r>
          </w:p>
          <w:p w:rsidR="00EF1A60" w:rsidRPr="00340775" w:rsidRDefault="00D57A50" w:rsidP="00EF1A60">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 xml:space="preserve">Communication </w:t>
            </w:r>
            <w:proofErr w:type="spellStart"/>
            <w:r>
              <w:rPr>
                <w:rFonts w:cs="Arial"/>
                <w:b/>
                <w:color w:val="003768"/>
                <w:sz w:val="14"/>
                <w:szCs w:val="14"/>
                <w:lang w:val="fr-FR" w:eastAsia="nl-BE"/>
              </w:rPr>
              <w:t>Corporate</w:t>
            </w:r>
            <w:proofErr w:type="spellEnd"/>
            <w:r w:rsidR="00C608CE">
              <w:rPr>
                <w:rFonts w:cs="Arial"/>
                <w:b/>
                <w:color w:val="003768"/>
                <w:sz w:val="14"/>
                <w:szCs w:val="14"/>
                <w:lang w:val="fr-FR" w:eastAsia="nl-BE"/>
              </w:rPr>
              <w:t>/</w:t>
            </w:r>
            <w:r w:rsidR="00EF1A60" w:rsidRPr="00340775">
              <w:rPr>
                <w:rFonts w:cs="Arial"/>
                <w:b/>
                <w:color w:val="003768"/>
                <w:sz w:val="14"/>
                <w:szCs w:val="14"/>
                <w:lang w:val="fr-FR" w:eastAsia="nl-BE"/>
              </w:rPr>
              <w:t xml:space="preserve"> </w:t>
            </w:r>
          </w:p>
          <w:p w:rsidR="00340775" w:rsidRPr="00340775" w:rsidRDefault="00EF1A60" w:rsidP="00EF1A60">
            <w:pPr>
              <w:pStyle w:val="Footer"/>
              <w:tabs>
                <w:tab w:val="bar" w:pos="-2709"/>
              </w:tabs>
              <w:rPr>
                <w:rFonts w:cs="Arial"/>
                <w:b/>
                <w:color w:val="003768"/>
                <w:sz w:val="14"/>
                <w:szCs w:val="14"/>
                <w:lang w:val="fr-FR" w:eastAsia="nl-BE"/>
              </w:rPr>
            </w:pPr>
            <w:r w:rsidRPr="00340775">
              <w:rPr>
                <w:rFonts w:cs="Arial"/>
                <w:b/>
                <w:color w:val="003768"/>
                <w:sz w:val="14"/>
                <w:szCs w:val="14"/>
                <w:lang w:val="fr-FR" w:eastAsia="nl-BE"/>
              </w:rPr>
              <w:t>Porte-parole</w:t>
            </w:r>
          </w:p>
          <w:p w:rsidR="00CE168D" w:rsidRPr="00D01FB0" w:rsidRDefault="00CE168D" w:rsidP="00EF1A60">
            <w:pPr>
              <w:pStyle w:val="Footer"/>
              <w:tabs>
                <w:tab w:val="bar" w:pos="-2709"/>
              </w:tabs>
              <w:rPr>
                <w:b/>
                <w:bCs/>
                <w:color w:val="002060"/>
                <w:sz w:val="14"/>
                <w:szCs w:val="14"/>
                <w:lang w:val="fr-FR"/>
              </w:rPr>
            </w:pPr>
            <w:r w:rsidRPr="00D01FB0">
              <w:rPr>
                <w:b/>
                <w:bCs/>
                <w:color w:val="002060"/>
                <w:sz w:val="14"/>
                <w:szCs w:val="14"/>
                <w:lang w:val="fr-FR"/>
              </w:rPr>
              <w:t>Tel. +32 2 429 85 45</w:t>
            </w:r>
          </w:p>
          <w:p w:rsidR="00CE168D" w:rsidRPr="00D01FB0" w:rsidRDefault="00CE168D" w:rsidP="0064576A">
            <w:pPr>
              <w:pStyle w:val="Footer"/>
              <w:tabs>
                <w:tab w:val="bar" w:pos="-2709"/>
              </w:tabs>
              <w:rPr>
                <w:b/>
                <w:bCs/>
                <w:color w:val="002060"/>
                <w:sz w:val="4"/>
                <w:szCs w:val="4"/>
                <w:lang w:val="fr-FR"/>
              </w:rPr>
            </w:pPr>
          </w:p>
        </w:tc>
        <w:tc>
          <w:tcPr>
            <w:tcW w:w="3400" w:type="dxa"/>
            <w:shd w:val="clear" w:color="auto" w:fill="FFFFFF"/>
            <w:tcMar>
              <w:top w:w="15" w:type="dxa"/>
              <w:left w:w="15" w:type="dxa"/>
              <w:bottom w:w="0" w:type="dxa"/>
              <w:right w:w="15" w:type="dxa"/>
            </w:tcMar>
            <w:hideMark/>
          </w:tcPr>
          <w:p w:rsidR="00CE168D" w:rsidRPr="00D01FB0" w:rsidRDefault="00CE168D" w:rsidP="0064576A">
            <w:pPr>
              <w:pStyle w:val="Footer"/>
              <w:tabs>
                <w:tab w:val="bar" w:pos="-2709"/>
              </w:tabs>
              <w:rPr>
                <w:b/>
                <w:bCs/>
                <w:color w:val="002060"/>
                <w:sz w:val="4"/>
                <w:szCs w:val="4"/>
                <w:lang w:val="fr-FR"/>
              </w:rPr>
            </w:pPr>
          </w:p>
          <w:p w:rsidR="00CE168D" w:rsidRPr="00D01FB0" w:rsidRDefault="00CE168D" w:rsidP="0064576A">
            <w:pPr>
              <w:pStyle w:val="Footer"/>
              <w:tabs>
                <w:tab w:val="bar" w:pos="-2709"/>
              </w:tabs>
              <w:rPr>
                <w:rFonts w:ascii="Rockwell" w:hAnsi="Rockwell"/>
                <w:b/>
                <w:bCs/>
                <w:color w:val="002060"/>
                <w:sz w:val="18"/>
                <w:szCs w:val="18"/>
                <w:lang w:val="fr-FR"/>
              </w:rPr>
            </w:pPr>
          </w:p>
          <w:p w:rsidR="00A9543A" w:rsidRPr="00D01FB0" w:rsidRDefault="00A9543A" w:rsidP="0064576A">
            <w:pPr>
              <w:pStyle w:val="Footer"/>
              <w:tabs>
                <w:tab w:val="bar" w:pos="-2709"/>
              </w:tabs>
              <w:rPr>
                <w:rFonts w:cs="Arial"/>
                <w:b/>
                <w:color w:val="003768"/>
                <w:sz w:val="14"/>
                <w:szCs w:val="14"/>
                <w:lang w:val="fr-FR" w:eastAsia="nl-BE"/>
              </w:rPr>
            </w:pPr>
            <w:r w:rsidRPr="00D01FB0">
              <w:rPr>
                <w:rFonts w:cs="Arial"/>
                <w:b/>
                <w:color w:val="003768"/>
                <w:sz w:val="14"/>
                <w:szCs w:val="14"/>
                <w:lang w:val="fr-FR" w:eastAsia="nl-BE"/>
              </w:rPr>
              <w:t>Service Presse</w:t>
            </w:r>
          </w:p>
          <w:p w:rsidR="00CE168D" w:rsidRPr="00D01FB0" w:rsidRDefault="00CE168D" w:rsidP="0064576A">
            <w:pPr>
              <w:pStyle w:val="Footer"/>
              <w:tabs>
                <w:tab w:val="bar" w:pos="-2709"/>
              </w:tabs>
              <w:rPr>
                <w:color w:val="002060"/>
                <w:sz w:val="14"/>
                <w:szCs w:val="14"/>
                <w:lang w:val="fr-FR"/>
              </w:rPr>
            </w:pPr>
            <w:r w:rsidRPr="00D01FB0">
              <w:rPr>
                <w:b/>
                <w:bCs/>
                <w:color w:val="002060"/>
                <w:sz w:val="14"/>
                <w:szCs w:val="14"/>
                <w:lang w:val="fr-FR"/>
              </w:rPr>
              <w:t>Tel. +32 2 429 65 01</w:t>
            </w:r>
            <w:r w:rsidR="00612175">
              <w:rPr>
                <w:b/>
                <w:bCs/>
                <w:color w:val="002060"/>
                <w:sz w:val="14"/>
                <w:szCs w:val="14"/>
                <w:lang w:val="fr-FR"/>
              </w:rPr>
              <w:t xml:space="preserve"> Stef Leunens</w:t>
            </w:r>
          </w:p>
          <w:p w:rsidR="00191CF8" w:rsidRPr="00C608CE" w:rsidRDefault="00191CF8" w:rsidP="0064576A">
            <w:pPr>
              <w:pStyle w:val="Footer"/>
              <w:tabs>
                <w:tab w:val="bar" w:pos="-2709"/>
              </w:tabs>
              <w:rPr>
                <w:b/>
                <w:bCs/>
                <w:color w:val="002060"/>
                <w:sz w:val="14"/>
                <w:szCs w:val="14"/>
                <w:lang w:val="fr-FR"/>
              </w:rPr>
            </w:pPr>
            <w:r w:rsidRPr="00C608CE">
              <w:rPr>
                <w:b/>
                <w:bCs/>
                <w:color w:val="002060"/>
                <w:sz w:val="14"/>
                <w:szCs w:val="14"/>
                <w:lang w:val="fr-FR"/>
              </w:rPr>
              <w:t>Tel. +32 2 429 29 15</w:t>
            </w:r>
            <w:r w:rsidR="00612175">
              <w:rPr>
                <w:b/>
                <w:bCs/>
                <w:color w:val="002060"/>
                <w:sz w:val="14"/>
                <w:szCs w:val="14"/>
                <w:lang w:val="fr-FR"/>
              </w:rPr>
              <w:t xml:space="preserve"> Ilse De Muyer</w:t>
            </w:r>
          </w:p>
          <w:p w:rsidR="00CE168D" w:rsidRPr="00C608CE" w:rsidRDefault="00CE168D" w:rsidP="0064576A">
            <w:pPr>
              <w:pStyle w:val="Footer"/>
              <w:tabs>
                <w:tab w:val="bar" w:pos="-2709"/>
              </w:tabs>
              <w:rPr>
                <w:color w:val="002060"/>
                <w:sz w:val="14"/>
                <w:szCs w:val="14"/>
                <w:lang w:val="fr-FR"/>
              </w:rPr>
            </w:pPr>
            <w:r w:rsidRPr="00D01FB0">
              <w:rPr>
                <w:b/>
                <w:bCs/>
                <w:color w:val="002060"/>
                <w:sz w:val="14"/>
                <w:szCs w:val="14"/>
                <w:lang w:val="fr-FR"/>
              </w:rPr>
              <w:t>Fax +32 2 429 81 60</w:t>
            </w:r>
          </w:p>
          <w:p w:rsidR="00CE168D" w:rsidRPr="00C608CE" w:rsidRDefault="001E36E6" w:rsidP="0064576A">
            <w:pPr>
              <w:pStyle w:val="Footer"/>
              <w:tabs>
                <w:tab w:val="bar" w:pos="-2709"/>
              </w:tabs>
              <w:rPr>
                <w:lang w:val="fr-FR"/>
              </w:rPr>
            </w:pPr>
            <w:r w:rsidRPr="00C608CE">
              <w:rPr>
                <w:b/>
                <w:bCs/>
                <w:color w:val="002060"/>
                <w:sz w:val="14"/>
                <w:szCs w:val="14"/>
                <w:lang w:val="fr-FR"/>
              </w:rPr>
              <w:t xml:space="preserve">E-Mail </w:t>
            </w:r>
            <w:r w:rsidR="00CE168D" w:rsidRPr="00C608CE">
              <w:rPr>
                <w:b/>
                <w:bCs/>
                <w:color w:val="002060"/>
                <w:sz w:val="14"/>
                <w:szCs w:val="14"/>
                <w:lang w:val="fr-FR"/>
              </w:rPr>
              <w:t xml:space="preserve">: </w:t>
            </w:r>
            <w:hyperlink r:id="rId20" w:history="1">
              <w:r w:rsidR="00C879D4" w:rsidRPr="00C608CE">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CE168D" w:rsidRPr="00C608CE" w:rsidRDefault="00CE168D" w:rsidP="0064576A">
            <w:pPr>
              <w:pStyle w:val="Footer"/>
              <w:tabs>
                <w:tab w:val="bar" w:pos="-2709"/>
              </w:tabs>
              <w:rPr>
                <w:b/>
                <w:bCs/>
                <w:color w:val="002060"/>
                <w:sz w:val="4"/>
                <w:szCs w:val="4"/>
                <w:lang w:val="fr-FR"/>
              </w:rPr>
            </w:pPr>
          </w:p>
          <w:p w:rsidR="00CE168D" w:rsidRPr="00C608CE" w:rsidRDefault="00CE168D" w:rsidP="0064576A">
            <w:pPr>
              <w:pStyle w:val="Footer"/>
              <w:tabs>
                <w:tab w:val="bar" w:pos="-2709"/>
              </w:tabs>
              <w:rPr>
                <w:b/>
                <w:bCs/>
                <w:color w:val="002060"/>
                <w:sz w:val="18"/>
                <w:szCs w:val="18"/>
                <w:lang w:val="fr-FR"/>
              </w:rPr>
            </w:pP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Les communiqués de presse KBC peuvent être</w:t>
            </w:r>
          </w:p>
          <w:p w:rsidR="00A9543A" w:rsidRPr="00A9543A" w:rsidRDefault="00A9543A" w:rsidP="00A9543A">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 xml:space="preserve">consultés sur </w:t>
            </w:r>
            <w:hyperlink r:id="rId21" w:history="1">
              <w:r w:rsidR="00CE168D" w:rsidRPr="00A9543A">
                <w:rPr>
                  <w:rStyle w:val="Hyperlink"/>
                  <w:b/>
                  <w:bCs/>
                  <w:color w:val="00B0F0"/>
                  <w:sz w:val="14"/>
                  <w:szCs w:val="14"/>
                  <w:lang w:val="fr-FR"/>
                </w:rPr>
                <w:t>www.kbc.com</w:t>
              </w:r>
            </w:hyperlink>
            <w:r w:rsidR="00CE168D" w:rsidRPr="00A9543A">
              <w:rPr>
                <w:b/>
                <w:bCs/>
                <w:color w:val="002060"/>
                <w:sz w:val="14"/>
                <w:szCs w:val="14"/>
                <w:lang w:val="fr-FR"/>
              </w:rPr>
              <w:t xml:space="preserve"> </w:t>
            </w:r>
            <w:r>
              <w:rPr>
                <w:rFonts w:cs="Arial"/>
                <w:b/>
                <w:color w:val="003768"/>
                <w:sz w:val="14"/>
                <w:szCs w:val="14"/>
                <w:lang w:val="fr-FR" w:eastAsia="nl-BE"/>
              </w:rPr>
              <w:t xml:space="preserve">ou obtenus </w:t>
            </w:r>
            <w:r w:rsidRPr="00A9543A">
              <w:rPr>
                <w:rFonts w:cs="Arial"/>
                <w:b/>
                <w:color w:val="003768"/>
                <w:sz w:val="14"/>
                <w:szCs w:val="14"/>
                <w:lang w:val="fr-FR" w:eastAsia="nl-BE"/>
              </w:rPr>
              <w:t>en</w:t>
            </w:r>
          </w:p>
          <w:p w:rsidR="00CE168D" w:rsidRPr="00A9543A" w:rsidRDefault="00A9543A" w:rsidP="00A9543A">
            <w:pPr>
              <w:pStyle w:val="Footer"/>
              <w:tabs>
                <w:tab w:val="bar" w:pos="-2709"/>
              </w:tabs>
              <w:spacing w:after="120"/>
              <w:rPr>
                <w:color w:val="002060"/>
                <w:sz w:val="14"/>
                <w:szCs w:val="14"/>
                <w:lang w:val="fr-FR"/>
              </w:rPr>
            </w:pPr>
            <w:r w:rsidRPr="00A9543A">
              <w:rPr>
                <w:rFonts w:cs="Arial"/>
                <w:b/>
                <w:color w:val="003768"/>
                <w:sz w:val="14"/>
                <w:szCs w:val="14"/>
                <w:lang w:val="fr-FR" w:eastAsia="nl-BE"/>
              </w:rPr>
              <w:t>envoyant un courriel à</w:t>
            </w:r>
            <w:r>
              <w:rPr>
                <w:rFonts w:cs="Arial"/>
                <w:b/>
                <w:color w:val="003768"/>
                <w:sz w:val="14"/>
                <w:szCs w:val="14"/>
                <w:lang w:val="fr-FR" w:eastAsia="nl-BE"/>
              </w:rPr>
              <w:t xml:space="preserve"> </w:t>
            </w:r>
            <w:r w:rsidR="00CE168D" w:rsidRPr="00A9543A">
              <w:rPr>
                <w:b/>
                <w:bCs/>
                <w:color w:val="003768"/>
                <w:sz w:val="14"/>
                <w:szCs w:val="14"/>
                <w:lang w:val="fr-FR"/>
              </w:rPr>
              <w:t xml:space="preserve"> </w:t>
            </w:r>
            <w:hyperlink r:id="rId22" w:history="1">
              <w:r w:rsidR="00CE168D" w:rsidRPr="00A9543A">
                <w:rPr>
                  <w:rStyle w:val="Hyperlink"/>
                  <w:b/>
                  <w:bCs/>
                  <w:color w:val="00B0F0"/>
                  <w:sz w:val="14"/>
                  <w:szCs w:val="14"/>
                  <w:lang w:val="fr-FR"/>
                </w:rPr>
                <w:t>pressofficekbc@kbc.be</w:t>
              </w:r>
            </w:hyperlink>
          </w:p>
          <w:p w:rsidR="00CE168D" w:rsidRPr="00A9543A" w:rsidRDefault="00A9543A" w:rsidP="0064576A">
            <w:pPr>
              <w:pStyle w:val="Footer"/>
              <w:tabs>
                <w:tab w:val="bar" w:pos="-2709"/>
              </w:tabs>
              <w:spacing w:after="120"/>
              <w:rPr>
                <w:color w:val="002060"/>
                <w:lang w:val="fr-FR"/>
              </w:rPr>
            </w:pPr>
            <w:r w:rsidRPr="00A9543A">
              <w:rPr>
                <w:rFonts w:cs="Calibri"/>
                <w:b/>
                <w:color w:val="003768"/>
                <w:sz w:val="14"/>
                <w:szCs w:val="14"/>
                <w:lang w:val="fr-FR" w:eastAsia="nl-BE"/>
              </w:rPr>
              <w:t>Suivez nous</w:t>
            </w:r>
            <w:r w:rsidR="00D01FB0">
              <w:rPr>
                <w:rFonts w:cs="Calibri"/>
                <w:b/>
                <w:color w:val="003768"/>
                <w:sz w:val="14"/>
                <w:szCs w:val="14"/>
                <w:lang w:val="fr-FR" w:eastAsia="nl-BE"/>
              </w:rPr>
              <w:t xml:space="preserve"> sur</w:t>
            </w:r>
            <w:r w:rsidRPr="00A9543A">
              <w:rPr>
                <w:lang w:val="fr-FR"/>
              </w:rPr>
              <w:t xml:space="preserve"> </w:t>
            </w:r>
            <w:hyperlink r:id="rId23" w:history="1">
              <w:r w:rsidR="00CE168D" w:rsidRPr="00A9543A">
                <w:rPr>
                  <w:rStyle w:val="Hyperlink"/>
                  <w:b/>
                  <w:bCs/>
                  <w:color w:val="00B0F0"/>
                  <w:sz w:val="14"/>
                  <w:szCs w:val="14"/>
                  <w:lang w:val="fr-FR"/>
                </w:rPr>
                <w:t>www.twitter.com/kbc_group</w:t>
              </w:r>
            </w:hyperlink>
          </w:p>
        </w:tc>
      </w:tr>
    </w:tbl>
    <w:p w:rsidR="004278B1" w:rsidRDefault="00932BCB" w:rsidP="00020337">
      <w:pPr>
        <w:pStyle w:val="NoSpacing"/>
        <w:ind w:left="993" w:right="664"/>
      </w:pPr>
      <w:r>
        <w:rPr>
          <w:noProof/>
          <w:lang w:val="nl-BE" w:eastAsia="nl-BE"/>
        </w:rPr>
        <w:lastRenderedPageBreak/>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6477000</wp:posOffset>
                </wp:positionV>
                <wp:extent cx="958215" cy="139065"/>
                <wp:effectExtent l="0" t="0" r="381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B00" w:rsidRDefault="00734B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0;margin-top:510pt;width:75.45pt;height:10.9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oVsA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" filled="f" stroked="f">
                <v:textbox inset="0,0,0,0">
                  <w:txbxContent>
                    <w:p w:rsidR="00734B00" w:rsidRDefault="00734B00"/>
                  </w:txbxContent>
                </v:textbox>
              </v:shape>
            </w:pict>
          </mc:Fallback>
        </mc:AlternateContent>
      </w:r>
    </w:p>
    <w:sectPr w:rsidR="004278B1" w:rsidSect="00020337">
      <w:footerReference w:type="default" r:id="rId24"/>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00" w:rsidRDefault="00734B00" w:rsidP="0077354C">
      <w:pPr>
        <w:spacing w:after="0" w:line="240" w:lineRule="auto"/>
      </w:pPr>
      <w:r>
        <w:separator/>
      </w:r>
    </w:p>
  </w:endnote>
  <w:endnote w:type="continuationSeparator" w:id="0">
    <w:p w:rsidR="00734B00" w:rsidRDefault="00734B00" w:rsidP="0077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00" w:rsidRDefault="00734B0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E2730">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2730">
      <w:rPr>
        <w:b/>
        <w:noProof/>
      </w:rPr>
      <w:t>18</w:t>
    </w:r>
    <w:r>
      <w:rPr>
        <w:b/>
        <w:sz w:val="24"/>
        <w:szCs w:val="24"/>
      </w:rPr>
      <w:fldChar w:fldCharType="end"/>
    </w:r>
  </w:p>
  <w:p w:rsidR="00734B00" w:rsidRDefault="0073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00" w:rsidRDefault="00734B00" w:rsidP="0077354C">
      <w:pPr>
        <w:spacing w:after="0" w:line="240" w:lineRule="auto"/>
      </w:pPr>
      <w:r>
        <w:separator/>
      </w:r>
    </w:p>
  </w:footnote>
  <w:footnote w:type="continuationSeparator" w:id="0">
    <w:p w:rsidR="00734B00" w:rsidRDefault="00734B00" w:rsidP="0077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0EB"/>
    <w:multiLevelType w:val="hybridMultilevel"/>
    <w:tmpl w:val="CDF605A8"/>
    <w:lvl w:ilvl="0" w:tplc="7C462972">
      <w:numFmt w:val="bullet"/>
      <w:lvlText w:val="•"/>
      <w:lvlJc w:val="left"/>
      <w:pPr>
        <w:ind w:left="1442" w:hanging="45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9DF0CAB"/>
    <w:multiLevelType w:val="hybridMultilevel"/>
    <w:tmpl w:val="602E3BCC"/>
    <w:lvl w:ilvl="0" w:tplc="7C462972">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2072" w:hanging="360"/>
      </w:pPr>
      <w:rPr>
        <w:rFonts w:ascii="Courier New" w:hAnsi="Courier New" w:cs="Courier New"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Courier New"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Courier New" w:hint="default"/>
      </w:rPr>
    </w:lvl>
    <w:lvl w:ilvl="8" w:tplc="08130005" w:tentative="1">
      <w:start w:val="1"/>
      <w:numFmt w:val="bullet"/>
      <w:lvlText w:val=""/>
      <w:lvlJc w:val="left"/>
      <w:pPr>
        <w:ind w:left="7112" w:hanging="360"/>
      </w:pPr>
      <w:rPr>
        <w:rFonts w:ascii="Wingdings" w:hAnsi="Wingdings" w:hint="default"/>
      </w:rPr>
    </w:lvl>
  </w:abstractNum>
  <w:abstractNum w:abstractNumId="2">
    <w:nsid w:val="44146AE1"/>
    <w:multiLevelType w:val="hybridMultilevel"/>
    <w:tmpl w:val="1DB8839C"/>
    <w:lvl w:ilvl="0" w:tplc="08130001">
      <w:start w:val="1"/>
      <w:numFmt w:val="bullet"/>
      <w:lvlText w:val=""/>
      <w:lvlJc w:val="left"/>
      <w:pPr>
        <w:ind w:left="1712" w:hanging="360"/>
      </w:pPr>
      <w:rPr>
        <w:rFonts w:ascii="Symbol" w:hAnsi="Symbol"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3">
    <w:nsid w:val="57F63E0D"/>
    <w:multiLevelType w:val="hybridMultilevel"/>
    <w:tmpl w:val="543855AE"/>
    <w:lvl w:ilvl="0" w:tplc="7C462972">
      <w:numFmt w:val="bullet"/>
      <w:lvlText w:val="•"/>
      <w:lvlJc w:val="left"/>
      <w:pPr>
        <w:ind w:left="2434" w:hanging="450"/>
      </w:pPr>
      <w:rPr>
        <w:rFonts w:ascii="Calibri" w:eastAsia="Calibri" w:hAnsi="Calibri" w:cs="Calibri" w:hint="default"/>
      </w:rPr>
    </w:lvl>
    <w:lvl w:ilvl="1" w:tplc="08130003" w:tentative="1">
      <w:start w:val="1"/>
      <w:numFmt w:val="bullet"/>
      <w:lvlText w:val="o"/>
      <w:lvlJc w:val="left"/>
      <w:pPr>
        <w:ind w:left="2432" w:hanging="360"/>
      </w:pPr>
      <w:rPr>
        <w:rFonts w:ascii="Courier New" w:hAnsi="Courier New" w:cs="Courier New" w:hint="default"/>
      </w:rPr>
    </w:lvl>
    <w:lvl w:ilvl="2" w:tplc="08130005" w:tentative="1">
      <w:start w:val="1"/>
      <w:numFmt w:val="bullet"/>
      <w:lvlText w:val=""/>
      <w:lvlJc w:val="left"/>
      <w:pPr>
        <w:ind w:left="3152" w:hanging="360"/>
      </w:pPr>
      <w:rPr>
        <w:rFonts w:ascii="Wingdings" w:hAnsi="Wingdings" w:hint="default"/>
      </w:rPr>
    </w:lvl>
    <w:lvl w:ilvl="3" w:tplc="08130001" w:tentative="1">
      <w:start w:val="1"/>
      <w:numFmt w:val="bullet"/>
      <w:lvlText w:val=""/>
      <w:lvlJc w:val="left"/>
      <w:pPr>
        <w:ind w:left="3872" w:hanging="360"/>
      </w:pPr>
      <w:rPr>
        <w:rFonts w:ascii="Symbol" w:hAnsi="Symbol" w:hint="default"/>
      </w:rPr>
    </w:lvl>
    <w:lvl w:ilvl="4" w:tplc="08130003" w:tentative="1">
      <w:start w:val="1"/>
      <w:numFmt w:val="bullet"/>
      <w:lvlText w:val="o"/>
      <w:lvlJc w:val="left"/>
      <w:pPr>
        <w:ind w:left="4592" w:hanging="360"/>
      </w:pPr>
      <w:rPr>
        <w:rFonts w:ascii="Courier New" w:hAnsi="Courier New" w:cs="Courier New" w:hint="default"/>
      </w:rPr>
    </w:lvl>
    <w:lvl w:ilvl="5" w:tplc="08130005" w:tentative="1">
      <w:start w:val="1"/>
      <w:numFmt w:val="bullet"/>
      <w:lvlText w:val=""/>
      <w:lvlJc w:val="left"/>
      <w:pPr>
        <w:ind w:left="5312" w:hanging="360"/>
      </w:pPr>
      <w:rPr>
        <w:rFonts w:ascii="Wingdings" w:hAnsi="Wingdings" w:hint="default"/>
      </w:rPr>
    </w:lvl>
    <w:lvl w:ilvl="6" w:tplc="08130001" w:tentative="1">
      <w:start w:val="1"/>
      <w:numFmt w:val="bullet"/>
      <w:lvlText w:val=""/>
      <w:lvlJc w:val="left"/>
      <w:pPr>
        <w:ind w:left="6032" w:hanging="360"/>
      </w:pPr>
      <w:rPr>
        <w:rFonts w:ascii="Symbol" w:hAnsi="Symbol" w:hint="default"/>
      </w:rPr>
    </w:lvl>
    <w:lvl w:ilvl="7" w:tplc="08130003" w:tentative="1">
      <w:start w:val="1"/>
      <w:numFmt w:val="bullet"/>
      <w:lvlText w:val="o"/>
      <w:lvlJc w:val="left"/>
      <w:pPr>
        <w:ind w:left="6752" w:hanging="360"/>
      </w:pPr>
      <w:rPr>
        <w:rFonts w:ascii="Courier New" w:hAnsi="Courier New" w:cs="Courier New" w:hint="default"/>
      </w:rPr>
    </w:lvl>
    <w:lvl w:ilvl="8" w:tplc="08130005" w:tentative="1">
      <w:start w:val="1"/>
      <w:numFmt w:val="bullet"/>
      <w:lvlText w:val=""/>
      <w:lvlJc w:val="left"/>
      <w:pPr>
        <w:ind w:left="7472" w:hanging="360"/>
      </w:pPr>
      <w:rPr>
        <w:rFonts w:ascii="Wingdings" w:hAnsi="Wingdings" w:hint="default"/>
      </w:rPr>
    </w:lvl>
  </w:abstractNum>
  <w:abstractNum w:abstractNumId="4">
    <w:nsid w:val="706C2324"/>
    <w:multiLevelType w:val="hybridMultilevel"/>
    <w:tmpl w:val="DECCFB0E"/>
    <w:lvl w:ilvl="0" w:tplc="7C462972">
      <w:numFmt w:val="bullet"/>
      <w:lvlText w:val="•"/>
      <w:lvlJc w:val="left"/>
      <w:pPr>
        <w:ind w:left="1442" w:hanging="45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01188"/>
    <w:rsid w:val="00017FD1"/>
    <w:rsid w:val="00020337"/>
    <w:rsid w:val="00067351"/>
    <w:rsid w:val="0007720A"/>
    <w:rsid w:val="001044FC"/>
    <w:rsid w:val="00145E8E"/>
    <w:rsid w:val="001572F2"/>
    <w:rsid w:val="00164526"/>
    <w:rsid w:val="00191CF8"/>
    <w:rsid w:val="001E36E6"/>
    <w:rsid w:val="00222803"/>
    <w:rsid w:val="00262D1E"/>
    <w:rsid w:val="00281858"/>
    <w:rsid w:val="00286C63"/>
    <w:rsid w:val="002D59DA"/>
    <w:rsid w:val="00326CB0"/>
    <w:rsid w:val="00334465"/>
    <w:rsid w:val="00340775"/>
    <w:rsid w:val="0038316D"/>
    <w:rsid w:val="0038517C"/>
    <w:rsid w:val="003915CA"/>
    <w:rsid w:val="003A10F4"/>
    <w:rsid w:val="003A54AC"/>
    <w:rsid w:val="003C1BF8"/>
    <w:rsid w:val="003C3F4A"/>
    <w:rsid w:val="003C61B4"/>
    <w:rsid w:val="003D7872"/>
    <w:rsid w:val="003E2730"/>
    <w:rsid w:val="004278B1"/>
    <w:rsid w:val="0047091F"/>
    <w:rsid w:val="004F7511"/>
    <w:rsid w:val="004F75DC"/>
    <w:rsid w:val="0052230C"/>
    <w:rsid w:val="005235E3"/>
    <w:rsid w:val="00565993"/>
    <w:rsid w:val="00574F3C"/>
    <w:rsid w:val="005B005E"/>
    <w:rsid w:val="005B5013"/>
    <w:rsid w:val="00612175"/>
    <w:rsid w:val="0064576A"/>
    <w:rsid w:val="00673D3E"/>
    <w:rsid w:val="006763FA"/>
    <w:rsid w:val="006917E1"/>
    <w:rsid w:val="006A6C5E"/>
    <w:rsid w:val="006A73EA"/>
    <w:rsid w:val="006C3542"/>
    <w:rsid w:val="006F3BB7"/>
    <w:rsid w:val="00734B00"/>
    <w:rsid w:val="007571D2"/>
    <w:rsid w:val="00770C2F"/>
    <w:rsid w:val="0077354C"/>
    <w:rsid w:val="00775C2F"/>
    <w:rsid w:val="00777C89"/>
    <w:rsid w:val="00830F8B"/>
    <w:rsid w:val="00856602"/>
    <w:rsid w:val="008F3197"/>
    <w:rsid w:val="00932BCB"/>
    <w:rsid w:val="009C1678"/>
    <w:rsid w:val="009C4391"/>
    <w:rsid w:val="00A20B2F"/>
    <w:rsid w:val="00A42FB1"/>
    <w:rsid w:val="00A73521"/>
    <w:rsid w:val="00A9543A"/>
    <w:rsid w:val="00AC7A25"/>
    <w:rsid w:val="00B7736D"/>
    <w:rsid w:val="00B97593"/>
    <w:rsid w:val="00BE46FD"/>
    <w:rsid w:val="00C608CE"/>
    <w:rsid w:val="00C879D4"/>
    <w:rsid w:val="00CE168D"/>
    <w:rsid w:val="00D01FB0"/>
    <w:rsid w:val="00D14EBE"/>
    <w:rsid w:val="00D57A50"/>
    <w:rsid w:val="00D61FE6"/>
    <w:rsid w:val="00D651BD"/>
    <w:rsid w:val="00E65043"/>
    <w:rsid w:val="00E8411D"/>
    <w:rsid w:val="00E84EB9"/>
    <w:rsid w:val="00EA7DF4"/>
    <w:rsid w:val="00EF1A60"/>
    <w:rsid w:val="00F5543C"/>
    <w:rsid w:val="00F56CC4"/>
    <w:rsid w:val="00F83524"/>
    <w:rsid w:val="00F8611A"/>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77354C"/>
    <w:pPr>
      <w:tabs>
        <w:tab w:val="center" w:pos="4536"/>
        <w:tab w:val="right" w:pos="9072"/>
      </w:tabs>
    </w:pPr>
  </w:style>
  <w:style w:type="character" w:customStyle="1" w:styleId="HeaderChar">
    <w:name w:val="Header Char"/>
    <w:basedOn w:val="DefaultParagraphFont"/>
    <w:link w:val="Header"/>
    <w:uiPriority w:val="99"/>
    <w:semiHidden/>
    <w:rsid w:val="0077354C"/>
    <w:rPr>
      <w:sz w:val="22"/>
      <w:szCs w:val="22"/>
      <w:lang w:val="en-US" w:eastAsia="en-US"/>
    </w:rPr>
  </w:style>
  <w:style w:type="paragraph" w:styleId="ListParagraph">
    <w:name w:val="List Paragraph"/>
    <w:basedOn w:val="Normal"/>
    <w:uiPriority w:val="34"/>
    <w:qFormat/>
    <w:rsid w:val="0073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77354C"/>
    <w:pPr>
      <w:tabs>
        <w:tab w:val="center" w:pos="4536"/>
        <w:tab w:val="right" w:pos="9072"/>
      </w:tabs>
    </w:pPr>
  </w:style>
  <w:style w:type="character" w:customStyle="1" w:styleId="HeaderChar">
    <w:name w:val="Header Char"/>
    <w:basedOn w:val="DefaultParagraphFont"/>
    <w:link w:val="Header"/>
    <w:uiPriority w:val="99"/>
    <w:semiHidden/>
    <w:rsid w:val="0077354C"/>
    <w:rPr>
      <w:sz w:val="22"/>
      <w:szCs w:val="22"/>
      <w:lang w:val="en-US" w:eastAsia="en-US"/>
    </w:rPr>
  </w:style>
  <w:style w:type="paragraph" w:styleId="ListParagraph">
    <w:name w:val="List Paragraph"/>
    <w:basedOn w:val="Normal"/>
    <w:uiPriority w:val="34"/>
    <w:qFormat/>
    <w:rsid w:val="0073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6832">
      <w:bodyDiv w:val="1"/>
      <w:marLeft w:val="0"/>
      <w:marRight w:val="0"/>
      <w:marTop w:val="0"/>
      <w:marBottom w:val="0"/>
      <w:divBdr>
        <w:top w:val="none" w:sz="0" w:space="0" w:color="auto"/>
        <w:left w:val="none" w:sz="0" w:space="0" w:color="auto"/>
        <w:bottom w:val="none" w:sz="0" w:space="0" w:color="auto"/>
        <w:right w:val="none" w:sz="0" w:space="0" w:color="auto"/>
      </w:divBdr>
      <w:divsChild>
        <w:div w:id="747768933">
          <w:marLeft w:val="547"/>
          <w:marRight w:val="0"/>
          <w:marTop w:val="0"/>
          <w:marBottom w:val="0"/>
          <w:divBdr>
            <w:top w:val="none" w:sz="0" w:space="0" w:color="auto"/>
            <w:left w:val="none" w:sz="0" w:space="0" w:color="auto"/>
            <w:bottom w:val="none" w:sz="0" w:space="0" w:color="auto"/>
            <w:right w:val="none" w:sz="0" w:space="0" w:color="auto"/>
          </w:divBdr>
        </w:div>
      </w:divsChild>
    </w:div>
    <w:div w:id="703678604">
      <w:bodyDiv w:val="1"/>
      <w:marLeft w:val="0"/>
      <w:marRight w:val="0"/>
      <w:marTop w:val="0"/>
      <w:marBottom w:val="0"/>
      <w:divBdr>
        <w:top w:val="none" w:sz="0" w:space="0" w:color="auto"/>
        <w:left w:val="none" w:sz="0" w:space="0" w:color="auto"/>
        <w:bottom w:val="none" w:sz="0" w:space="0" w:color="auto"/>
        <w:right w:val="none" w:sz="0" w:space="0" w:color="auto"/>
      </w:divBdr>
      <w:divsChild>
        <w:div w:id="101923765">
          <w:marLeft w:val="547"/>
          <w:marRight w:val="0"/>
          <w:marTop w:val="0"/>
          <w:marBottom w:val="0"/>
          <w:divBdr>
            <w:top w:val="none" w:sz="0" w:space="0" w:color="auto"/>
            <w:left w:val="none" w:sz="0" w:space="0" w:color="auto"/>
            <w:bottom w:val="none" w:sz="0" w:space="0" w:color="auto"/>
            <w:right w:val="none" w:sz="0" w:space="0" w:color="auto"/>
          </w:divBdr>
        </w:div>
      </w:divsChild>
    </w:div>
    <w:div w:id="804391794">
      <w:bodyDiv w:val="1"/>
      <w:marLeft w:val="0"/>
      <w:marRight w:val="0"/>
      <w:marTop w:val="0"/>
      <w:marBottom w:val="0"/>
      <w:divBdr>
        <w:top w:val="none" w:sz="0" w:space="0" w:color="auto"/>
        <w:left w:val="none" w:sz="0" w:space="0" w:color="auto"/>
        <w:bottom w:val="none" w:sz="0" w:space="0" w:color="auto"/>
        <w:right w:val="none" w:sz="0" w:space="0" w:color="auto"/>
      </w:divBdr>
      <w:divsChild>
        <w:div w:id="93212398">
          <w:marLeft w:val="547"/>
          <w:marRight w:val="0"/>
          <w:marTop w:val="0"/>
          <w:marBottom w:val="0"/>
          <w:divBdr>
            <w:top w:val="none" w:sz="0" w:space="0" w:color="auto"/>
            <w:left w:val="none" w:sz="0" w:space="0" w:color="auto"/>
            <w:bottom w:val="none" w:sz="0" w:space="0" w:color="auto"/>
            <w:right w:val="none" w:sz="0" w:space="0" w:color="auto"/>
          </w:divBdr>
        </w:div>
      </w:divsChild>
    </w:div>
    <w:div w:id="1229146998">
      <w:bodyDiv w:val="1"/>
      <w:marLeft w:val="0"/>
      <w:marRight w:val="0"/>
      <w:marTop w:val="0"/>
      <w:marBottom w:val="0"/>
      <w:divBdr>
        <w:top w:val="none" w:sz="0" w:space="0" w:color="auto"/>
        <w:left w:val="none" w:sz="0" w:space="0" w:color="auto"/>
        <w:bottom w:val="none" w:sz="0" w:space="0" w:color="auto"/>
        <w:right w:val="none" w:sz="0" w:space="0" w:color="auto"/>
      </w:divBdr>
      <w:divsChild>
        <w:div w:id="920453475">
          <w:marLeft w:val="547"/>
          <w:marRight w:val="0"/>
          <w:marTop w:val="0"/>
          <w:marBottom w:val="0"/>
          <w:divBdr>
            <w:top w:val="none" w:sz="0" w:space="0" w:color="auto"/>
            <w:left w:val="none" w:sz="0" w:space="0" w:color="auto"/>
            <w:bottom w:val="none" w:sz="0" w:space="0" w:color="auto"/>
            <w:right w:val="none" w:sz="0" w:space="0" w:color="auto"/>
          </w:divBdr>
        </w:div>
      </w:divsChild>
    </w:div>
    <w:div w:id="1780441845">
      <w:bodyDiv w:val="1"/>
      <w:marLeft w:val="0"/>
      <w:marRight w:val="0"/>
      <w:marTop w:val="0"/>
      <w:marBottom w:val="0"/>
      <w:divBdr>
        <w:top w:val="none" w:sz="0" w:space="0" w:color="auto"/>
        <w:left w:val="none" w:sz="0" w:space="0" w:color="auto"/>
        <w:bottom w:val="none" w:sz="0" w:space="0" w:color="auto"/>
        <w:right w:val="none" w:sz="0" w:space="0" w:color="auto"/>
      </w:divBdr>
      <w:divsChild>
        <w:div w:id="1085569752">
          <w:marLeft w:val="547"/>
          <w:marRight w:val="0"/>
          <w:marTop w:val="0"/>
          <w:marBottom w:val="0"/>
          <w:divBdr>
            <w:top w:val="none" w:sz="0" w:space="0" w:color="auto"/>
            <w:left w:val="none" w:sz="0" w:space="0" w:color="auto"/>
            <w:bottom w:val="none" w:sz="0" w:space="0" w:color="auto"/>
            <w:right w:val="none" w:sz="0" w:space="0" w:color="auto"/>
          </w:divBdr>
        </w:div>
      </w:divsChild>
    </w:div>
    <w:div w:id="2018731123">
      <w:bodyDiv w:val="1"/>
      <w:marLeft w:val="0"/>
      <w:marRight w:val="0"/>
      <w:marTop w:val="0"/>
      <w:marBottom w:val="0"/>
      <w:divBdr>
        <w:top w:val="none" w:sz="0" w:space="0" w:color="auto"/>
        <w:left w:val="none" w:sz="0" w:space="0" w:color="auto"/>
        <w:bottom w:val="none" w:sz="0" w:space="0" w:color="auto"/>
        <w:right w:val="none" w:sz="0" w:space="0" w:color="auto"/>
      </w:divBdr>
      <w:divsChild>
        <w:div w:id="18097843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wim.allegaert@kbc.b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b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pressofficekbc@kbc.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twitter.com/kbc_group" TargetMode="External"/><Relationship Id="rId10" Type="http://schemas.openxmlformats.org/officeDocument/2006/relationships/image" Target="media/image3.png"/><Relationship Id="rId19" Type="http://schemas.openxmlformats.org/officeDocument/2006/relationships/hyperlink" Target="mailto:pressofficekbc@kbc.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8796</Words>
  <Characters>48381</Characters>
  <Application>Microsoft Office Word</Application>
  <DocSecurity>0</DocSecurity>
  <Lines>403</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57063</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Leunens Stephane</cp:lastModifiedBy>
  <cp:revision>8</cp:revision>
  <cp:lastPrinted>2013-03-11T10:30:00Z</cp:lastPrinted>
  <dcterms:created xsi:type="dcterms:W3CDTF">2014-11-12T15:11:00Z</dcterms:created>
  <dcterms:modified xsi:type="dcterms:W3CDTF">2014-11-12T16:39:00Z</dcterms:modified>
</cp:coreProperties>
</file>