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A9" w:rsidRPr="00B85D67" w:rsidRDefault="00B85D67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85D67">
        <w:rPr>
          <w:b/>
          <w:sz w:val="28"/>
          <w:szCs w:val="28"/>
          <w:u w:val="single"/>
        </w:rPr>
        <w:t>Phrases :</w:t>
      </w:r>
    </w:p>
    <w:p w:rsidR="00B85D67" w:rsidRDefault="00B85D67"/>
    <w:p w:rsidR="00B85D67" w:rsidRPr="00B85D67" w:rsidRDefault="00B85D67" w:rsidP="00B85D67">
      <w:pPr>
        <w:autoSpaceDE w:val="0"/>
        <w:autoSpaceDN w:val="0"/>
        <w:adjustRightInd w:val="0"/>
        <w:rPr>
          <w:rFonts w:ascii="NotoSerif" w:hAnsi="NotoSerif" w:cs="NotoSerif"/>
          <w:color w:val="142126"/>
        </w:rPr>
      </w:pPr>
      <w:r w:rsidRPr="00B85D67">
        <w:rPr>
          <w:rFonts w:ascii="NotoSerif-BoldItalic" w:hAnsi="NotoSerif-BoldItalic" w:cs="NotoSerif-BoldItalic"/>
          <w:b/>
          <w:bCs/>
          <w:i/>
          <w:iCs/>
          <w:color w:val="142126"/>
        </w:rPr>
        <w:t xml:space="preserve">«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color w:val="142126"/>
        </w:rPr>
        <w:t>What’</w:t>
      </w:r>
      <w:r>
        <w:rPr>
          <w:rFonts w:ascii="NotoSerif-BoldItalic" w:hAnsi="NotoSerif-BoldItalic" w:cs="NotoSerif-BoldItalic"/>
          <w:b/>
          <w:bCs/>
          <w:i/>
          <w:iCs/>
          <w:color w:val="142126"/>
        </w:rPr>
        <w:t>s</w:t>
      </w:r>
      <w:proofErr w:type="spellEnd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 xml:space="preserve"> new ? »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" w:hAnsi="NotoSerif" w:cs="NotoSerif"/>
          <w:color w:val="142126"/>
        </w:rPr>
      </w:pPr>
      <w:r w:rsidRPr="00B85D67">
        <w:rPr>
          <w:rFonts w:ascii="NotoSerif" w:hAnsi="NotoSerif" w:cs="NotoSerif"/>
          <w:color w:val="142126"/>
        </w:rPr>
        <w:t>Phrase fétiche que le Dr Janssen disait tous les jours à ses collaborateurs en arrivant !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" w:hAnsi="NotoSerif" w:cs="NotoSerif"/>
          <w:color w:val="142126"/>
        </w:rPr>
      </w:pP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color w:val="142126"/>
          <w:lang w:val="nl-BE"/>
        </w:rPr>
      </w:pPr>
      <w:r w:rsidRPr="00B85D67">
        <w:rPr>
          <w:rFonts w:ascii="NotoSerif-BoldItalic" w:hAnsi="NotoSerif-BoldItalic" w:cs="NotoSerif-BoldItalic"/>
          <w:b/>
          <w:bCs/>
          <w:i/>
          <w:iCs/>
          <w:color w:val="142126"/>
          <w:lang w:val="nl-BE"/>
        </w:rPr>
        <w:t xml:space="preserve">«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Sometimes</w:t>
      </w:r>
      <w:proofErr w:type="spell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it</w:t>
      </w:r>
      <w:proofErr w:type="spell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is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better</w:t>
      </w:r>
      <w:proofErr w:type="spell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to</w:t>
      </w:r>
      <w:proofErr w:type="spell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do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things</w:t>
      </w:r>
      <w:proofErr w:type="spell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differently</w:t>
      </w:r>
      <w:proofErr w:type="spell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. </w:t>
      </w:r>
      <w:r w:rsidRPr="00B85D67">
        <w:rPr>
          <w:rFonts w:ascii="NotoSerif-BoldItalic" w:hAnsi="NotoSerif-BoldItalic" w:cs="NotoSerif-BoldItalic"/>
          <w:b/>
          <w:bCs/>
          <w:i/>
          <w:iCs/>
          <w:color w:val="142126"/>
          <w:lang w:val="nl-BE"/>
        </w:rPr>
        <w:t>»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color w:val="142126"/>
          <w:lang w:val="nl-BE"/>
        </w:rPr>
      </w:pP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color w:val="142126"/>
        </w:rPr>
      </w:pPr>
      <w:r>
        <w:rPr>
          <w:rFonts w:ascii="NotoSerif-BoldItalic" w:hAnsi="NotoSerif-BoldItalic" w:cs="NotoSerif-BoldItalic"/>
          <w:b/>
          <w:bCs/>
          <w:i/>
          <w:iCs/>
          <w:color w:val="142126"/>
        </w:rPr>
        <w:t>« </w:t>
      </w:r>
      <w:r w:rsidRPr="00B85D67">
        <w:rPr>
          <w:rFonts w:ascii="NotoSerif-BoldItalic" w:hAnsi="NotoSerif-BoldItalic" w:cs="NotoSerif-BoldItalic"/>
          <w:b/>
          <w:bCs/>
          <w:i/>
          <w:iCs/>
          <w:color w:val="142126"/>
        </w:rPr>
        <w:t xml:space="preserve">You must not </w:t>
      </w:r>
      <w:proofErr w:type="spellStart"/>
      <w:r w:rsidRPr="00B85D67">
        <w:rPr>
          <w:rFonts w:ascii="NotoSerif-BoldItalic" w:hAnsi="NotoSerif-BoldItalic" w:cs="NotoSerif-BoldItalic"/>
          <w:b/>
          <w:bCs/>
          <w:i/>
          <w:iCs/>
          <w:color w:val="142126"/>
        </w:rPr>
        <w:t>be</w:t>
      </w:r>
      <w:r>
        <w:rPr>
          <w:rFonts w:ascii="NotoSerif-BoldItalic" w:hAnsi="NotoSerif-BoldItalic" w:cs="NotoSerif-BoldItalic"/>
          <w:b/>
          <w:bCs/>
          <w:i/>
          <w:iCs/>
          <w:color w:val="142126"/>
        </w:rPr>
        <w:t>lieve</w:t>
      </w:r>
      <w:proofErr w:type="spellEnd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 xml:space="preserve"> </w:t>
      </w:r>
      <w:proofErr w:type="spellStart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>what</w:t>
      </w:r>
      <w:proofErr w:type="spellEnd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 xml:space="preserve"> people </w:t>
      </w:r>
      <w:proofErr w:type="spellStart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>say</w:t>
      </w:r>
      <w:proofErr w:type="spellEnd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 xml:space="preserve"> or </w:t>
      </w:r>
      <w:proofErr w:type="spellStart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>write</w:t>
      </w:r>
      <w:proofErr w:type="spellEnd"/>
      <w:r>
        <w:rPr>
          <w:rFonts w:ascii="NotoSerif-BoldItalic" w:hAnsi="NotoSerif-BoldItalic" w:cs="NotoSerif-BoldItalic"/>
          <w:b/>
          <w:bCs/>
          <w:i/>
          <w:iCs/>
          <w:color w:val="142126"/>
        </w:rPr>
        <w:t>. »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color w:val="142126"/>
        </w:rPr>
      </w:pP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</w:rPr>
      </w:pPr>
      <w:r>
        <w:rPr>
          <w:rFonts w:ascii="NotoSerif-BoldItalic" w:hAnsi="NotoSerif-BoldItalic" w:cs="NotoSerif-BoldItalic"/>
          <w:b/>
          <w:bCs/>
          <w:i/>
          <w:iCs/>
        </w:rPr>
        <w:t>« </w:t>
      </w:r>
      <w:r w:rsidRPr="00B85D67">
        <w:rPr>
          <w:rFonts w:ascii="NotoSerif-BoldItalic" w:hAnsi="NotoSerif-BoldItalic" w:cs="NotoSerif-BoldItalic"/>
          <w:b/>
          <w:bCs/>
          <w:i/>
          <w:iCs/>
        </w:rPr>
        <w:t>Il y a tant à faire. Les patients attendent</w:t>
      </w:r>
      <w:r>
        <w:rPr>
          <w:rFonts w:ascii="NotoSerif-BoldItalic" w:hAnsi="NotoSerif-BoldItalic" w:cs="NotoSerif-BoldItalic"/>
          <w:b/>
          <w:bCs/>
          <w:i/>
          <w:iCs/>
        </w:rPr>
        <w:t>. »</w:t>
      </w:r>
    </w:p>
    <w:p w:rsidR="00B85D67" w:rsidRPr="00B85D67" w:rsidRDefault="00B85D67" w:rsidP="00B85D67">
      <w:pPr>
        <w:autoSpaceDE w:val="0"/>
        <w:autoSpaceDN w:val="0"/>
        <w:adjustRightInd w:val="0"/>
        <w:rPr>
          <w:rFonts w:ascii="NotoSerif" w:hAnsi="NotoSerif" w:cs="NotoSerif"/>
          <w:lang w:val="nl-BE"/>
        </w:rPr>
      </w:pPr>
    </w:p>
    <w:p w:rsidR="00B85D67" w:rsidRP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« De weg van de geringste weerstand is niet noodzakelijk de beste. Een positieve bijdrage</w:t>
      </w:r>
    </w:p>
    <w:p w:rsidR="00B85D67" w:rsidRP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  <w:proofErr w:type="gram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leveren</w:t>
      </w:r>
      <w:proofErr w:type="gram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tot de gezondheid kan niet zonder zelf gezond te zijn. Laten we dus in ons eigen midden een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  <w:proofErr w:type="gramStart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klimaat</w:t>
      </w:r>
      <w:proofErr w:type="gramEnd"/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bewaren van op</w:t>
      </w:r>
      <w:r>
        <w:rPr>
          <w:rFonts w:ascii="NotoSerif-BoldItalic" w:hAnsi="NotoSerif-BoldItalic" w:cs="NotoSerif-BoldItalic"/>
          <w:b/>
          <w:bCs/>
          <w:i/>
          <w:iCs/>
          <w:lang w:val="nl-BE"/>
        </w:rPr>
        <w:t>en communicatie en creativiteit.</w:t>
      </w:r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»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«</w:t>
      </w:r>
      <w:r>
        <w:rPr>
          <w:rFonts w:ascii="NotoSerif-BoldItalic" w:hAnsi="NotoSerif-BoldItalic" w:cs="NotoSerif-BoldItalic"/>
          <w:b/>
          <w:bCs/>
          <w:i/>
          <w:iCs/>
          <w:lang w:val="nl-BE"/>
        </w:rPr>
        <w:t xml:space="preserve"> </w:t>
      </w:r>
      <w:r>
        <w:rPr>
          <w:rFonts w:ascii="NotoSerif-BoldItalic" w:hAnsi="NotoSerif-BoldItalic" w:cs="NotoSerif-BoldItalic"/>
          <w:b/>
          <w:bCs/>
          <w:i/>
          <w:iCs/>
          <w:color w:val="142126"/>
          <w:lang w:val="nl-BE"/>
        </w:rPr>
        <w:t xml:space="preserve">Bouw onderzoek rond mensen. </w:t>
      </w:r>
      <w:r w:rsidRPr="00B85D67">
        <w:rPr>
          <w:rFonts w:ascii="NotoSerif-BoldItalic" w:hAnsi="NotoSerif-BoldItalic" w:cs="NotoSerif-BoldItalic"/>
          <w:b/>
          <w:bCs/>
          <w:i/>
          <w:iCs/>
          <w:lang w:val="nl-BE"/>
        </w:rPr>
        <w:t>»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</w:p>
    <w:p w:rsidR="00B85D67" w:rsidRDefault="00B85D67" w:rsidP="00B85D67">
      <w:pPr>
        <w:autoSpaceDE w:val="0"/>
        <w:autoSpaceDN w:val="0"/>
        <w:adjustRightInd w:val="0"/>
        <w:rPr>
          <w:rFonts w:ascii="NotoSerif-BoldItalic" w:hAnsi="NotoSerif-BoldItalic" w:cs="NotoSerif-BoldItalic"/>
          <w:b/>
          <w:bCs/>
          <w:i/>
          <w:iCs/>
          <w:lang w:val="nl-BE"/>
        </w:rPr>
      </w:pPr>
    </w:p>
    <w:p w:rsidR="00B85D67" w:rsidRPr="00B85D67" w:rsidRDefault="00B85D67" w:rsidP="00B85D67">
      <w:pPr>
        <w:autoSpaceDE w:val="0"/>
        <w:autoSpaceDN w:val="0"/>
        <w:adjustRightInd w:val="0"/>
        <w:rPr>
          <w:rFonts w:ascii="NotoSerif" w:hAnsi="NotoSerif" w:cs="NotoSerif"/>
          <w:sz w:val="28"/>
          <w:szCs w:val="28"/>
          <w:lang w:val="nl-BE"/>
        </w:rPr>
      </w:pPr>
    </w:p>
    <w:p w:rsidR="00B85D67" w:rsidRPr="00B85D67" w:rsidRDefault="00B85D67" w:rsidP="00B85D67">
      <w:pPr>
        <w:autoSpaceDE w:val="0"/>
        <w:autoSpaceDN w:val="0"/>
        <w:adjustRightInd w:val="0"/>
        <w:rPr>
          <w:rFonts w:ascii="Gotham-Black" w:hAnsi="Gotham-Black" w:cs="Gotham-Black"/>
          <w:sz w:val="28"/>
          <w:szCs w:val="28"/>
        </w:rPr>
      </w:pPr>
      <w:r w:rsidRPr="00B85D67">
        <w:rPr>
          <w:rFonts w:ascii="Gotham-Black" w:hAnsi="Gotham-Black" w:cs="Gotham-Black"/>
          <w:sz w:val="28"/>
          <w:szCs w:val="28"/>
        </w:rPr>
        <w:t>DR. PAUL JANSSEN</w:t>
      </w:r>
    </w:p>
    <w:p w:rsidR="00B85D67" w:rsidRPr="00B85D67" w:rsidRDefault="00B85D67" w:rsidP="00B85D67">
      <w:pPr>
        <w:autoSpaceDE w:val="0"/>
        <w:autoSpaceDN w:val="0"/>
        <w:adjustRightInd w:val="0"/>
        <w:rPr>
          <w:rFonts w:ascii="NotoSerif-Bold" w:hAnsi="NotoSerif-Bold" w:cs="NotoSerif-Bold"/>
          <w:b/>
          <w:bCs/>
          <w:sz w:val="28"/>
          <w:szCs w:val="28"/>
        </w:rPr>
      </w:pPr>
      <w:r w:rsidRPr="00B85D67">
        <w:rPr>
          <w:rFonts w:ascii="NotoSerif-Bold" w:hAnsi="NotoSerif-Bold" w:cs="NotoSerif-Bold"/>
          <w:b/>
          <w:bCs/>
          <w:sz w:val="28"/>
          <w:szCs w:val="28"/>
        </w:rPr>
        <w:t>Turnhout, 12 septembre 1926 -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-Bold" w:hAnsi="NotoSerif-Bold" w:cs="NotoSerif-Bold"/>
          <w:b/>
          <w:bCs/>
          <w:sz w:val="28"/>
          <w:szCs w:val="28"/>
        </w:rPr>
      </w:pPr>
      <w:r w:rsidRPr="00B85D67">
        <w:rPr>
          <w:rFonts w:ascii="NotoSerif-Bold" w:hAnsi="NotoSerif-Bold" w:cs="NotoSerif-Bold"/>
          <w:b/>
          <w:bCs/>
          <w:sz w:val="28"/>
          <w:szCs w:val="28"/>
        </w:rPr>
        <w:t>Rome, Italie, 11 novembre 2003</w:t>
      </w:r>
    </w:p>
    <w:p w:rsidR="00B85D67" w:rsidRDefault="00B85D67" w:rsidP="00B85D67">
      <w:pPr>
        <w:autoSpaceDE w:val="0"/>
        <w:autoSpaceDN w:val="0"/>
        <w:adjustRightInd w:val="0"/>
        <w:rPr>
          <w:rFonts w:ascii="NotoSerif-Bold" w:hAnsi="NotoSerif-Bold" w:cs="NotoSerif-Bold"/>
          <w:b/>
          <w:bCs/>
          <w:sz w:val="28"/>
          <w:szCs w:val="28"/>
        </w:rPr>
      </w:pPr>
    </w:p>
    <w:p w:rsidR="00B85D67" w:rsidRDefault="00B85D67" w:rsidP="007942F9">
      <w:pPr>
        <w:autoSpaceDE w:val="0"/>
        <w:autoSpaceDN w:val="0"/>
        <w:adjustRightInd w:val="0"/>
        <w:jc w:val="both"/>
        <w:rPr>
          <w:rFonts w:ascii="NotoSerif-Bold" w:hAnsi="NotoSerif-Bold" w:cs="NotoSerif-Bold"/>
          <w:b/>
          <w:bCs/>
          <w:color w:val="F7A019"/>
        </w:rPr>
      </w:pPr>
      <w:r w:rsidRPr="00B85D67">
        <w:rPr>
          <w:rFonts w:ascii="NotoSerif-Bold" w:hAnsi="NotoSerif-Bold" w:cs="NotoSerif-Bold"/>
          <w:b/>
          <w:bCs/>
          <w:color w:val="F7A019"/>
        </w:rPr>
        <w:t>Il est difficile de savoir exactement quelle formule permet à</w:t>
      </w:r>
      <w:r w:rsidR="007942F9">
        <w:rPr>
          <w:rFonts w:ascii="NotoSerif-Bold" w:hAnsi="NotoSerif-Bold" w:cs="NotoSerif-Bold"/>
          <w:b/>
          <w:bCs/>
          <w:color w:val="F7A019"/>
        </w:rPr>
        <w:t xml:space="preserve"> </w:t>
      </w:r>
      <w:r w:rsidRPr="00B85D67">
        <w:rPr>
          <w:rFonts w:ascii="NotoSerif-Bold" w:hAnsi="NotoSerif-Bold" w:cs="NotoSerif-Bold"/>
          <w:b/>
          <w:bCs/>
          <w:color w:val="F7A019"/>
        </w:rPr>
        <w:t>quelqu’un de réussir. Parfois, il faut être au bon endroit au bon</w:t>
      </w:r>
      <w:r w:rsidR="007942F9">
        <w:rPr>
          <w:rFonts w:ascii="NotoSerif-Bold" w:hAnsi="NotoSerif-Bold" w:cs="NotoSerif-Bold"/>
          <w:b/>
          <w:bCs/>
          <w:color w:val="F7A019"/>
        </w:rPr>
        <w:t xml:space="preserve"> </w:t>
      </w:r>
      <w:r w:rsidRPr="00B85D67">
        <w:rPr>
          <w:rFonts w:ascii="NotoSerif-Bold" w:hAnsi="NotoSerif-Bold" w:cs="NotoSerif-Bold"/>
          <w:b/>
          <w:bCs/>
          <w:color w:val="F7A019"/>
        </w:rPr>
        <w:t>moment. Souvent, pourtant, il s’agit du résultat d’énormément</w:t>
      </w:r>
      <w:r w:rsidR="007942F9">
        <w:rPr>
          <w:rFonts w:ascii="NotoSerif-Bold" w:hAnsi="NotoSerif-Bold" w:cs="NotoSerif-Bold"/>
          <w:b/>
          <w:bCs/>
          <w:color w:val="F7A019"/>
        </w:rPr>
        <w:t xml:space="preserve"> </w:t>
      </w:r>
      <w:r w:rsidRPr="00B85D67">
        <w:rPr>
          <w:rFonts w:ascii="NotoSerif-Bold" w:hAnsi="NotoSerif-Bold" w:cs="NotoSerif-Bold"/>
          <w:b/>
          <w:bCs/>
          <w:color w:val="F7A019"/>
        </w:rPr>
        <w:t>de travail et de détermination.</w:t>
      </w: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NotoSerif-Bold" w:hAnsi="NotoSerif-Bold" w:cs="NotoSerif-Bold"/>
          <w:b/>
          <w:bCs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7942F9">
        <w:rPr>
          <w:rFonts w:ascii="Gotham-Book" w:hAnsi="Gotham-Book" w:cs="Gotham-Book"/>
        </w:rPr>
        <w:t xml:space="preserve">Ce fut le cas du Dr. Paul Janssen, l’un des chercheurs les plus novateurs et passionnants du 20e </w:t>
      </w:r>
      <w:r>
        <w:rPr>
          <w:rFonts w:ascii="Gotham-Book" w:hAnsi="Gotham-Book" w:cs="Gotham-Book"/>
        </w:rPr>
        <w:t xml:space="preserve">siècle. Son travail </w:t>
      </w:r>
      <w:r w:rsidRPr="007942F9">
        <w:rPr>
          <w:rFonts w:ascii="Gotham-Book" w:hAnsi="Gotham-Book" w:cs="Gotham-Book"/>
        </w:rPr>
        <w:t>a conduit à de nombreuses découvertes dans plusieurs domaines pathologiques</w:t>
      </w:r>
      <w:r>
        <w:rPr>
          <w:rFonts w:ascii="Gotham-Book" w:hAnsi="Gotham-Book" w:cs="Gotham-Book"/>
        </w:rPr>
        <w:t xml:space="preserve">, dont la prise en charge de la </w:t>
      </w:r>
      <w:r w:rsidRPr="007942F9">
        <w:rPr>
          <w:rFonts w:ascii="Gotham-Book" w:hAnsi="Gotham-Book" w:cs="Gotham-Book"/>
        </w:rPr>
        <w:t xml:space="preserve">douleur, la </w:t>
      </w:r>
      <w:r>
        <w:rPr>
          <w:rFonts w:ascii="Gotham-Book" w:hAnsi="Gotham-Book" w:cs="Gotham-Book"/>
        </w:rPr>
        <w:t xml:space="preserve">psychiatrie, les maladies </w:t>
      </w:r>
      <w:r w:rsidRPr="007942F9">
        <w:rPr>
          <w:rFonts w:ascii="Gotham-Book" w:hAnsi="Gotham-Book" w:cs="Gotham-Book"/>
        </w:rPr>
        <w:t>infectieuses, la mycologie et la gastro-ent</w:t>
      </w:r>
      <w:r>
        <w:rPr>
          <w:rFonts w:ascii="Gotham-Book" w:hAnsi="Gotham-Book" w:cs="Gotham-Book"/>
        </w:rPr>
        <w:t xml:space="preserve">érologie. Au cours de sa longue </w:t>
      </w:r>
      <w:r w:rsidRPr="007942F9">
        <w:rPr>
          <w:rFonts w:ascii="Gotham-Book" w:hAnsi="Gotham-Book" w:cs="Gotham-Book"/>
        </w:rPr>
        <w:t>carrière, on lui a octroyé plus de 100 brevets. Actuellement, dix-huit médicament</w:t>
      </w:r>
      <w:r>
        <w:rPr>
          <w:rFonts w:ascii="Gotham-Book" w:hAnsi="Gotham-Book" w:cs="Gotham-Book"/>
        </w:rPr>
        <w:t xml:space="preserve">s Janssen figurent sur la Liste </w:t>
      </w:r>
      <w:r w:rsidRPr="007942F9">
        <w:rPr>
          <w:rFonts w:ascii="Gotham-Book" w:hAnsi="Gotham-Book" w:cs="Gotham-Book"/>
        </w:rPr>
        <w:t>des médicaments essentiels de l’Organisation mondiale de la Santé.</w:t>
      </w: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NotoSerif-Bold" w:hAnsi="NotoSerif-Bold" w:cs="NotoSerif-Bold"/>
          <w:b/>
          <w:bCs/>
          <w:color w:val="F7A019"/>
        </w:rPr>
      </w:pPr>
      <w:r w:rsidRPr="007942F9">
        <w:rPr>
          <w:rFonts w:ascii="NotoSerif-Bold" w:hAnsi="NotoSerif-Bold" w:cs="NotoSerif-Bold"/>
          <w:b/>
          <w:bCs/>
          <w:color w:val="F7A019"/>
        </w:rPr>
        <w:t>Le Docteur Paul, comme on l’appelait dans toute la communauté</w:t>
      </w:r>
      <w:r>
        <w:rPr>
          <w:rFonts w:ascii="NotoSerif-Bold" w:hAnsi="NotoSerif-Bold" w:cs="NotoSerif-Bold"/>
          <w:b/>
          <w:bCs/>
          <w:color w:val="F7A019"/>
        </w:rPr>
        <w:t xml:space="preserve"> scientifique </w:t>
      </w:r>
      <w:r w:rsidRPr="007942F9">
        <w:rPr>
          <w:rFonts w:ascii="NotoSerif-Bold" w:hAnsi="NotoSerif-Bold" w:cs="NotoSerif-Bold"/>
          <w:b/>
          <w:bCs/>
          <w:color w:val="F7A019"/>
        </w:rPr>
        <w:t>mondiale, é</w:t>
      </w:r>
      <w:r>
        <w:rPr>
          <w:rFonts w:ascii="NotoSerif-Bold" w:hAnsi="NotoSerif-Bold" w:cs="NotoSerif-Bold"/>
          <w:b/>
          <w:bCs/>
          <w:color w:val="F7A019"/>
        </w:rPr>
        <w:t xml:space="preserve">tait un scientifique </w:t>
      </w:r>
      <w:r w:rsidRPr="007942F9">
        <w:rPr>
          <w:rFonts w:ascii="NotoSerif-Bold" w:hAnsi="NotoSerif-Bold" w:cs="NotoSerif-Bold"/>
          <w:b/>
          <w:bCs/>
          <w:color w:val="F7A019"/>
        </w:rPr>
        <w:t>extrêmement doué et passionné qui a révolutionné la médecine moderne et inspiré une nouvelle géné</w:t>
      </w:r>
      <w:r>
        <w:rPr>
          <w:rFonts w:ascii="NotoSerif-Bold" w:hAnsi="NotoSerif-Bold" w:cs="NotoSerif-Bold"/>
          <w:b/>
          <w:bCs/>
          <w:color w:val="F7A019"/>
        </w:rPr>
        <w:t xml:space="preserve">ration </w:t>
      </w:r>
      <w:r w:rsidRPr="007942F9">
        <w:rPr>
          <w:rFonts w:ascii="NotoSerif-Bold" w:hAnsi="NotoSerif-Bold" w:cs="NotoSerif-Bold"/>
          <w:b/>
          <w:bCs/>
          <w:color w:val="F7A019"/>
        </w:rPr>
        <w:t>de chercheurs.</w:t>
      </w: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NotoSerif-Bold" w:hAnsi="NotoSerif-Bold" w:cs="NotoSerif-Bold"/>
          <w:b/>
          <w:bCs/>
          <w:color w:val="F7A019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7942F9">
        <w:rPr>
          <w:rFonts w:ascii="Gotham-Book" w:hAnsi="Gotham-Book" w:cs="Gotham-Book"/>
        </w:rPr>
        <w:t>Il est né le 12 septembre 1926 à Turnhout. Un événement survenu pendant s</w:t>
      </w:r>
      <w:r>
        <w:rPr>
          <w:rFonts w:ascii="Gotham-Book" w:hAnsi="Gotham-Book" w:cs="Gotham-Book"/>
        </w:rPr>
        <w:t xml:space="preserve">a jeunesse a changé le cours de </w:t>
      </w:r>
      <w:r w:rsidRPr="007942F9">
        <w:rPr>
          <w:rFonts w:ascii="Gotham-Book" w:hAnsi="Gotham-Book" w:cs="Gotham-Book"/>
        </w:rPr>
        <w:t xml:space="preserve">sa vie : sa </w:t>
      </w:r>
      <w:proofErr w:type="spellStart"/>
      <w:r w:rsidRPr="007942F9">
        <w:rPr>
          <w:rFonts w:ascii="Gotham-Book" w:hAnsi="Gotham-Book" w:cs="Gotham-Book"/>
        </w:rPr>
        <w:t>soeur</w:t>
      </w:r>
      <w:proofErr w:type="spellEnd"/>
      <w:r w:rsidRPr="007942F9">
        <w:rPr>
          <w:rFonts w:ascii="Gotham-Book" w:hAnsi="Gotham-Book" w:cs="Gotham-Book"/>
        </w:rPr>
        <w:t xml:space="preserve"> âgée de quat</w:t>
      </w:r>
      <w:r>
        <w:rPr>
          <w:rFonts w:ascii="Gotham-Book" w:hAnsi="Gotham-Book" w:cs="Gotham-Book"/>
        </w:rPr>
        <w:t xml:space="preserve">re ans est décédée de méningite </w:t>
      </w:r>
      <w:r w:rsidRPr="007942F9">
        <w:rPr>
          <w:rFonts w:ascii="Gotham-Book" w:hAnsi="Gotham-Book" w:cs="Gotham-Book"/>
        </w:rPr>
        <w:t>tuberculeuse et cette perte l’</w:t>
      </w:r>
      <w:r>
        <w:rPr>
          <w:rFonts w:ascii="Gotham-Book" w:hAnsi="Gotham-Book" w:cs="Gotham-Book"/>
        </w:rPr>
        <w:t xml:space="preserve">a profondément </w:t>
      </w:r>
      <w:r w:rsidRPr="007942F9">
        <w:rPr>
          <w:rFonts w:ascii="Gotham-Book" w:hAnsi="Gotham-Book" w:cs="Gotham-Book"/>
        </w:rPr>
        <w:t>affecté. Comme il l’a expliqué plus tard, cette perte l’a conduit à s’</w:t>
      </w:r>
      <w:r>
        <w:rPr>
          <w:rFonts w:ascii="Gotham-Book" w:hAnsi="Gotham-Book" w:cs="Gotham-Book"/>
        </w:rPr>
        <w:t xml:space="preserve">orienter vers la médecine. </w:t>
      </w: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  <w:color w:val="F7A019"/>
        </w:rPr>
      </w:pPr>
      <w:r w:rsidRPr="007942F9">
        <w:rPr>
          <w:rFonts w:ascii="Gotham-Book" w:hAnsi="Gotham-Book" w:cs="Gotham-Book"/>
        </w:rPr>
        <w:t>Fils d’un médecin qui avait monté une entreprise familiale, le Dr. Paul a é</w:t>
      </w:r>
      <w:r>
        <w:rPr>
          <w:rFonts w:ascii="Gotham-Book" w:hAnsi="Gotham-Book" w:cs="Gotham-Book"/>
        </w:rPr>
        <w:t xml:space="preserve">té de plus en plus convaincu de </w:t>
      </w:r>
      <w:r w:rsidRPr="007942F9">
        <w:rPr>
          <w:rFonts w:ascii="Gotham-Book" w:hAnsi="Gotham-Book" w:cs="Gotham-Book"/>
        </w:rPr>
        <w:t>l’importance de la chimie en médecine. Pendant la Seconde Guerre mondiale, il a étudié la physique, l</w:t>
      </w:r>
      <w:r>
        <w:rPr>
          <w:rFonts w:ascii="Gotham-Book" w:hAnsi="Gotham-Book" w:cs="Gotham-Book"/>
        </w:rPr>
        <w:t xml:space="preserve">a biologie </w:t>
      </w:r>
      <w:r w:rsidRPr="007942F9">
        <w:rPr>
          <w:rFonts w:ascii="Gotham-Book" w:hAnsi="Gotham-Book" w:cs="Gotham-Book"/>
        </w:rPr>
        <w:t>et la chimie aux Facultés universitaires Notre-Dame de la Pa</w:t>
      </w:r>
      <w:r>
        <w:rPr>
          <w:rFonts w:ascii="Gotham-Book" w:hAnsi="Gotham-Book" w:cs="Gotham-Book"/>
        </w:rPr>
        <w:t xml:space="preserve">ix à Namur. À ses yeux, la plus grande difficulté </w:t>
      </w:r>
      <w:r w:rsidRPr="007942F9">
        <w:rPr>
          <w:rFonts w:ascii="Gotham-Book" w:hAnsi="Gotham-Book" w:cs="Gotham-Book"/>
        </w:rPr>
        <w:t xml:space="preserve">était de concilier la pharmacologie et la chimie. Il a essayé et cela a bien fonctionné. </w:t>
      </w:r>
      <w:r w:rsidRPr="007942F9">
        <w:rPr>
          <w:rFonts w:ascii="NotoSerif-Bold" w:hAnsi="NotoSerif-Bold" w:cs="NotoSerif-Bold"/>
          <w:b/>
          <w:bCs/>
          <w:color w:val="F7A019"/>
        </w:rPr>
        <w:t>En 1953, le Dr. Paul a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NotoSerif-Bold" w:hAnsi="NotoSerif-Bold" w:cs="NotoSerif-Bold"/>
          <w:b/>
          <w:bCs/>
          <w:color w:val="F7A019"/>
        </w:rPr>
        <w:t xml:space="preserve">créé Janssen </w:t>
      </w:r>
      <w:proofErr w:type="spellStart"/>
      <w:r w:rsidRPr="007942F9">
        <w:rPr>
          <w:rFonts w:ascii="NotoSerif-Bold" w:hAnsi="NotoSerif-Bold" w:cs="NotoSerif-Bold"/>
          <w:b/>
          <w:bCs/>
          <w:color w:val="F7A019"/>
        </w:rPr>
        <w:t>Pharmaceut</w:t>
      </w:r>
      <w:r>
        <w:rPr>
          <w:rFonts w:ascii="NotoSerif-Bold" w:hAnsi="NotoSerif-Bold" w:cs="NotoSerif-Bold"/>
          <w:b/>
          <w:bCs/>
          <w:color w:val="F7A019"/>
        </w:rPr>
        <w:t>ica</w:t>
      </w:r>
      <w:proofErr w:type="spellEnd"/>
      <w:r>
        <w:rPr>
          <w:rFonts w:ascii="NotoSerif-Bold" w:hAnsi="NotoSerif-Bold" w:cs="NotoSerif-Bold"/>
          <w:b/>
          <w:bCs/>
          <w:color w:val="F7A019"/>
        </w:rPr>
        <w:t xml:space="preserve"> N.V., laboratoire de </w:t>
      </w:r>
      <w:r w:rsidRPr="007942F9">
        <w:rPr>
          <w:rFonts w:ascii="NotoSerif-Bold" w:hAnsi="NotoSerif-Bold" w:cs="NotoSerif-Bold"/>
          <w:b/>
          <w:bCs/>
          <w:color w:val="F7A019"/>
        </w:rPr>
        <w:t>recherche basé à Beerse. Là, il a établi les bases de plus de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NotoSerif-Bold" w:hAnsi="NotoSerif-Bold" w:cs="NotoSerif-Bold"/>
          <w:b/>
          <w:bCs/>
          <w:color w:val="F7A019"/>
        </w:rPr>
        <w:t>80 médicaments qui ont, à ce jour, sauvé des millions de vies</w:t>
      </w:r>
      <w:r w:rsidRPr="007942F9">
        <w:rPr>
          <w:rFonts w:ascii="Gotham-Book" w:hAnsi="Gotham-Book" w:cs="Gotham-Book"/>
          <w:color w:val="F7A019"/>
        </w:rPr>
        <w:t>.</w:t>
      </w: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  <w:color w:val="F7A019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7942F9">
        <w:rPr>
          <w:rFonts w:ascii="Gotham-Book" w:hAnsi="Gotham-Book" w:cs="Gotham-Book"/>
        </w:rPr>
        <w:lastRenderedPageBreak/>
        <w:t>L’un de ses médicaments a été le premier traitement antipsychotique ayant permis aux patients de recevoir un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>traitement à domicile. Avant cette découverte, les seuls traitements destinés à la psychose étaient associés à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>d’importants effets secondaires. Le Dr. Paul a également travaillé sur le développement de l’agent anesthésique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>le plus largement utilisé au monde, ainsi que sur un traitement contre la diarrhée, qui est encore une maladie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>invalidante et parfois mortelle dans les pays en voie de développement. Il a effectué des recherches sur une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 xml:space="preserve">série de composés pour traiter le VIH/SIDA. </w:t>
      </w:r>
      <w:r w:rsidRPr="007942F9">
        <w:rPr>
          <w:rFonts w:ascii="NotoSerif-Bold" w:hAnsi="NotoSerif-Bold" w:cs="NotoSerif-Bold"/>
          <w:b/>
          <w:bCs/>
          <w:color w:val="F7A019"/>
        </w:rPr>
        <w:t>L’un de ses derniers rêves était de découvrir un médicament pour</w:t>
      </w:r>
      <w:r>
        <w:rPr>
          <w:rFonts w:ascii="NotoSerif-Bold" w:hAnsi="NotoSerif-Bold" w:cs="NotoSerif-Bold"/>
          <w:b/>
          <w:bCs/>
          <w:color w:val="F7A019"/>
        </w:rPr>
        <w:t xml:space="preserve"> </w:t>
      </w:r>
      <w:r w:rsidRPr="007942F9">
        <w:rPr>
          <w:rFonts w:ascii="NotoSerif-Bold" w:hAnsi="NotoSerif-Bold" w:cs="NotoSerif-Bold"/>
          <w:b/>
          <w:bCs/>
          <w:color w:val="F7A019"/>
        </w:rPr>
        <w:t xml:space="preserve">traiter la tuberculose </w:t>
      </w:r>
      <w:proofErr w:type="spellStart"/>
      <w:r w:rsidRPr="007942F9">
        <w:rPr>
          <w:rFonts w:ascii="NotoSerif-Bold" w:hAnsi="NotoSerif-Bold" w:cs="NotoSerif-Bold"/>
          <w:b/>
          <w:bCs/>
          <w:color w:val="F7A019"/>
        </w:rPr>
        <w:t>multirésistante</w:t>
      </w:r>
      <w:proofErr w:type="spellEnd"/>
      <w:r w:rsidRPr="007942F9">
        <w:rPr>
          <w:rFonts w:ascii="NotoSerif-Bold" w:hAnsi="NotoSerif-Bold" w:cs="NotoSerif-Bold"/>
          <w:b/>
          <w:bCs/>
          <w:color w:val="F7A019"/>
        </w:rPr>
        <w:t>. Ce composé a été découvert et développé plus tard par une équipe de</w:t>
      </w:r>
      <w:r>
        <w:rPr>
          <w:rFonts w:ascii="NotoSerif-Bold" w:hAnsi="NotoSerif-Bold" w:cs="NotoSerif-Bold"/>
          <w:b/>
          <w:bCs/>
          <w:color w:val="F7A019"/>
        </w:rPr>
        <w:t xml:space="preserve"> </w:t>
      </w:r>
      <w:r w:rsidRPr="007942F9">
        <w:rPr>
          <w:rFonts w:ascii="NotoSerif-Bold" w:hAnsi="NotoSerif-Bold" w:cs="NotoSerif-Bold"/>
          <w:b/>
          <w:bCs/>
          <w:color w:val="F7A019"/>
        </w:rPr>
        <w:t>recherche Janssen, et a finalement été approuvé, en 2012 aux États-Unis</w:t>
      </w:r>
      <w:r w:rsidRPr="007942F9">
        <w:rPr>
          <w:rFonts w:ascii="NotoSerif-Bold" w:hAnsi="NotoSerif-Bold" w:cs="NotoSerif-Bold"/>
          <w:b/>
          <w:bCs/>
        </w:rPr>
        <w:t xml:space="preserve"> </w:t>
      </w:r>
      <w:r w:rsidRPr="007942F9">
        <w:rPr>
          <w:rFonts w:ascii="Gotham-Book" w:hAnsi="Gotham-Book" w:cs="Gotham-Book"/>
        </w:rPr>
        <w:t>et en 2014 dans l’Union européenne.</w:t>
      </w: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7942F9">
        <w:rPr>
          <w:rFonts w:ascii="Gotham-Book" w:hAnsi="Gotham-Book" w:cs="Gotham-Book"/>
        </w:rPr>
        <w:t>Il est exceptionnel qu’un homme de science reçoive des distinctions à travers le monde pour un large éventail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 xml:space="preserve">de disciplines scientifiques. Le Dr Paul était une exception de ce genre : il a reçu pas moins de </w:t>
      </w:r>
      <w:r w:rsidRPr="007942F9">
        <w:rPr>
          <w:rFonts w:ascii="NotoSerif-Bold" w:hAnsi="NotoSerif-Bold" w:cs="NotoSerif-Bold"/>
          <w:b/>
          <w:bCs/>
          <w:color w:val="F7A019"/>
        </w:rPr>
        <w:t>22 doctorats</w:t>
      </w:r>
      <w:r>
        <w:rPr>
          <w:rFonts w:ascii="NotoSerif-Bold" w:hAnsi="NotoSerif-Bold" w:cs="NotoSerif-Bold"/>
          <w:b/>
          <w:bCs/>
          <w:color w:val="F7A019"/>
        </w:rPr>
        <w:t xml:space="preserve"> </w:t>
      </w:r>
      <w:r w:rsidRPr="007942F9">
        <w:rPr>
          <w:rFonts w:ascii="NotoSerif-Bold" w:hAnsi="NotoSerif-Bold" w:cs="NotoSerif-Bold"/>
          <w:b/>
          <w:bCs/>
          <w:color w:val="F7A019"/>
        </w:rPr>
        <w:t>honoris causa</w:t>
      </w:r>
      <w:r w:rsidRPr="007942F9">
        <w:rPr>
          <w:rFonts w:ascii="Gotham-Book" w:hAnsi="Gotham-Book" w:cs="Gotham-Book"/>
        </w:rPr>
        <w:t>, non seulement en médecine mais aussi en sciences naturelles, en médecine vétérinaire, en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>sciences générales, en pharmacie et même en philosophie. Cette diversité d’expertises reconnues et cette</w:t>
      </w:r>
      <w:r>
        <w:rPr>
          <w:rFonts w:ascii="Gotham-Book" w:hAnsi="Gotham-Book" w:cs="Gotham-Book"/>
        </w:rPr>
        <w:t xml:space="preserve"> </w:t>
      </w:r>
      <w:r w:rsidRPr="007942F9">
        <w:rPr>
          <w:rFonts w:ascii="Gotham-Book" w:hAnsi="Gotham-Book" w:cs="Gotham-Book"/>
        </w:rPr>
        <w:t>très grande largeur d’esprit correspondaient entièrement à sa conception personnelle de la vie.</w:t>
      </w:r>
      <w:r>
        <w:rPr>
          <w:rFonts w:ascii="Gotham-Book" w:hAnsi="Gotham-Book" w:cs="Gotham-Book"/>
        </w:rPr>
        <w:t xml:space="preserve"> </w:t>
      </w: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NotoSerif-BoldItalic" w:hAnsi="NotoSerif-BoldItalic" w:cs="NotoSerif-BoldItalic"/>
          <w:b/>
          <w:bCs/>
          <w:i/>
          <w:iCs/>
          <w:color w:val="F7A019"/>
        </w:rPr>
      </w:pPr>
      <w:r w:rsidRPr="007942F9">
        <w:rPr>
          <w:rFonts w:ascii="Gotham-Book" w:hAnsi="Gotham-Book" w:cs="Gotham-Book"/>
        </w:rPr>
        <w:t xml:space="preserve">Comme l’a souligné son ami le </w:t>
      </w:r>
      <w:r w:rsidRPr="007942F9">
        <w:rPr>
          <w:rFonts w:ascii="NotoSerif-Bold" w:hAnsi="NotoSerif-Bold" w:cs="NotoSerif-Bold"/>
          <w:b/>
          <w:bCs/>
          <w:color w:val="F7A019"/>
        </w:rPr>
        <w:t xml:space="preserve">Dr Robert </w:t>
      </w:r>
      <w:proofErr w:type="spellStart"/>
      <w:r w:rsidRPr="007942F9">
        <w:rPr>
          <w:rFonts w:ascii="NotoSerif-Bold" w:hAnsi="NotoSerif-Bold" w:cs="NotoSerif-Bold"/>
          <w:b/>
          <w:bCs/>
          <w:color w:val="F7A019"/>
        </w:rPr>
        <w:t>Marsboom</w:t>
      </w:r>
      <w:proofErr w:type="spellEnd"/>
      <w:r w:rsidRPr="007942F9">
        <w:rPr>
          <w:rFonts w:ascii="NotoSerif-Bold" w:hAnsi="NotoSerif-Bold" w:cs="NotoSerif-Bold"/>
          <w:b/>
          <w:bCs/>
          <w:color w:val="F7A019"/>
        </w:rPr>
        <w:t xml:space="preserve"> à ses funérailles</w:t>
      </w:r>
      <w:r w:rsidRPr="007942F9">
        <w:rPr>
          <w:rFonts w:ascii="Gotham-Book" w:hAnsi="Gotham-Book" w:cs="Gotham-Book"/>
          <w:color w:val="FFFFFF"/>
        </w:rPr>
        <w:t xml:space="preserve">, </w:t>
      </w:r>
      <w:r w:rsidRPr="007942F9">
        <w:rPr>
          <w:rFonts w:ascii="Gotham-BookItalic" w:hAnsi="Gotham-BookItalic" w:cs="Gotham-BookItalic"/>
          <w:i/>
          <w:iCs/>
        </w:rPr>
        <w:t>« le Dr Paul Janssen souscrivait à une</w:t>
      </w:r>
      <w:r>
        <w:rPr>
          <w:rFonts w:ascii="Gotham-BookItalic" w:hAnsi="Gotham-BookItalic" w:cs="Gotham-BookItalic"/>
          <w:i/>
          <w:iCs/>
        </w:rPr>
        <w:t xml:space="preserve"> </w:t>
      </w:r>
      <w:r w:rsidRPr="007942F9">
        <w:rPr>
          <w:rFonts w:ascii="Gotham-BookItalic" w:hAnsi="Gotham-BookItalic" w:cs="Gotham-BookItalic"/>
          <w:i/>
          <w:iCs/>
        </w:rPr>
        <w:t>approche de la recherche selon laquelle une équipe m</w:t>
      </w:r>
      <w:r>
        <w:rPr>
          <w:rFonts w:ascii="Gotham-BookItalic" w:hAnsi="Gotham-BookItalic" w:cs="Gotham-BookItalic"/>
          <w:i/>
          <w:iCs/>
        </w:rPr>
        <w:t>ultidisciplinaire possédant une e</w:t>
      </w:r>
      <w:r w:rsidRPr="007942F9">
        <w:rPr>
          <w:rFonts w:ascii="Gotham-BookItalic" w:hAnsi="Gotham-BookItalic" w:cs="Gotham-BookItalic"/>
          <w:i/>
          <w:iCs/>
        </w:rPr>
        <w:t>xpertise très diversifiée</w:t>
      </w:r>
      <w:r>
        <w:rPr>
          <w:rFonts w:ascii="Gotham-BookItalic" w:hAnsi="Gotham-BookItalic" w:cs="Gotham-BookItalic"/>
          <w:i/>
          <w:iCs/>
        </w:rPr>
        <w:t xml:space="preserve"> </w:t>
      </w:r>
      <w:r w:rsidRPr="007942F9">
        <w:rPr>
          <w:rFonts w:ascii="Gotham-BookItalic" w:hAnsi="Gotham-BookItalic" w:cs="Gotham-BookItalic"/>
          <w:i/>
          <w:iCs/>
        </w:rPr>
        <w:t>effectue des recherches fondamentales visant à établir les causes et les conséquences de pathologies données.</w:t>
      </w:r>
      <w:r>
        <w:rPr>
          <w:rFonts w:ascii="Gotham-BookItalic" w:hAnsi="Gotham-BookItalic" w:cs="Gotham-BookItalic"/>
          <w:i/>
          <w:iCs/>
        </w:rPr>
        <w:t xml:space="preserve"> </w:t>
      </w:r>
      <w:r w:rsidRPr="007942F9">
        <w:rPr>
          <w:rFonts w:ascii="Gotham-BookItalic" w:hAnsi="Gotham-BookItalic" w:cs="Gotham-BookItalic"/>
          <w:i/>
          <w:iCs/>
        </w:rPr>
        <w:t>Il était convaincu de la relation existant entre la structure chimique et l’action pharmacologique de tout</w:t>
      </w:r>
      <w:r>
        <w:rPr>
          <w:rFonts w:ascii="Gotham-BookItalic" w:hAnsi="Gotham-BookItalic" w:cs="Gotham-BookItalic"/>
          <w:i/>
          <w:iCs/>
        </w:rPr>
        <w:t xml:space="preserve"> </w:t>
      </w:r>
      <w:r w:rsidRPr="007942F9">
        <w:rPr>
          <w:rFonts w:ascii="Gotham-BookItalic" w:hAnsi="Gotham-BookItalic" w:cs="Gotham-BookItalic"/>
          <w:i/>
          <w:iCs/>
        </w:rPr>
        <w:t>médicament potentiel. Sa plus grande force résidait dans sa capacité d’évaluer un problème avec rapidité</w:t>
      </w:r>
      <w:r>
        <w:rPr>
          <w:rFonts w:ascii="Gotham-BookItalic" w:hAnsi="Gotham-BookItalic" w:cs="Gotham-BookItalic"/>
          <w:i/>
          <w:iCs/>
        </w:rPr>
        <w:t xml:space="preserve"> </w:t>
      </w:r>
      <w:r w:rsidRPr="007942F9">
        <w:rPr>
          <w:rFonts w:ascii="Gotham-BookItalic" w:hAnsi="Gotham-BookItalic" w:cs="Gotham-BookItalic"/>
          <w:i/>
          <w:iCs/>
        </w:rPr>
        <w:t>et justesse et de concevoir une solution plus vite et mieux que quiconque. Ce don le prédestinait à jouer</w:t>
      </w:r>
      <w:r>
        <w:rPr>
          <w:rFonts w:ascii="Gotham-BookItalic" w:hAnsi="Gotham-BookItalic" w:cs="Gotham-BookItalic"/>
          <w:i/>
          <w:iCs/>
        </w:rPr>
        <w:t xml:space="preserve"> </w:t>
      </w:r>
      <w:r w:rsidRPr="007942F9">
        <w:rPr>
          <w:rFonts w:ascii="Gotham-BookItalic" w:hAnsi="Gotham-BookItalic" w:cs="Gotham-BookItalic"/>
          <w:i/>
          <w:iCs/>
        </w:rPr>
        <w:t xml:space="preserve">un rôle clé dans plusieurs branches de la médecine. Ainsi,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parallèlement aux médicaments pour l’homme,</w:t>
      </w:r>
      <w:r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des médicaments destinés à la médecine vétérinaire, à l’agriculture et à la protection des végétaux et des</w:t>
      </w:r>
      <w:r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matériaux furent également mis au point par le Dr Paul Janssen. »</w:t>
      </w: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NotoSerif-BoldItalic" w:hAnsi="NotoSerif-BoldItalic" w:cs="NotoSerif-BoldItalic"/>
          <w:b/>
          <w:bCs/>
          <w:i/>
          <w:iCs/>
          <w:color w:val="F7A019"/>
        </w:rPr>
      </w:pP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NotoSerif-BoldItalic" w:hAnsi="NotoSerif-BoldItalic" w:cs="NotoSerif-BoldItalic"/>
          <w:b/>
          <w:bCs/>
          <w:i/>
          <w:iCs/>
        </w:rPr>
      </w:pP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NotoSerif-BoldItalic" w:hAnsi="NotoSerif-BoldItalic" w:cs="NotoSerif-BoldItalic"/>
          <w:b/>
          <w:bCs/>
          <w:i/>
          <w:iCs/>
        </w:rPr>
      </w:pPr>
    </w:p>
    <w:p w:rsidR="007942F9" w:rsidRPr="007942F9" w:rsidRDefault="007942F9" w:rsidP="007942F9">
      <w:pPr>
        <w:autoSpaceDE w:val="0"/>
        <w:autoSpaceDN w:val="0"/>
        <w:adjustRightInd w:val="0"/>
        <w:jc w:val="both"/>
        <w:rPr>
          <w:rFonts w:ascii="NotoSerif-BoldItalic" w:hAnsi="NotoSerif-BoldItalic" w:cs="NotoSerif-BoldItalic"/>
          <w:b/>
          <w:bCs/>
          <w:i/>
          <w:iCs/>
        </w:rPr>
      </w:pPr>
    </w:p>
    <w:p w:rsidR="007942F9" w:rsidRPr="004372AD" w:rsidRDefault="007942F9" w:rsidP="007942F9">
      <w:pPr>
        <w:autoSpaceDE w:val="0"/>
        <w:autoSpaceDN w:val="0"/>
        <w:adjustRightInd w:val="0"/>
        <w:jc w:val="both"/>
        <w:rPr>
          <w:rFonts w:ascii="Gotham-Black" w:hAnsi="Gotham-Black" w:cs="Gotham-Black"/>
          <w:sz w:val="28"/>
          <w:szCs w:val="28"/>
        </w:rPr>
      </w:pPr>
      <w:r w:rsidRPr="004372AD">
        <w:rPr>
          <w:rFonts w:ascii="Gotham-Black" w:hAnsi="Gotham-Black" w:cs="Gotham-Black"/>
          <w:sz w:val="28"/>
          <w:szCs w:val="28"/>
        </w:rPr>
        <w:t>LE MAUSOLÉE DE L’EMPEREUR QIN</w:t>
      </w:r>
    </w:p>
    <w:p w:rsidR="004372AD" w:rsidRDefault="004372AD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Pr="004372AD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7942F9">
        <w:rPr>
          <w:rFonts w:ascii="Gotham-Book" w:hAnsi="Gotham-Book" w:cs="Gotham-Book"/>
        </w:rPr>
        <w:t>Le 29 mars 1974, un fermier chinois a découvert pa</w:t>
      </w:r>
      <w:r w:rsidR="004372AD">
        <w:rPr>
          <w:rFonts w:ascii="Gotham-Book" w:hAnsi="Gotham-Book" w:cs="Gotham-Book"/>
        </w:rPr>
        <w:t xml:space="preserve">r hasard une tombe probablement séculaire </w:t>
      </w:r>
      <w:r w:rsidRPr="007942F9">
        <w:rPr>
          <w:rFonts w:ascii="Gotham-Book" w:hAnsi="Gotham-Book" w:cs="Gotham-Book"/>
        </w:rPr>
        <w:t>à côté de Xi’an, cité importante en Chine. Il s’avèrera qu’il s’</w:t>
      </w:r>
      <w:r w:rsidR="004372AD">
        <w:rPr>
          <w:rFonts w:ascii="Gotham-Book" w:hAnsi="Gotham-Book" w:cs="Gotham-Book"/>
        </w:rPr>
        <w:t xml:space="preserve">agissait de la tombe </w:t>
      </w:r>
      <w:r w:rsidRPr="007942F9">
        <w:rPr>
          <w:rFonts w:ascii="Gotham-Book" w:hAnsi="Gotham-Book" w:cs="Gotham-Book"/>
        </w:rPr>
        <w:t xml:space="preserve">de l’Empereur de Chine, Qin </w:t>
      </w:r>
      <w:proofErr w:type="spellStart"/>
      <w:r w:rsidRPr="007942F9">
        <w:rPr>
          <w:rFonts w:ascii="Gotham-Book" w:hAnsi="Gotham-Book" w:cs="Gotham-Book"/>
        </w:rPr>
        <w:t>Shi</w:t>
      </w:r>
      <w:proofErr w:type="spellEnd"/>
      <w:r w:rsidRPr="007942F9">
        <w:rPr>
          <w:rFonts w:ascii="Gotham-Book" w:hAnsi="Gotham-Book" w:cs="Gotham-Book"/>
        </w:rPr>
        <w:t xml:space="preserve"> Huang (259-210 av JC) semblait s’être entouré d’</w:t>
      </w:r>
      <w:r w:rsidR="004372AD">
        <w:rPr>
          <w:rFonts w:ascii="Gotham-Book" w:hAnsi="Gotham-Book" w:cs="Gotham-Book"/>
        </w:rPr>
        <w:t xml:space="preserve">une </w:t>
      </w:r>
      <w:r w:rsidRPr="007942F9">
        <w:rPr>
          <w:rFonts w:ascii="Gotham-Book" w:hAnsi="Gotham-Book" w:cs="Gotham-Book"/>
        </w:rPr>
        <w:t xml:space="preserve">grande armée de gardes.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Pendant son premier voyage en Chine (1976), Paul Janssen était</w:t>
      </w:r>
      <w:r w:rsidR="004372AD">
        <w:rPr>
          <w:rFonts w:ascii="Gotham-Book" w:hAnsi="Gotham-Book" w:cs="Gotham-Book"/>
        </w:rPr>
        <w:t xml:space="preserve">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accompagné de son épouse. Celle-ci est passionnée d’art et d’histoire. Elle souhaitait voir les</w:t>
      </w:r>
      <w:r w:rsidR="004372AD">
        <w:rPr>
          <w:rFonts w:ascii="Gotham-Book" w:hAnsi="Gotham-Book" w:cs="Gotham-Book"/>
        </w:rPr>
        <w:t xml:space="preserve">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fouilles, qui venaient de commencer.</w:t>
      </w:r>
    </w:p>
    <w:p w:rsidR="004372AD" w:rsidRDefault="004372AD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NotoSerif-BoldItalic" w:hAnsi="NotoSerif-BoldItalic" w:cs="NotoSerif-BoldItalic"/>
          <w:b/>
          <w:bCs/>
          <w:i/>
          <w:iCs/>
          <w:color w:val="F7A019"/>
        </w:rPr>
      </w:pPr>
      <w:r w:rsidRPr="007942F9">
        <w:rPr>
          <w:rFonts w:ascii="Gotham-Book" w:hAnsi="Gotham-Book" w:cs="Gotham-Book"/>
        </w:rPr>
        <w:t xml:space="preserve">Cette immense armée souterraine a été progressivement découverte. </w:t>
      </w:r>
      <w:r w:rsidR="004372AD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Beaucoup de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statues en terre cuite étaient malheureusement affectées pa</w:t>
      </w:r>
      <w:r w:rsidR="004372AD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r des champignons. En raison de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ces moisissures, les statues se décoloraient et leur surface </w:t>
      </w:r>
      <w:r w:rsidR="004372AD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devenait poudreuse. Au cours de l’année 1999, les Janssen ont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fait transférer à Beerse les premier</w:t>
      </w:r>
      <w:r w:rsidR="004372AD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s échantillons de ces guerriers </w:t>
      </w:r>
      <w:r w:rsidRPr="007942F9">
        <w:rPr>
          <w:rFonts w:ascii="NotoSerif-BoldItalic" w:hAnsi="NotoSerif-BoldItalic" w:cs="NotoSerif-BoldItalic"/>
          <w:b/>
          <w:bCs/>
          <w:i/>
          <w:iCs/>
          <w:color w:val="F7A019"/>
        </w:rPr>
        <w:t>chinois affectés.</w:t>
      </w:r>
    </w:p>
    <w:p w:rsidR="004372AD" w:rsidRPr="004372AD" w:rsidRDefault="004372AD" w:rsidP="007942F9">
      <w:pPr>
        <w:autoSpaceDE w:val="0"/>
        <w:autoSpaceDN w:val="0"/>
        <w:adjustRightInd w:val="0"/>
        <w:jc w:val="both"/>
        <w:rPr>
          <w:rFonts w:ascii="NotoSerif-BoldItalic" w:hAnsi="NotoSerif-BoldItalic" w:cs="NotoSerif-BoldItalic"/>
          <w:b/>
          <w:bCs/>
          <w:i/>
          <w:iCs/>
          <w:color w:val="F7A019"/>
        </w:rPr>
      </w:pPr>
    </w:p>
    <w:p w:rsidR="004372AD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4372AD">
        <w:rPr>
          <w:rFonts w:ascii="Gotham-Book" w:hAnsi="Gotham-Book" w:cs="Gotham-Book"/>
        </w:rPr>
        <w:t xml:space="preserve">Le laboratoire belge Janssen </w:t>
      </w:r>
      <w:proofErr w:type="spellStart"/>
      <w:r w:rsidRPr="004372AD">
        <w:rPr>
          <w:rFonts w:ascii="Gotham-Book" w:hAnsi="Gotham-Book" w:cs="Gotham-Book"/>
        </w:rPr>
        <w:t>Pharmaceutica</w:t>
      </w:r>
      <w:proofErr w:type="spellEnd"/>
      <w:r w:rsidRPr="004372AD">
        <w:rPr>
          <w:rFonts w:ascii="Gotham-Book" w:hAnsi="Gotham-Book" w:cs="Gotham-Book"/>
        </w:rPr>
        <w:t xml:space="preserve"> a carac</w:t>
      </w:r>
      <w:r w:rsidR="004372AD">
        <w:rPr>
          <w:rFonts w:ascii="Gotham-Book" w:hAnsi="Gotham-Book" w:cs="Gotham-Book"/>
        </w:rPr>
        <w:t xml:space="preserve">térisé pas moins de 19 types de </w:t>
      </w:r>
      <w:r w:rsidRPr="004372AD">
        <w:rPr>
          <w:rFonts w:ascii="Gotham-Book" w:hAnsi="Gotham-Book" w:cs="Gotham-Book"/>
        </w:rPr>
        <w:t>champignons différents. Il fallait trouver un traitement pou</w:t>
      </w:r>
      <w:r w:rsidR="004372AD">
        <w:rPr>
          <w:rFonts w:ascii="Gotham-Book" w:hAnsi="Gotham-Book" w:cs="Gotham-Book"/>
        </w:rPr>
        <w:t xml:space="preserve">r sauver cet immense patrimoine </w:t>
      </w:r>
      <w:r w:rsidRPr="004372AD">
        <w:rPr>
          <w:rFonts w:ascii="Gotham-Book" w:hAnsi="Gotham-Book" w:cs="Gotham-Book"/>
        </w:rPr>
        <w:t>de l’humanité. Le mélange de quatre molécules allait d</w:t>
      </w:r>
      <w:r w:rsidR="004372AD">
        <w:rPr>
          <w:rFonts w:ascii="Gotham-Book" w:hAnsi="Gotham-Book" w:cs="Gotham-Book"/>
        </w:rPr>
        <w:t xml:space="preserve">onner de merveilleux résultats. </w:t>
      </w:r>
      <w:r w:rsidRPr="004372AD">
        <w:rPr>
          <w:rFonts w:ascii="Gotham-Book" w:hAnsi="Gotham-Book" w:cs="Gotham-Book"/>
        </w:rPr>
        <w:t xml:space="preserve">Le Mausolée de l’empereur Qin se trouve à proximité de la ville de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Xi’an</w:t>
      </w:r>
      <w:r w:rsidRPr="004372AD">
        <w:rPr>
          <w:rFonts w:ascii="NotoSerif-Italic" w:hAnsi="NotoSerif-Italic" w:cs="NotoSerif-Italic"/>
          <w:i/>
          <w:iCs/>
        </w:rPr>
        <w:t xml:space="preserve">, </w:t>
      </w:r>
      <w:r w:rsidRPr="004372AD">
        <w:rPr>
          <w:rFonts w:ascii="Gotham-Book" w:hAnsi="Gotham-Book" w:cs="Gotham-Book"/>
        </w:rPr>
        <w:t xml:space="preserve">dans le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Shaanxi.</w:t>
      </w:r>
      <w:r w:rsidR="004372AD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 xml:space="preserve">Il comprend le tombeau de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l’empereur Qin </w:t>
      </w:r>
      <w:proofErr w:type="spellStart"/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Shi</w:t>
      </w:r>
      <w:proofErr w:type="spellEnd"/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 Huangdi (IIIe siècle av. J.-C.),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où l’</w:t>
      </w:r>
      <w:r w:rsidR="004372AD">
        <w:rPr>
          <w:rFonts w:ascii="Gotham-Book" w:hAnsi="Gotham-Book" w:cs="Gotham-Book"/>
        </w:rPr>
        <w:t xml:space="preserve">on a trouvé, </w:t>
      </w:r>
      <w:r w:rsidRPr="004372AD">
        <w:rPr>
          <w:rFonts w:ascii="Gotham-Book" w:hAnsi="Gotham-Book" w:cs="Gotham-Book"/>
        </w:rPr>
        <w:t>à partir de 1974, les vestiges ensevelis de milliers de so</w:t>
      </w:r>
      <w:r w:rsidR="004372AD">
        <w:rPr>
          <w:rFonts w:ascii="Gotham-Book" w:hAnsi="Gotham-Book" w:cs="Gotham-Book"/>
        </w:rPr>
        <w:t xml:space="preserve">ldats de terre cuite formant ce </w:t>
      </w:r>
      <w:r w:rsidRPr="004372AD">
        <w:rPr>
          <w:rFonts w:ascii="Gotham-Book" w:hAnsi="Gotham-Book" w:cs="Gotham-Book"/>
        </w:rPr>
        <w:t>qu’on a appelé l’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armée de terre cuite</w:t>
      </w:r>
      <w:r w:rsidRPr="004372AD">
        <w:rPr>
          <w:rFonts w:ascii="NotoSerif-BoldItalic" w:hAnsi="NotoSerif-BoldItalic" w:cs="NotoSerif-BoldItalic"/>
          <w:b/>
          <w:bCs/>
          <w:i/>
          <w:iCs/>
        </w:rPr>
        <w:t xml:space="preserve"> </w:t>
      </w:r>
      <w:r w:rsidRPr="004372AD">
        <w:rPr>
          <w:rFonts w:ascii="Gotham-Book" w:hAnsi="Gotham-Book" w:cs="Gotham-Book"/>
        </w:rPr>
        <w:t>ou l’armée d’argile. L’ensemble s’étend</w:t>
      </w:r>
      <w:r w:rsidR="004372AD">
        <w:rPr>
          <w:rFonts w:ascii="Gotham-Book" w:hAnsi="Gotham-Book" w:cs="Gotham-Book"/>
        </w:rPr>
        <w:t xml:space="preserve"> sur environ </w:t>
      </w:r>
      <w:r w:rsidRPr="004372AD">
        <w:rPr>
          <w:rFonts w:ascii="Gotham-Book" w:hAnsi="Gotham-Book" w:cs="Gotham-Book"/>
        </w:rPr>
        <w:t xml:space="preserve">56,25 km2. </w:t>
      </w:r>
      <w:r w:rsidRPr="004372AD">
        <w:rPr>
          <w:rFonts w:ascii="Gotham-Book" w:hAnsi="Gotham-Book" w:cs="Gotham-Book"/>
        </w:rPr>
        <w:lastRenderedPageBreak/>
        <w:t xml:space="preserve">La tombe est recouverte par un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tumulus </w:t>
      </w:r>
      <w:r w:rsidRPr="004372AD">
        <w:rPr>
          <w:rFonts w:ascii="Gotham-Book" w:hAnsi="Gotham-Book" w:cs="Gotham-Book"/>
        </w:rPr>
        <w:t>h</w:t>
      </w:r>
      <w:r w:rsidR="004372AD">
        <w:rPr>
          <w:rFonts w:ascii="Gotham-Book" w:hAnsi="Gotham-Book" w:cs="Gotham-Book"/>
        </w:rPr>
        <w:t xml:space="preserve">aut de 51,3 m. On en connaît le </w:t>
      </w:r>
      <w:r w:rsidRPr="004372AD">
        <w:rPr>
          <w:rFonts w:ascii="Gotham-Book" w:hAnsi="Gotham-Book" w:cs="Gotham-Book"/>
        </w:rPr>
        <w:t>contenu légendaire grâce au récit de l’historie</w:t>
      </w:r>
      <w:r w:rsidR="004372AD">
        <w:rPr>
          <w:rFonts w:ascii="Gotham-Book" w:hAnsi="Gotham-Book" w:cs="Gotham-Book"/>
        </w:rPr>
        <w:t xml:space="preserve">n Sima Qian (145-90 av. J.-C.). </w:t>
      </w:r>
    </w:p>
    <w:p w:rsidR="004372AD" w:rsidRDefault="004372AD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Pr="004372AD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4372AD">
        <w:rPr>
          <w:rFonts w:ascii="Gotham-Book" w:hAnsi="Gotham-Book" w:cs="Gotham-Book"/>
        </w:rPr>
        <w:t>À environ 1 500 mètres, se trouvent les fosses contenant quelque huit mille statues de</w:t>
      </w:r>
      <w:r w:rsidR="004372AD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soldats, statues qui ont quasiment toutes un visage différencié, et de chevaux en terre</w:t>
      </w:r>
      <w:r w:rsidR="004372AD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cuite datant de 210 av. J.-C. C’est « l’armée enterrée », destinée à garder l’</w:t>
      </w:r>
      <w:r w:rsidR="004372AD">
        <w:rPr>
          <w:rFonts w:ascii="Gotham-Book" w:hAnsi="Gotham-Book" w:cs="Gotham-Book"/>
        </w:rPr>
        <w:t xml:space="preserve">empereur défunt. Ces statues </w:t>
      </w:r>
      <w:r w:rsidRPr="004372AD">
        <w:rPr>
          <w:rFonts w:ascii="Gotham-Book" w:hAnsi="Gotham-Book" w:cs="Gotham-Book"/>
        </w:rPr>
        <w:t>furent cuites dans des fours à une chaleur d’environ 90</w:t>
      </w:r>
      <w:r w:rsidR="004372AD">
        <w:rPr>
          <w:rFonts w:ascii="Gotham-Book" w:hAnsi="Gotham-Book" w:cs="Gotham-Book"/>
        </w:rPr>
        <w:t xml:space="preserve">0°C. Des couleurs </w:t>
      </w:r>
      <w:r w:rsidRPr="004372AD">
        <w:rPr>
          <w:rFonts w:ascii="Gotham-Book" w:hAnsi="Gotham-Book" w:cs="Gotham-Book"/>
        </w:rPr>
        <w:t>minérales étaient appliquées après cuisson sur les statues, ce q</w:t>
      </w:r>
      <w:r w:rsidR="004372AD">
        <w:rPr>
          <w:rFonts w:ascii="Gotham-Book" w:hAnsi="Gotham-Book" w:cs="Gotham-Book"/>
        </w:rPr>
        <w:t xml:space="preserve">ui, tout en les individualisant </w:t>
      </w:r>
      <w:r w:rsidRPr="004372AD">
        <w:rPr>
          <w:rFonts w:ascii="Gotham-Book" w:hAnsi="Gotham-Book" w:cs="Gotham-Book"/>
        </w:rPr>
        <w:t>davantage, permettait de distinguer par la couleur domi</w:t>
      </w:r>
      <w:r w:rsidR="004372AD">
        <w:rPr>
          <w:rFonts w:ascii="Gotham-Book" w:hAnsi="Gotham-Book" w:cs="Gotham-Book"/>
        </w:rPr>
        <w:t xml:space="preserve">nante les différentes unités de </w:t>
      </w:r>
      <w:r w:rsidRPr="004372AD">
        <w:rPr>
          <w:rFonts w:ascii="Gotham-Book" w:hAnsi="Gotham-Book" w:cs="Gotham-Book"/>
        </w:rPr>
        <w:t>cette armée.</w:t>
      </w:r>
    </w:p>
    <w:p w:rsidR="004372AD" w:rsidRDefault="004372AD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4372AD">
        <w:rPr>
          <w:rFonts w:ascii="Gotham-Book" w:hAnsi="Gotham-Book" w:cs="Gotham-Book"/>
        </w:rPr>
        <w:t>En 2007, des scientifiques de l’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Université de Stanford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et d’</w:t>
      </w:r>
      <w:r w:rsidR="00D87EF0">
        <w:rPr>
          <w:rFonts w:ascii="Gotham-Book" w:hAnsi="Gotham-Book" w:cs="Gotham-Book"/>
        </w:rPr>
        <w:t xml:space="preserve">Advanced Light Source à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Berkeley</w:t>
      </w:r>
      <w:r w:rsidRPr="004372AD">
        <w:rPr>
          <w:rFonts w:ascii="NotoSerif-Italic" w:hAnsi="NotoSerif-Italic" w:cs="NotoSerif-Italic"/>
          <w:i/>
          <w:iCs/>
        </w:rPr>
        <w:t xml:space="preserve">, </w:t>
      </w:r>
      <w:r w:rsidRPr="004372AD">
        <w:rPr>
          <w:rFonts w:ascii="Gotham-Book" w:hAnsi="Gotham-Book" w:cs="Gotham-Book"/>
        </w:rPr>
        <w:t xml:space="preserve">ont annoncé que des expériences de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diffraction de poudre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combinées à une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analyse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dispersive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en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énergie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 xml:space="preserve">et à une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micro-spectrométrie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de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fluorescence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des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rayons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X</w:t>
      </w:r>
      <w:r w:rsidRPr="00D87EF0">
        <w:rPr>
          <w:rFonts w:ascii="NotoSerif-BoldItalic" w:hAnsi="NotoSerif-BoldItalic" w:cs="NotoSerif-BoldItalic"/>
          <w:b/>
          <w:bCs/>
          <w:iCs/>
        </w:rPr>
        <w:t>,</w:t>
      </w:r>
      <w:r w:rsidR="00D87EF0" w:rsidRPr="00D87EF0">
        <w:rPr>
          <w:rFonts w:ascii="NotoSerif-BoldItalic" w:hAnsi="NotoSerif-BoldItalic" w:cs="NotoSerif-BoldItalic"/>
          <w:b/>
          <w:bCs/>
          <w:iCs/>
        </w:rPr>
        <w:t xml:space="preserve"> </w:t>
      </w:r>
      <w:r w:rsidR="00D87EF0" w:rsidRPr="00D87EF0">
        <w:rPr>
          <w:rFonts w:ascii="Gotham-Book" w:hAnsi="Gotham-Book" w:cs="Gotham-Book"/>
        </w:rPr>
        <w:t>o</w:t>
      </w:r>
      <w:r w:rsidRPr="00D87EF0">
        <w:rPr>
          <w:rFonts w:ascii="Gotham-Book" w:hAnsi="Gotham-Book" w:cs="Gotham-Book"/>
        </w:rPr>
        <w:t>n</w:t>
      </w:r>
      <w:r w:rsidR="00D87EF0" w:rsidRPr="00D87EF0">
        <w:rPr>
          <w:rFonts w:ascii="Gotham-Book" w:hAnsi="Gotham-Book" w:cs="Gotham-Book"/>
        </w:rPr>
        <w:t>t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montré que les statues de terre cuite ont été colorées avec du colorant pourpre chinois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 xml:space="preserve">composé de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silicate</w:t>
      </w:r>
      <w:r w:rsidRPr="00D87EF0">
        <w:rPr>
          <w:rFonts w:ascii="NotoSerif-Italic" w:hAnsi="NotoSerif-Italic" w:cs="NotoSerif-Italic"/>
          <w:i/>
          <w:iCs/>
        </w:rPr>
        <w:t xml:space="preserve"> </w:t>
      </w:r>
      <w:r w:rsidRPr="00D87EF0">
        <w:rPr>
          <w:rFonts w:ascii="Gotham-Book" w:hAnsi="Gotham-Book" w:cs="Gotham-Book"/>
        </w:rPr>
        <w:t xml:space="preserve">de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cuivre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D87EF0">
        <w:rPr>
          <w:rFonts w:ascii="Gotham-Book" w:hAnsi="Gotham-Book" w:cs="Gotham-Book"/>
        </w:rPr>
        <w:t xml:space="preserve">et de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baryum</w:t>
      </w:r>
      <w:r w:rsidRPr="004372AD">
        <w:rPr>
          <w:rFonts w:ascii="NotoSerif-Italic" w:hAnsi="NotoSerif-Italic" w:cs="NotoSerif-Italic"/>
          <w:i/>
          <w:iCs/>
        </w:rPr>
        <w:t xml:space="preserve">. </w:t>
      </w:r>
      <w:r w:rsidRPr="004372AD">
        <w:rPr>
          <w:rFonts w:ascii="Gotham-Book" w:hAnsi="Gotham-Book" w:cs="Gotham-Book"/>
        </w:rPr>
        <w:t>Ils ont également annoncé que ce colorant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 xml:space="preserve">a été créé grâce à des connaissances acquises par les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alchimistes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taoïstes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dans leurs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 xml:space="preserve">tentatives pour fabriquer des ornements en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jade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de synthèse.</w:t>
      </w:r>
    </w:p>
    <w:p w:rsidR="00D87EF0" w:rsidRPr="004372AD" w:rsidRDefault="00D87EF0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</w:p>
    <w:p w:rsidR="007942F9" w:rsidRPr="004372AD" w:rsidRDefault="007942F9" w:rsidP="007942F9">
      <w:pPr>
        <w:autoSpaceDE w:val="0"/>
        <w:autoSpaceDN w:val="0"/>
        <w:adjustRightInd w:val="0"/>
        <w:jc w:val="both"/>
        <w:rPr>
          <w:rFonts w:ascii="Gotham-Book" w:hAnsi="Gotham-Book" w:cs="Gotham-Book"/>
        </w:rPr>
      </w:pPr>
      <w:r w:rsidRPr="004372AD">
        <w:rPr>
          <w:rFonts w:ascii="Gotham-Book" w:hAnsi="Gotham-Book" w:cs="Gotham-Book"/>
        </w:rPr>
        <w:t>Depuis 2006, une équipe internationale de chercheurs utilise des techniques de chimie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analytique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pour découvrir plus de détails sur les techniques de production utilisées pour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 xml:space="preserve">la fabrication de l’armée de terre cuite. En utilisant la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spectrométrie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de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fluorescence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des</w:t>
      </w:r>
      <w:r w:rsidR="00D87EF0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rayons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X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sur 40 000 pointes de flèches en bronze regroupées en groupes de 100, les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chercheurs se sont aperçus que les pointes de flèches d’un même groupe constituaient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un ensemble relativement homogène et différent des autres groupes. En outre, dans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chaque flèche d’un même groupe on constate la présence ou l’absence d’impuretés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métalliques dans des taux identiques. Sur la base des compositions chimiques de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ces flèches, les chercheurs ont conclu qu’elles ont été fabriquées par un système de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>production basé sur plusieurs petits ateliers indépendants, assez similaire à celui mis en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 xml:space="preserve">place par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Toyota</w:t>
      </w:r>
      <w:r w:rsidRPr="004372AD">
        <w:rPr>
          <w:rFonts w:ascii="NotoSerif-Italic" w:hAnsi="NotoSerif-Italic" w:cs="NotoSerif-Italic"/>
          <w:i/>
          <w:iCs/>
        </w:rPr>
        <w:t xml:space="preserve"> </w:t>
      </w:r>
      <w:r w:rsidRPr="004372AD">
        <w:rPr>
          <w:rFonts w:ascii="Gotham-Book" w:hAnsi="Gotham-Book" w:cs="Gotham-Book"/>
        </w:rPr>
        <w:t>dans ses usines, par opposition à un système de production basé sur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Gotham-Book" w:hAnsi="Gotham-Book" w:cs="Gotham-Book"/>
        </w:rPr>
        <w:t xml:space="preserve">une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ligne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de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montage</w:t>
      </w:r>
      <w:r w:rsidRPr="00D87EF0">
        <w:rPr>
          <w:rFonts w:ascii="NotoSerif-Italic" w:hAnsi="NotoSerif-Italic" w:cs="NotoSerif-Italic"/>
          <w:i/>
          <w:iCs/>
        </w:rPr>
        <w:t>.</w:t>
      </w:r>
      <w:r w:rsidR="00D87EF0">
        <w:rPr>
          <w:rFonts w:ascii="NotoSerif-Italic" w:hAnsi="NotoSerif-Italic" w:cs="NotoSerif-Italic"/>
          <w:i/>
          <w:iCs/>
        </w:rPr>
        <w:t xml:space="preserve"> </w:t>
      </w:r>
      <w:r w:rsidRPr="004372AD">
        <w:rPr>
          <w:rFonts w:ascii="Gotham-Book" w:hAnsi="Gotham-Book" w:cs="Gotham-Book"/>
        </w:rPr>
        <w:t xml:space="preserve">Les marques d’affûtage et de polissage visibles sous un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microscope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électronique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à balayage</w:t>
      </w:r>
      <w:r w:rsidR="00D87EF0">
        <w:rPr>
          <w:rFonts w:ascii="NotoSerif-BoldItalic" w:hAnsi="NotoSerif-BoldItalic" w:cs="NotoSerif-BoldItalic"/>
          <w:b/>
          <w:bCs/>
          <w:i/>
          <w:iCs/>
          <w:color w:val="F7A019"/>
        </w:rPr>
        <w:t xml:space="preserve"> </w:t>
      </w:r>
      <w:r w:rsidRPr="004372AD">
        <w:rPr>
          <w:rFonts w:ascii="Gotham-Book" w:hAnsi="Gotham-Book" w:cs="Gotham-Book"/>
        </w:rPr>
        <w:t>ont permis de fournir la preuve de la plus ancienne utilisation industrielle connue de</w:t>
      </w:r>
      <w:r w:rsidR="00D87EF0">
        <w:rPr>
          <w:rFonts w:ascii="Gotham-Book" w:hAnsi="Gotham-Book" w:cs="Gotham-Book"/>
        </w:rPr>
        <w:t xml:space="preserve"> </w:t>
      </w:r>
      <w:r w:rsidRPr="004372AD">
        <w:rPr>
          <w:rFonts w:ascii="NotoSerif-BoldItalic" w:hAnsi="NotoSerif-BoldItalic" w:cs="NotoSerif-BoldItalic"/>
          <w:b/>
          <w:bCs/>
          <w:i/>
          <w:iCs/>
          <w:color w:val="F7A019"/>
        </w:rPr>
        <w:t>tours</w:t>
      </w:r>
      <w:r w:rsidRPr="007942F9">
        <w:rPr>
          <w:rFonts w:ascii="NotoSerif-Italic" w:hAnsi="NotoSerif-Italic" w:cs="NotoSerif-Italic"/>
          <w:i/>
          <w:iCs/>
          <w:color w:val="FFDF47"/>
        </w:rPr>
        <w:t xml:space="preserve"> </w:t>
      </w:r>
      <w:r w:rsidRPr="004372AD">
        <w:rPr>
          <w:rFonts w:ascii="Gotham-Book" w:hAnsi="Gotham-Book" w:cs="Gotham-Book"/>
        </w:rPr>
        <w:t>pour le polissage.</w:t>
      </w:r>
    </w:p>
    <w:sectPr w:rsidR="007942F9" w:rsidRPr="0043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Serif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7"/>
    <w:rsid w:val="002E7538"/>
    <w:rsid w:val="004372AD"/>
    <w:rsid w:val="006B27A9"/>
    <w:rsid w:val="007942F9"/>
    <w:rsid w:val="00B85D67"/>
    <w:rsid w:val="00D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Hogge</dc:creator>
  <cp:lastModifiedBy>Mad</cp:lastModifiedBy>
  <cp:revision>2</cp:revision>
  <dcterms:created xsi:type="dcterms:W3CDTF">2019-03-11T11:01:00Z</dcterms:created>
  <dcterms:modified xsi:type="dcterms:W3CDTF">2019-03-11T11:01:00Z</dcterms:modified>
</cp:coreProperties>
</file>