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CASA DRAGONES SE VISTE DEL COLOR DEL AÑO Y PRESENTA </w:t>
      </w:r>
      <w:r w:rsidDel="00000000" w:rsidR="00000000" w:rsidRPr="00000000">
        <w:rPr>
          <w:b w:val="1"/>
          <w:i w:val="1"/>
          <w:rtl w:val="0"/>
        </w:rPr>
        <w:t xml:space="preserve">ULTRAVIOLET COSMOS</w:t>
      </w:r>
      <w:r w:rsidDel="00000000" w:rsidR="00000000" w:rsidRPr="00000000">
        <w:rPr>
          <w:b w:val="1"/>
          <w:rtl w:val="0"/>
        </w:rPr>
        <w:t xml:space="preserve"> DE ALEJANDRO BLANCO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22 </w:t>
      </w:r>
      <w:r w:rsidDel="00000000" w:rsidR="00000000" w:rsidRPr="00000000">
        <w:rPr>
          <w:b w:val="1"/>
          <w:rtl w:val="0"/>
        </w:rPr>
        <w:t xml:space="preserve">de enero de 2018.- </w:t>
      </w:r>
      <w:r w:rsidDel="00000000" w:rsidR="00000000" w:rsidRPr="00000000">
        <w:rPr>
          <w:rtl w:val="0"/>
        </w:rPr>
        <w:t xml:space="preserve">Tras el anuncio del Pantone Color Institute que señala al </w:t>
      </w:r>
      <w:r w:rsidDel="00000000" w:rsidR="00000000" w:rsidRPr="00000000">
        <w:rPr>
          <w:i w:val="1"/>
          <w:rtl w:val="0"/>
        </w:rPr>
        <w:t xml:space="preserve">Ultraviolet </w:t>
      </w:r>
      <w:r w:rsidDel="00000000" w:rsidR="00000000" w:rsidRPr="00000000">
        <w:rPr>
          <w:rtl w:val="0"/>
        </w:rPr>
        <w:t xml:space="preserve">como el color del año 2018, Casa Dragones se suma a la tendencia y continúa impulsando la mixología y da vida a </w:t>
      </w:r>
      <w:r w:rsidDel="00000000" w:rsidR="00000000" w:rsidRPr="00000000">
        <w:rPr>
          <w:i w:val="1"/>
          <w:rtl w:val="0"/>
        </w:rPr>
        <w:t xml:space="preserve">Ultraviolet Cosmos</w:t>
      </w:r>
      <w:r w:rsidDel="00000000" w:rsidR="00000000" w:rsidRPr="00000000">
        <w:rPr>
          <w:rtl w:val="0"/>
        </w:rPr>
        <w:t xml:space="preserve">; un exquisito, enigmático y refrescante cóctel elaborado a base de Tequila Casa Dragones Blanco por el mixólogo Alejandro Blanco de Anatol del Hotel Las Alcobas en la Ciudad de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El reconocido mixólogo con experiencia en restaurantes como  Nemi y L’Alsace, se inspira en el color de la temporada y el gusto suave y balanceado con notas semidulces de agave con tonos de pimienta y clavo de olor de Tequila Casa Dragones Blanco. El resultado, un cósmico y creativo coctel: </w:t>
      </w: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i w:val="1"/>
        </w:rPr>
      </w:pPr>
      <w:r w:rsidDel="00000000" w:rsidR="00000000" w:rsidRPr="00000000">
        <w:rPr>
          <w:b w:val="1"/>
          <w:i w:val="1"/>
          <w:rtl w:val="0"/>
        </w:rPr>
        <w:t xml:space="preserve">Ultraviolet Cosmos</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1 1/2 oz Casa Dragones Blanco</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1/4 Lillet Rose</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1/4 Curacao Azul</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2 oz Lychee</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1 oz Jugo de Limón Verde</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1/2 Jarabe de Albahaca Morada</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5 piezas de blueberry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Vierte todos los ingredientes en un </w:t>
      </w:r>
      <w:r w:rsidDel="00000000" w:rsidR="00000000" w:rsidRPr="00000000">
        <w:rPr>
          <w:i w:val="1"/>
          <w:rtl w:val="0"/>
        </w:rPr>
        <w:t xml:space="preserve">mixer</w:t>
      </w:r>
      <w:r w:rsidDel="00000000" w:rsidR="00000000" w:rsidRPr="00000000">
        <w:rPr>
          <w:rtl w:val="0"/>
        </w:rPr>
        <w:t xml:space="preserve"> hasta formar una mezcla suave y homogénea. Servir en una copa burdeos y adorna con flores comestibles silvestres y arándanos.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Al igual que la casa tequilera independiente, el color del año simboliza el espíritu inventivo, constante búsqueda de experimentación y alto compromiso con la creatividad. Valores que Casa Dragones expresa de manera auténtica a través de </w:t>
      </w:r>
      <w:r w:rsidDel="00000000" w:rsidR="00000000" w:rsidRPr="00000000">
        <w:rPr>
          <w:i w:val="1"/>
          <w:rtl w:val="0"/>
        </w:rPr>
        <w:t xml:space="preserve">Ultraviolet Cosmos</w:t>
      </w:r>
      <w:r w:rsidDel="00000000" w:rsidR="00000000" w:rsidRPr="00000000">
        <w:rPr>
          <w:rtl w:val="0"/>
        </w:rPr>
        <w:t xml:space="preserve"> de la mano de Alejandro Blanco.</w:t>
      </w: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6">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b w:val="1"/>
          <w:rtl w:val="0"/>
        </w:rPr>
        <w:t xml:space="preserve">CONTACTO</w:t>
      </w:r>
    </w:p>
    <w:p w:rsidR="00000000" w:rsidDel="00000000" w:rsidP="00000000" w:rsidRDefault="00000000" w:rsidRPr="00000000">
      <w:pPr>
        <w:spacing w:line="276" w:lineRule="auto"/>
        <w:contextualSpacing w:val="0"/>
        <w:rPr/>
      </w:pPr>
      <w:r w:rsidDel="00000000" w:rsidR="00000000" w:rsidRPr="00000000">
        <w:rPr>
          <w:rtl w:val="0"/>
        </w:rPr>
        <w:t xml:space="preserve">Ana García Tinoco </w:t>
      </w:r>
    </w:p>
    <w:p w:rsidR="00000000" w:rsidDel="00000000" w:rsidP="00000000" w:rsidRDefault="00000000" w:rsidRPr="00000000">
      <w:pPr>
        <w:spacing w:line="276" w:lineRule="auto"/>
        <w:contextualSpacing w:val="0"/>
        <w:rPr/>
      </w:pPr>
      <w:r w:rsidDel="00000000" w:rsidR="00000000" w:rsidRPr="00000000">
        <w:rPr>
          <w:rtl w:val="0"/>
        </w:rPr>
        <w:t xml:space="preserve">Another Company</w:t>
      </w:r>
    </w:p>
    <w:p w:rsidR="00000000" w:rsidDel="00000000" w:rsidP="00000000" w:rsidRDefault="00000000" w:rsidRPr="00000000">
      <w:pPr>
        <w:spacing w:line="276" w:lineRule="auto"/>
        <w:contextualSpacing w:val="0"/>
        <w:rPr/>
      </w:pPr>
      <w:r w:rsidDel="00000000" w:rsidR="00000000" w:rsidRPr="00000000">
        <w:rPr>
          <w:rtl w:val="0"/>
        </w:rPr>
        <w:t xml:space="preserve">ana@anothercompany.com.mx</w:t>
      </w:r>
    </w:p>
    <w:p w:rsidR="00000000" w:rsidDel="00000000" w:rsidP="00000000" w:rsidRDefault="00000000" w:rsidRPr="00000000">
      <w:pPr>
        <w:spacing w:line="276" w:lineRule="auto"/>
        <w:contextualSpacing w:val="0"/>
        <w:rPr/>
      </w:pPr>
      <w:r w:rsidDel="00000000" w:rsidR="00000000" w:rsidRPr="00000000">
        <w:rPr>
          <w:rtl w:val="0"/>
        </w:rPr>
        <w:t xml:space="preserve">móvil: (52 1) 55 3198 9113</w:t>
      </w:r>
    </w:p>
    <w:p w:rsidR="00000000" w:rsidDel="00000000" w:rsidP="00000000" w:rsidRDefault="00000000" w:rsidRPr="00000000">
      <w:pPr>
        <w:spacing w:line="276" w:lineRule="auto"/>
        <w:contextualSpacing w:val="0"/>
        <w:rPr/>
      </w:pPr>
      <w:r w:rsidDel="00000000" w:rsidR="00000000" w:rsidRPr="00000000">
        <w:rPr>
          <w:rtl w:val="0"/>
        </w:rPr>
        <w:t xml:space="preserve">T: +52 55 6392 1100 Ext.3416</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0</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