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sz w:val="20"/>
          <w:szCs w:val="2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NUEVA COLECCIÓN GA-700 UTILITY COLOR LLEGA A MÉXICO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La colección llega en tres nuevas tonalidades inspiradas en los uniformes y abrigos que complementan la tendencia militar.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Ciudad de México, a xx de xxx de 2017.– G-SHOCK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anuncia el lanzamiento de su nueva colección </w:t>
      </w:r>
      <w:r w:rsidDel="00000000" w:rsidR="00000000" w:rsidRPr="00000000">
        <w:rPr>
          <w:b w:val="1"/>
          <w:color w:val="222222"/>
          <w:rtl w:val="0"/>
        </w:rPr>
        <w:t xml:space="preserve">GA700 Utility Color </w:t>
      </w:r>
      <w:r w:rsidDel="00000000" w:rsidR="00000000" w:rsidRPr="00000000">
        <w:rPr>
          <w:color w:val="222222"/>
          <w:rtl w:val="0"/>
        </w:rPr>
        <w:t xml:space="preserve">para este agosto. La serie incluye tres tonalidades </w:t>
      </w:r>
      <w:r w:rsidDel="00000000" w:rsidR="00000000" w:rsidRPr="00000000">
        <w:rPr>
          <w:color w:val="222222"/>
          <w:rtl w:val="0"/>
        </w:rPr>
        <w:t xml:space="preserve">inspiradas</w:t>
      </w:r>
      <w:r w:rsidDel="00000000" w:rsidR="00000000" w:rsidRPr="00000000">
        <w:rPr>
          <w:color w:val="222222"/>
          <w:rtl w:val="0"/>
        </w:rPr>
        <w:t xml:space="preserve"> por la tendencia militar que ha dominado esta temporada.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</w:t>
      </w:r>
      <w:r w:rsidDel="00000000" w:rsidR="00000000" w:rsidRPr="00000000">
        <w:rPr>
          <w:b w:val="1"/>
          <w:color w:val="222222"/>
          <w:rtl w:val="0"/>
        </w:rPr>
        <w:t xml:space="preserve">GA700UC-3A</w:t>
      </w:r>
      <w:r w:rsidDel="00000000" w:rsidR="00000000" w:rsidRPr="00000000">
        <w:rPr>
          <w:color w:val="222222"/>
          <w:rtl w:val="0"/>
        </w:rPr>
        <w:t xml:space="preserve"> despliega el color verde clásico de las fuerzas terrestres militares, mientras que el </w:t>
      </w:r>
      <w:r w:rsidDel="00000000" w:rsidR="00000000" w:rsidRPr="00000000">
        <w:rPr>
          <w:b w:val="1"/>
          <w:color w:val="222222"/>
          <w:rtl w:val="0"/>
        </w:rPr>
        <w:t xml:space="preserve">GA700-5A</w:t>
      </w:r>
      <w:r w:rsidDel="00000000" w:rsidR="00000000" w:rsidRPr="00000000">
        <w:rPr>
          <w:color w:val="222222"/>
          <w:rtl w:val="0"/>
        </w:rPr>
        <w:t xml:space="preserve"> está constituido por una tonalidad khaki referente al camuflaje utilizado en zonas desérticas. Finalmente, el </w:t>
      </w:r>
      <w:r w:rsidDel="00000000" w:rsidR="00000000" w:rsidRPr="00000000">
        <w:rPr>
          <w:b w:val="1"/>
          <w:color w:val="222222"/>
          <w:rtl w:val="0"/>
        </w:rPr>
        <w:t xml:space="preserve">GA700UC-8A</w:t>
      </w:r>
      <w:r w:rsidDel="00000000" w:rsidR="00000000" w:rsidRPr="00000000">
        <w:rPr>
          <w:color w:val="222222"/>
          <w:rtl w:val="0"/>
        </w:rPr>
        <w:t xml:space="preserve"> presenta un tono gris oscuro que nos remonta a las operaciones especiales nocturnas.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primera versión de esta colección se lanzó a finales del 2016 y ha sido una de los nuevos modelos G-SHOCK más promocionados por Casio. Sus funciones características incluyen un iluminador frontal LED, vida de batería de 5 años, manecillas grandes 3D y un precio accesible. 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Esta colección también incluye biseles y extensibles monotonales, pantalla oscura y botones negros, así como características adicionales como alta resistencia a impactos, funcionalidad a 200 metros bajo el agua, reloj mundial para 48 ciudades y UTC, cuatro alarmas diarias, cronómetro y temporizador.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serie </w:t>
      </w:r>
      <w:r w:rsidDel="00000000" w:rsidR="00000000" w:rsidRPr="00000000">
        <w:rPr>
          <w:b w:val="1"/>
          <w:color w:val="222222"/>
          <w:rtl w:val="0"/>
        </w:rPr>
        <w:t xml:space="preserve">GA-700UC</w:t>
      </w:r>
      <w:r w:rsidDel="00000000" w:rsidR="00000000" w:rsidRPr="00000000">
        <w:rPr>
          <w:color w:val="222222"/>
          <w:rtl w:val="0"/>
        </w:rPr>
        <w:t xml:space="preserve"> representa la mejor opción para un uso militar o para aquellos con un estilo más rudo y conservador. Tiene un costo de $2,400, y está disponible a partir de septiembre en la nueva tienda G-SHOCK Manacar, el kiosko ubicado en el segundo nivel del Centro Comercial Santa Fe, Joyerías Bizarro, Liverpool, Palacio de Hierro, y tiendas G-SHOCK Plaza la Isla Cancún, 5ª Avenida Playa del Carmen y Watch my Watch Cancún.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5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6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Jorge Alvarez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9">
        <w:r w:rsidDel="00000000" w:rsidR="00000000" w:rsidRPr="00000000">
          <w:rPr>
            <w:u w:val="single"/>
            <w:rtl w:val="0"/>
          </w:rPr>
          <w:t xml:space="preserve">jorge@anothercompany.com.mx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3480 1770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andrea.munguia</w:t>
      </w:r>
      <w:hyperlink r:id="rId10">
        <w:r w:rsidDel="00000000" w:rsidR="00000000" w:rsidRPr="00000000">
          <w:rPr>
            <w:u w:val="single"/>
            <w:rtl w:val="0"/>
          </w:rPr>
          <w:t xml:space="preserve">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</w:t>
      </w:r>
      <w:r w:rsidDel="00000000" w:rsidR="00000000" w:rsidRPr="00000000">
        <w:rPr>
          <w:sz w:val="20"/>
          <w:szCs w:val="20"/>
          <w:rtl w:val="0"/>
        </w:rPr>
        <w:t xml:space="preserve">,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</w:t>
      </w:r>
      <w:r w:rsidDel="00000000" w:rsidR="00000000" w:rsidRPr="00000000">
        <w:rPr>
          <w:sz w:val="20"/>
          <w:szCs w:val="20"/>
          <w:rtl w:val="0"/>
        </w:rPr>
        <w:t xml:space="preserve">visita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Río Rhin 27, Col Cuauhtémoc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2600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1">
        <w:r w:rsidDel="00000000" w:rsidR="00000000" w:rsidRPr="00000000">
          <w:rPr>
            <w:u w:val="single"/>
            <w:rtl w:val="0"/>
          </w:rPr>
          <w:t xml:space="preserve">showroom@anothercompany.com.mx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4714875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showroom@anothercompany.com.mx" TargetMode="External"/><Relationship Id="rId10" Type="http://schemas.openxmlformats.org/officeDocument/2006/relationships/hyperlink" Target="mailto:jorge@anothercompany.com.mx" TargetMode="External"/><Relationship Id="rId12" Type="http://schemas.openxmlformats.org/officeDocument/2006/relationships/header" Target="header1.xml"/><Relationship Id="rId9" Type="http://schemas.openxmlformats.org/officeDocument/2006/relationships/hyperlink" Target="mailto:jorge@anothercompany.com.mx" TargetMode="External"/><Relationship Id="rId5" Type="http://schemas.openxmlformats.org/officeDocument/2006/relationships/hyperlink" Target="https://twitter.com/casiogshockmx" TargetMode="External"/><Relationship Id="rId6" Type="http://schemas.openxmlformats.org/officeDocument/2006/relationships/hyperlink" Target="https://www.facebook.com/CASIOGSHOCKMexico/?fref=nf" TargetMode="External"/><Relationship Id="rId7" Type="http://schemas.openxmlformats.org/officeDocument/2006/relationships/hyperlink" Target="http://www.casiomx.com/products/Watches/" TargetMode="External"/><Relationship Id="rId8" Type="http://schemas.openxmlformats.org/officeDocument/2006/relationships/hyperlink" Target="http://www.casiousa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