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2473" w14:textId="77777777" w:rsidR="003A229F" w:rsidRPr="00BE5656" w:rsidRDefault="003A229F" w:rsidP="003A229F">
      <w:pPr>
        <w:pStyle w:val="Header"/>
        <w:spacing w:line="271" w:lineRule="auto"/>
        <w:rPr>
          <w:rFonts w:ascii="Microsoft YaHei" w:eastAsia="Microsoft YaHei" w:hAnsi="Microsoft YaHei" w:hint="eastAsia"/>
          <w:b/>
          <w:bCs/>
          <w:color w:val="C3001E"/>
          <w:sz w:val="32"/>
          <w:szCs w:val="32"/>
          <w:lang w:val="en-GB" w:eastAsia="ja-JP"/>
        </w:rPr>
      </w:pPr>
      <w:r w:rsidRPr="00C9422D">
        <w:rPr>
          <w:rFonts w:ascii="Microsoft YaHei" w:eastAsia="Microsoft YaHei" w:hAnsi="Microsoft YaHei" w:hint="eastAsia"/>
          <w:b/>
          <w:bCs/>
          <w:color w:val="C3001E"/>
          <w:sz w:val="32"/>
          <w:szCs w:val="32"/>
          <w:lang w:eastAsia="ja-JP"/>
        </w:rPr>
        <w:t>プレスリリース</w:t>
      </w:r>
    </w:p>
    <w:p w14:paraId="0F9A2520" w14:textId="77777777" w:rsidR="003A229F" w:rsidRPr="00186036" w:rsidRDefault="003A229F" w:rsidP="003A229F">
      <w:pPr>
        <w:spacing w:line="271" w:lineRule="auto"/>
        <w:rPr>
          <w:rFonts w:ascii="Microsoft YaHei" w:eastAsia="Microsoft YaHei" w:hAnsi="Microsoft YaHei" w:cs="Arial" w:hint="eastAsia"/>
          <w:b/>
          <w:bCs/>
          <w:sz w:val="20"/>
          <w:szCs w:val="20"/>
          <w:lang w:eastAsia="ja-JP"/>
        </w:rPr>
      </w:pPr>
    </w:p>
    <w:p w14:paraId="278EEBD5" w14:textId="77777777" w:rsidR="003A229F" w:rsidRPr="00186036" w:rsidRDefault="003A229F" w:rsidP="003A229F">
      <w:pPr>
        <w:spacing w:line="271" w:lineRule="auto"/>
        <w:rPr>
          <w:rFonts w:ascii="Microsoft YaHei" w:eastAsia="Microsoft YaHei" w:hAnsi="Microsoft YaHei" w:cs="Arial" w:hint="eastAsia"/>
          <w:b/>
          <w:bCs/>
          <w:sz w:val="20"/>
          <w:szCs w:val="20"/>
          <w:lang w:eastAsia="ja-JP"/>
        </w:rPr>
      </w:pPr>
    </w:p>
    <w:p w14:paraId="30FA0E7D" w14:textId="123612A9" w:rsidR="003A229F" w:rsidRPr="00186036" w:rsidRDefault="003A229F" w:rsidP="003A229F">
      <w:pPr>
        <w:rPr>
          <w:rFonts w:ascii="Microsoft YaHei" w:eastAsia="Microsoft YaHei" w:hAnsi="Microsoft YaHei" w:cstheme="minorHAnsi" w:hint="eastAsia"/>
          <w:b/>
          <w:bCs/>
          <w:sz w:val="20"/>
          <w:szCs w:val="20"/>
          <w:lang w:val="en-US" w:eastAsia="ja-JP"/>
        </w:rPr>
      </w:pPr>
      <w:r w:rsidRPr="00186036">
        <w:rPr>
          <w:rFonts w:ascii="Microsoft YaHei" w:eastAsia="Microsoft YaHei" w:hAnsi="Microsoft YaHei" w:cstheme="minorHAnsi" w:hint="eastAsia"/>
          <w:b/>
          <w:bCs/>
          <w:sz w:val="20"/>
          <w:szCs w:val="20"/>
          <w:lang w:val="en-US" w:eastAsia="ja-JP"/>
        </w:rPr>
        <w:t xml:space="preserve">Mex, </w:t>
      </w:r>
      <w:r w:rsidRPr="00060AB9">
        <w:rPr>
          <w:rFonts w:ascii="Microsoft YaHei" w:eastAsia="Microsoft YaHei" w:hAnsi="Microsoft YaHei" w:cstheme="minorHAnsi" w:hint="eastAsia"/>
          <w:b/>
          <w:bCs/>
          <w:sz w:val="20"/>
          <w:szCs w:val="20"/>
          <w:lang w:val="en-US" w:eastAsia="ja-JP"/>
        </w:rPr>
        <w:t>スイス</w:t>
      </w:r>
      <w:r w:rsidRPr="00186036">
        <w:rPr>
          <w:rFonts w:ascii="Microsoft YaHei" w:eastAsia="Microsoft YaHei" w:hAnsi="Microsoft YaHei" w:cstheme="minorHAnsi" w:hint="eastAsia"/>
          <w:b/>
          <w:bCs/>
          <w:sz w:val="20"/>
          <w:szCs w:val="20"/>
          <w:lang w:val="en-US" w:eastAsia="ja-JP"/>
        </w:rPr>
        <w:t xml:space="preserve">, </w:t>
      </w:r>
      <w:r w:rsidR="000D4D6A" w:rsidRPr="000D4D6A">
        <w:rPr>
          <w:rFonts w:ascii="Microsoft YaHei" w:eastAsia="Microsoft YaHei" w:hAnsi="Microsoft YaHei" w:cstheme="minorHAnsi" w:hint="eastAsia"/>
          <w:b/>
          <w:bCs/>
          <w:sz w:val="20"/>
          <w:szCs w:val="20"/>
          <w:lang w:val="en-US" w:eastAsia="ja-JP"/>
        </w:rPr>
        <w:t>2021年6月</w:t>
      </w:r>
      <w:r w:rsidR="000D4D6A">
        <w:rPr>
          <w:rFonts w:ascii="Microsoft YaHei" w:eastAsia="Microsoft YaHei" w:hAnsi="Microsoft YaHei" w:cstheme="minorHAnsi" w:hint="eastAsia"/>
          <w:b/>
          <w:bCs/>
          <w:sz w:val="20"/>
          <w:szCs w:val="20"/>
          <w:lang w:val="en-US" w:eastAsia="ja-JP"/>
        </w:rPr>
        <w:t>29</w:t>
      </w:r>
      <w:r w:rsidR="000D4D6A" w:rsidRPr="000D4D6A">
        <w:rPr>
          <w:rFonts w:ascii="Microsoft YaHei" w:eastAsia="Microsoft YaHei" w:hAnsi="Microsoft YaHei" w:cstheme="minorHAnsi" w:hint="eastAsia"/>
          <w:b/>
          <w:bCs/>
          <w:sz w:val="20"/>
          <w:szCs w:val="20"/>
          <w:lang w:val="en-US" w:eastAsia="ja-JP"/>
        </w:rPr>
        <w:t>日</w:t>
      </w:r>
    </w:p>
    <w:p w14:paraId="040AAF86" w14:textId="77777777" w:rsidR="003A229F" w:rsidRPr="00BE5656" w:rsidRDefault="003A229F" w:rsidP="003A229F">
      <w:pPr>
        <w:spacing w:line="271" w:lineRule="auto"/>
        <w:rPr>
          <w:rFonts w:ascii="Microsoft YaHei" w:eastAsia="Microsoft YaHei" w:hAnsi="Microsoft YaHei" w:cs="Arial" w:hint="eastAsia"/>
          <w:sz w:val="20"/>
          <w:szCs w:val="20"/>
          <w:lang w:eastAsia="ja-JP"/>
        </w:rPr>
      </w:pPr>
    </w:p>
    <w:p w14:paraId="28FC608D" w14:textId="77777777" w:rsidR="003A229F" w:rsidRPr="00BE5656" w:rsidRDefault="003A229F" w:rsidP="003A229F">
      <w:pPr>
        <w:spacing w:line="271" w:lineRule="auto"/>
        <w:rPr>
          <w:rFonts w:ascii="Microsoft YaHei" w:eastAsia="Microsoft YaHei" w:hAnsi="Microsoft YaHei" w:cs="Arial" w:hint="eastAsia"/>
          <w:sz w:val="20"/>
          <w:szCs w:val="20"/>
          <w:lang w:eastAsia="ja-JP"/>
        </w:rPr>
      </w:pPr>
    </w:p>
    <w:p w14:paraId="61A59327" w14:textId="77777777" w:rsidR="000D4D6A" w:rsidRPr="000D4D6A" w:rsidRDefault="000D4D6A" w:rsidP="000D4D6A">
      <w:pPr>
        <w:rPr>
          <w:rFonts w:ascii="SimSun" w:hAnsi="SimSun" w:hint="eastAsia"/>
          <w:b/>
          <w:bCs/>
          <w:color w:val="000000"/>
          <w:sz w:val="20"/>
          <w:szCs w:val="20"/>
          <w:lang w:eastAsia="ja-JP"/>
        </w:rPr>
      </w:pPr>
      <w:r w:rsidRPr="000D4D6A">
        <w:rPr>
          <w:rFonts w:ascii="SimSun" w:hAnsi="SimSun" w:hint="eastAsia"/>
          <w:b/>
          <w:bCs/>
          <w:color w:val="000000"/>
          <w:sz w:val="20"/>
          <w:szCs w:val="20"/>
          <w:lang w:eastAsia="ja-JP"/>
        </w:rPr>
        <w:t>BOBSTが、プレミアムクロスおよびインライン箔送りの箔押機NOVAFOIL 106を発表</w:t>
      </w:r>
    </w:p>
    <w:p w14:paraId="280B2F30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</w:p>
    <w:p w14:paraId="501E0D1E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ブランドオーナーからの高付加価値仕上げ需要の継続的な拡大に応えるために、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BOBST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は紙器の高品質加飾用の箔押機、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NOVAFOIL106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を発表しました。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この新しいマシンは、優れた効率、汎用性、および費用対効果のマルチカラー箔送りを供するために開発されました。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この機械では、エンボス加工、デボス加工、ホログラムアプリケーション、そして打抜きさえも行うことができます。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これによってお客様は、より精巧なデザインや高価値のパッケージを創造できるようになります。</w:t>
      </w:r>
    </w:p>
    <w:p w14:paraId="2BEA1915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</w:p>
    <w:p w14:paraId="4ED104A8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「この革新的な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NOVAFOIL 106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では、強化された創造性と柔軟性によって、加工業者はさらなる加飾機能を提供することが出来るようになり、製品が陳列棚で目立つことを求めるブランドオーナーを魅することになります。」と、</w:t>
      </w:r>
      <w:bookmarkStart w:id="0" w:name="_Hlk70934232"/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BOBST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プロダクトラインディレクター（打抜機、箔押機、フレキソ印刷機担当）の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Marco </w:t>
      </w:r>
      <w:proofErr w:type="spellStart"/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Lideo</w:t>
      </w:r>
      <w:proofErr w:type="spellEnd"/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が述べています。</w:t>
      </w:r>
      <w:bookmarkEnd w:id="0"/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. </w:t>
      </w:r>
    </w:p>
    <w:p w14:paraId="43AC8C8E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</w:p>
    <w:p w14:paraId="4D98F02A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このマシンは、クロス方向の箔送りオプション機能を備えた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BOBST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初のインライン箔押機です。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bookmarkStart w:id="1" w:name="_Hlk69984025"/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NOVAFOIL 106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は、インライン箔用に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350 mm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のリールを最大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8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つ、クロス箔用に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250mm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のリールを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4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つまで装備できます。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このマシン</w:t>
      </w:r>
      <w:bookmarkEnd w:id="1"/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は、紙ベースの素材から、最大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2,000 g / m</w:t>
      </w:r>
      <w:r w:rsidRPr="000D4D6A">
        <w:rPr>
          <w:rFonts w:ascii="Noto Sans" w:hAnsi="Noto Sans" w:hint="eastAsia"/>
          <w:color w:val="000000"/>
          <w:sz w:val="20"/>
          <w:szCs w:val="20"/>
          <w:vertAlign w:val="superscript"/>
          <w:lang w:eastAsia="ja-JP"/>
        </w:rPr>
        <w:t xml:space="preserve">2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の厚板紙、および最大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3 mm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の段ボールに至るまで、複雑に入組んだデザインの多様な箔押しを行うことが出来ます。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最大シートサイズは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1,060 mm x 760 mm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と大きく、シート表面を最大限に活用することができ、素材を最適に使うことができます。</w:t>
      </w:r>
    </w:p>
    <w:p w14:paraId="7F424728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</w:p>
    <w:p w14:paraId="2CB0C9CF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NOVAFOIL 106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はまた、自動化レベルでも優れており、セットアップや切り替えが迅速に行え、稼働時間が最大化されます。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この新しいマシンのプラテン部は完全に再設計されました。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箔押し工程に於ける、より長い加圧時間、安定した温度、より高い加圧力が、素晴らしい加飾品質を提供します。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また、グリッパーバー搬送システムは、優れた走行安定性を持ち、改善されたシート減速機能も備えています。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その結果、機械性能の最大で運転する時でも、信頼性、優れた安定性、スムーズなシート搬送が確保されます。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</w:p>
    <w:p w14:paraId="153AE2D8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</w:p>
    <w:p w14:paraId="0F1D2761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性能が強化されているにもかかわらず、この新しい箔押機は設置面積が小さいコンパクトなマシンです。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人間工学に基づくオペレーターフレンドリーな設計で、箔押しエリアを含むすべての機能と設定に、簡単にアクセスすることができます。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コントロールパネル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HMI SPHERE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は、直感的なナビ機能を備え、リピートオーダーを高速で自動セットアップするので、マシンの操作が非常に簡単です。</w:t>
      </w:r>
    </w:p>
    <w:p w14:paraId="6C7C5C79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</w:p>
    <w:p w14:paraId="79F47C8C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箔押しに新たなレベルの持続可能性を導入した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NOVAFOIL 106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は、箔送り量を自動算出する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OACS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（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Optimal Advance Computer System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）を搭載することができ、箔の経済的消費を可能にして廃棄物を削減します。一方で、半自動の箔ロール交換装置がさらに時間を削減するので、最高の生産を実現することができます。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</w:p>
    <w:p w14:paraId="335B0AF6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</w:p>
    <w:p w14:paraId="46C03BD6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lastRenderedPageBreak/>
        <w:t>BOBST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はまた、シートの取り扱いに関する長年の経験と専門知識を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NOVAFOIL 106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の開発に活かしています。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最新世代のフィーダーサクションヘッドと、強力なグリッパーバー搬送システムにより、非常にスムーズで安定した給紙と、正確な見当出しが行われ、不良の出ない箔押しが確保されます。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追加で品質検査する場合は、オペレーターがマシンを停止することなく、サンプルを簡単かつ安全に抜き取ることが可能です。</w:t>
      </w:r>
    </w:p>
    <w:p w14:paraId="57C44A9F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</w:p>
    <w:p w14:paraId="206F9359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「この生産性の高いマシンは、堅牢な構造、高い信頼性、そして長寿命が、コスト効率の良い箔消費と相まって、優れた投資収益率を保証します。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またその多用途性により、お客様の製品範囲が拡大しますので、新しいビジネスチャンスを優位に掴むことができます。」と</w:t>
      </w:r>
      <w:proofErr w:type="spellStart"/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Lideo</w:t>
      </w:r>
      <w:proofErr w:type="spellEnd"/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が述べています。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</w:p>
    <w:p w14:paraId="73749226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</w:p>
    <w:p w14:paraId="5A17AD52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データへの完全なアクセスと制御を伴い、マシンの接続性は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Industry 4.0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オペレーション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と互換性があり、将来の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BOBST Connect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プラットフォームの一部となっています。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継続的なサポートで信頼できるサービスと、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BOBST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認定ツールの利用で、マシン稼働時間とクラス最高の収益性がさらに改善されます。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</w:p>
    <w:p w14:paraId="596103D2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</w:p>
    <w:p w14:paraId="79DC71BE" w14:textId="77777777" w:rsidR="000D4D6A" w:rsidRPr="000D4D6A" w:rsidRDefault="000D4D6A" w:rsidP="000D4D6A">
      <w:pPr>
        <w:rPr>
          <w:rFonts w:ascii="Noto Sans" w:hAnsi="Noto Sans" w:hint="eastAsia"/>
          <w:color w:val="000000"/>
          <w:sz w:val="20"/>
          <w:szCs w:val="20"/>
          <w:lang w:eastAsia="ja-JP"/>
        </w:rPr>
      </w:pP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「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NOVAFOIL 106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と、箔押し向けのプラテン部によって、私達は加飾技術の進化の次の段階に入っています。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BOBST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は間違いなく、技術革新で業界をリードし続けます。そして、パッケージングの未来を切り拓いて行きます。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 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私たちは、デジタル化、自動化、接続性、持続可能性の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4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つの核を念頭に置きながら、全てのソリューションを開発しています。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NOVAFOIL 106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は、私たちのビジョンが業界に貢献する輝きの一例です。」と</w:t>
      </w:r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 xml:space="preserve">Marco </w:t>
      </w:r>
      <w:proofErr w:type="spellStart"/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Lideo</w:t>
      </w:r>
      <w:proofErr w:type="spellEnd"/>
      <w:r w:rsidRPr="000D4D6A">
        <w:rPr>
          <w:rFonts w:ascii="Noto Sans" w:hAnsi="Noto Sans" w:hint="eastAsia"/>
          <w:color w:val="000000"/>
          <w:sz w:val="20"/>
          <w:szCs w:val="20"/>
          <w:lang w:eastAsia="ja-JP"/>
        </w:rPr>
        <w:t>は結んでいます。</w:t>
      </w:r>
    </w:p>
    <w:p w14:paraId="1372CA7B" w14:textId="77777777" w:rsidR="003A229F" w:rsidRPr="000D4D6A" w:rsidRDefault="003A229F" w:rsidP="003A229F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theme="minorHAnsi" w:hint="eastAsia"/>
          <w:b/>
          <w:bCs/>
          <w:sz w:val="20"/>
          <w:szCs w:val="20"/>
          <w:lang w:eastAsia="ja-JP"/>
        </w:rPr>
      </w:pPr>
    </w:p>
    <w:p w14:paraId="35CE7985" w14:textId="77777777" w:rsidR="003A229F" w:rsidRPr="004A4755" w:rsidRDefault="003A229F" w:rsidP="003A229F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theme="minorHAnsi" w:hint="eastAsia"/>
          <w:b/>
          <w:bCs/>
          <w:sz w:val="20"/>
          <w:szCs w:val="20"/>
          <w:lang w:eastAsia="ja-JP"/>
        </w:rPr>
      </w:pPr>
    </w:p>
    <w:p w14:paraId="4D18BCEE" w14:textId="77777777" w:rsidR="00ED5F8F" w:rsidRDefault="00472731" w:rsidP="003A229F">
      <w:pPr>
        <w:spacing w:line="271" w:lineRule="auto"/>
        <w:jc w:val="both"/>
        <w:rPr>
          <w:rFonts w:ascii="Microsoft YaHei" w:eastAsia="MS Mincho" w:hAnsi="Microsoft YaHei" w:cs="Arial" w:hint="eastAsia"/>
          <w:b/>
          <w:szCs w:val="19"/>
          <w:lang w:val="en-US" w:eastAsia="ja-JP"/>
        </w:rPr>
      </w:pPr>
      <w:r w:rsidRPr="00B30528">
        <w:rPr>
          <w:rFonts w:ascii="Microsoft YaHei" w:eastAsia="Microsoft YaHei" w:hAnsi="Microsoft YaHei" w:cs="Arial" w:hint="eastAsia"/>
          <w:b/>
          <w:szCs w:val="19"/>
          <w:lang w:val="en-US" w:eastAsia="ja-JP"/>
        </w:rPr>
        <w:t>BOBSTについて</w:t>
      </w:r>
    </w:p>
    <w:p w14:paraId="4914D997" w14:textId="77777777" w:rsidR="00F277CB" w:rsidRPr="00F277CB" w:rsidRDefault="00F277CB" w:rsidP="003A229F">
      <w:pPr>
        <w:spacing w:line="271" w:lineRule="auto"/>
        <w:jc w:val="both"/>
        <w:rPr>
          <w:rFonts w:ascii="Microsoft YaHei" w:eastAsia="MS Mincho" w:hAnsi="Microsoft YaHei" w:cs="Arial" w:hint="eastAsia"/>
          <w:b/>
          <w:szCs w:val="19"/>
          <w:lang w:val="en-US" w:eastAsia="ja-JP"/>
        </w:rPr>
      </w:pPr>
    </w:p>
    <w:p w14:paraId="5ACCE5DE" w14:textId="77777777" w:rsidR="000D4D6A" w:rsidRPr="00D14F18" w:rsidRDefault="000D4D6A" w:rsidP="000D4D6A">
      <w:pPr>
        <w:spacing w:line="240" w:lineRule="auto"/>
        <w:jc w:val="both"/>
        <w:rPr>
          <w:rFonts w:ascii="Noto Sans" w:eastAsia="Microsoft YaHei" w:hAnsi="Noto Sans" w:cs="Noto Sans" w:hint="eastAsia"/>
          <w:b/>
          <w:szCs w:val="19"/>
          <w:lang w:val="en-US" w:eastAsia="ja-JP"/>
        </w:rPr>
      </w:pPr>
      <w:r w:rsidRPr="00D14F18">
        <w:rPr>
          <w:rFonts w:ascii="Noto Sans" w:eastAsia="Microsoft YaHei" w:hAnsi="Noto Sans" w:cs="Noto Sans" w:hint="eastAsia"/>
          <w:b/>
          <w:szCs w:val="19"/>
          <w:lang w:val="en-US" w:eastAsia="ja-JP"/>
        </w:rPr>
        <w:t>BOBST</w:t>
      </w:r>
      <w:r w:rsidRPr="00D14F18">
        <w:rPr>
          <w:rFonts w:ascii="Noto Sans" w:eastAsia="MS Mincho" w:hAnsi="Noto Sans" w:cs="Noto Sans" w:hint="eastAsia"/>
          <w:b/>
          <w:bCs/>
          <w:lang w:eastAsia="ja-JP"/>
        </w:rPr>
        <w:t>について</w:t>
      </w:r>
    </w:p>
    <w:p w14:paraId="019B4F57" w14:textId="77777777" w:rsidR="000D4D6A" w:rsidRPr="00F52E4C" w:rsidRDefault="000D4D6A" w:rsidP="000D4D6A">
      <w:pPr>
        <w:spacing w:line="240" w:lineRule="auto"/>
        <w:rPr>
          <w:rFonts w:ascii="Noto Sans" w:eastAsia="MS Mincho" w:hAnsi="Noto Sans" w:cs="Noto Sans" w:hint="eastAsia"/>
          <w:lang w:eastAsia="ja-JP"/>
        </w:rPr>
      </w:pPr>
      <w:r w:rsidRPr="00F52E4C">
        <w:rPr>
          <w:rFonts w:ascii="Noto Sans" w:eastAsia="MS Mincho" w:hAnsi="Noto Sans" w:cs="Noto Sans" w:hint="eastAsia"/>
          <w:lang w:eastAsia="ja-JP"/>
        </w:rPr>
        <w:t>当社はラベル、軟包装、紙器、段ボール産業向けに印刷、コンバーティング、加工機械、およびサービスを提供する世界有数のサプライヤーです。</w:t>
      </w:r>
    </w:p>
    <w:p w14:paraId="3E3F8057" w14:textId="77777777" w:rsidR="000D4D6A" w:rsidRPr="00F52E4C" w:rsidRDefault="000D4D6A" w:rsidP="000D4D6A">
      <w:pPr>
        <w:spacing w:line="240" w:lineRule="auto"/>
        <w:rPr>
          <w:rFonts w:ascii="Noto Sans" w:eastAsia="MS Mincho" w:hAnsi="Noto Sans" w:cs="Noto Sans" w:hint="eastAsia"/>
          <w:lang w:eastAsia="ja-JP"/>
        </w:rPr>
      </w:pPr>
    </w:p>
    <w:p w14:paraId="252B6B3D" w14:textId="77777777" w:rsidR="000D4D6A" w:rsidRPr="00F52E4C" w:rsidRDefault="000D4D6A" w:rsidP="000D4D6A">
      <w:pPr>
        <w:autoSpaceDE w:val="0"/>
        <w:autoSpaceDN w:val="0"/>
        <w:adjustRightInd w:val="0"/>
        <w:spacing w:line="240" w:lineRule="auto"/>
        <w:rPr>
          <w:rFonts w:ascii="Noto Sans" w:eastAsia="Microsoft YaHei" w:hAnsi="Noto Sans" w:cs="Noto Sans" w:hint="eastAsia"/>
          <w:b/>
          <w:bCs/>
          <w:szCs w:val="19"/>
          <w:lang w:val="en-US" w:eastAsia="ja-JP"/>
        </w:rPr>
      </w:pPr>
      <w:r w:rsidRPr="00F52E4C">
        <w:rPr>
          <w:rFonts w:ascii="Noto Sans" w:hAnsi="Noto Sans" w:cs="Noto Sans" w:hint="eastAsia"/>
          <w:lang w:val="ru-RU" w:eastAsia="ja-JP"/>
        </w:rPr>
        <w:t>Joseph Bobst</w:t>
      </w:r>
      <w:r w:rsidRPr="00F52E4C">
        <w:rPr>
          <w:rFonts w:ascii="Noto Sans" w:eastAsia="MS Mincho" w:hAnsi="Noto Sans" w:cs="Noto Sans" w:hint="eastAsia"/>
          <w:lang w:eastAsia="ja-JP"/>
        </w:rPr>
        <w:t>により</w:t>
      </w:r>
      <w:r w:rsidRPr="00F52E4C">
        <w:rPr>
          <w:rFonts w:ascii="Noto Sans" w:hAnsi="Noto Sans" w:cs="Noto Sans" w:hint="eastAsia"/>
          <w:lang w:val="ru-RU" w:eastAsia="ja-JP"/>
        </w:rPr>
        <w:t>1890</w:t>
      </w:r>
      <w:r w:rsidRPr="00F52E4C">
        <w:rPr>
          <w:rFonts w:ascii="Noto Sans" w:eastAsia="MS Mincho" w:hAnsi="Noto Sans" w:cs="Noto Sans" w:hint="eastAsia"/>
          <w:lang w:eastAsia="ja-JP"/>
        </w:rPr>
        <w:t>年にスイスのローザンヌに設立された</w:t>
      </w:r>
      <w:r w:rsidRPr="00F52E4C">
        <w:rPr>
          <w:rFonts w:ascii="Noto Sans" w:hAnsi="Noto Sans" w:cs="Noto Sans" w:hint="eastAsia"/>
          <w:lang w:val="ru-RU" w:eastAsia="ja-JP"/>
        </w:rPr>
        <w:t>BOBST</w:t>
      </w:r>
      <w:r w:rsidRPr="00F52E4C">
        <w:rPr>
          <w:rFonts w:ascii="Noto Sans" w:eastAsia="MS Mincho" w:hAnsi="Noto Sans" w:cs="Noto Sans" w:hint="eastAsia"/>
          <w:lang w:eastAsia="ja-JP"/>
        </w:rPr>
        <w:t>社は、</w:t>
      </w:r>
      <w:r w:rsidRPr="00F52E4C">
        <w:rPr>
          <w:rFonts w:ascii="Noto Sans" w:hAnsi="Noto Sans" w:cs="Noto Sans" w:hint="eastAsia"/>
          <w:lang w:val="ru-RU" w:eastAsia="ja-JP"/>
        </w:rPr>
        <w:t>50</w:t>
      </w:r>
      <w:r w:rsidRPr="00F52E4C">
        <w:rPr>
          <w:rFonts w:ascii="Noto Sans" w:eastAsia="MS Mincho" w:hAnsi="Noto Sans" w:cs="Noto Sans" w:hint="eastAsia"/>
          <w:lang w:eastAsia="ja-JP"/>
        </w:rPr>
        <w:t>カ国以上で事業を展開しており、</w:t>
      </w:r>
      <w:r w:rsidRPr="00F52E4C">
        <w:rPr>
          <w:rFonts w:ascii="Noto Sans" w:eastAsia="MS Mincho" w:hAnsi="Noto Sans" w:cs="Noto Sans" w:hint="eastAsia"/>
          <w:lang w:eastAsia="ja-JP"/>
        </w:rPr>
        <w:t>11</w:t>
      </w:r>
      <w:r w:rsidRPr="00F52E4C">
        <w:rPr>
          <w:rFonts w:ascii="Noto Sans" w:eastAsia="MS Mincho" w:hAnsi="Noto Sans" w:cs="Noto Sans" w:hint="eastAsia"/>
          <w:lang w:eastAsia="ja-JP"/>
        </w:rPr>
        <w:t>カ国に</w:t>
      </w:r>
      <w:r w:rsidRPr="00F52E4C">
        <w:rPr>
          <w:rFonts w:ascii="Noto Sans" w:hAnsi="Noto Sans" w:cs="Noto Sans" w:hint="eastAsia"/>
          <w:lang w:val="ru-RU" w:eastAsia="ja-JP"/>
        </w:rPr>
        <w:t>1</w:t>
      </w:r>
      <w:r w:rsidRPr="00F52E4C">
        <w:rPr>
          <w:rFonts w:ascii="Noto Sans" w:hAnsi="Noto Sans" w:cs="Noto Sans" w:hint="eastAsia"/>
          <w:lang w:eastAsia="ja-JP"/>
        </w:rPr>
        <w:t>9</w:t>
      </w:r>
      <w:r w:rsidRPr="00F52E4C">
        <w:rPr>
          <w:rFonts w:ascii="Noto Sans" w:eastAsia="MS Mincho" w:hAnsi="Noto Sans" w:cs="Noto Sans" w:hint="eastAsia"/>
          <w:lang w:eastAsia="ja-JP"/>
        </w:rPr>
        <w:t>の生産拠点を持ち従業員数は全世界で</w:t>
      </w:r>
      <w:r w:rsidRPr="00F52E4C">
        <w:rPr>
          <w:rFonts w:ascii="Noto Sans" w:hAnsi="Noto Sans" w:cs="Noto Sans" w:hint="eastAsia"/>
          <w:lang w:val="ru-RU" w:eastAsia="ja-JP"/>
        </w:rPr>
        <w:t>5,</w:t>
      </w:r>
      <w:r w:rsidRPr="00F52E4C">
        <w:rPr>
          <w:rFonts w:ascii="Noto Sans" w:hAnsi="Noto Sans" w:cs="Noto Sans" w:hint="eastAsia"/>
          <w:lang w:eastAsia="ja-JP"/>
        </w:rPr>
        <w:t>6</w:t>
      </w:r>
      <w:r w:rsidRPr="00F52E4C">
        <w:rPr>
          <w:rFonts w:ascii="Noto Sans" w:hAnsi="Noto Sans" w:cs="Noto Sans" w:hint="eastAsia"/>
          <w:lang w:val="ru-RU" w:eastAsia="ja-JP"/>
        </w:rPr>
        <w:t>00</w:t>
      </w:r>
      <w:r w:rsidRPr="00F52E4C">
        <w:rPr>
          <w:rFonts w:ascii="Noto Sans" w:eastAsia="MS Mincho" w:hAnsi="Noto Sans" w:cs="Noto Sans" w:hint="eastAsia"/>
          <w:lang w:eastAsia="ja-JP"/>
        </w:rPr>
        <w:t>名に及びます。</w:t>
      </w:r>
      <w:r w:rsidRPr="00F52E4C">
        <w:rPr>
          <w:rFonts w:ascii="Noto Sans" w:eastAsia="MS Mincho" w:hAnsi="Noto Sans" w:cs="Noto Sans" w:hint="eastAsia"/>
          <w:lang w:eastAsia="ja-JP"/>
        </w:rPr>
        <w:t xml:space="preserve"> </w:t>
      </w:r>
      <w:r w:rsidRPr="00F52E4C">
        <w:rPr>
          <w:rFonts w:ascii="Noto Sans" w:hAnsi="Noto Sans" w:cs="Noto Sans" w:hint="eastAsia"/>
          <w:lang w:val="ru-RU" w:eastAsia="ja-JP"/>
        </w:rPr>
        <w:t>20</w:t>
      </w:r>
      <w:r w:rsidRPr="00F52E4C">
        <w:rPr>
          <w:rFonts w:ascii="Noto Sans" w:hAnsi="Noto Sans" w:cs="Noto Sans" w:hint="eastAsia"/>
          <w:lang w:eastAsia="ja-JP"/>
        </w:rPr>
        <w:t>20</w:t>
      </w:r>
      <w:r w:rsidRPr="00F52E4C">
        <w:rPr>
          <w:rFonts w:ascii="Noto Sans" w:eastAsia="MS Mincho" w:hAnsi="Noto Sans" w:cs="Noto Sans" w:hint="eastAsia"/>
          <w:lang w:eastAsia="ja-JP"/>
        </w:rPr>
        <w:t>年</w:t>
      </w:r>
      <w:r w:rsidRPr="00F52E4C">
        <w:rPr>
          <w:rFonts w:ascii="Noto Sans" w:hAnsi="Noto Sans" w:cs="Noto Sans" w:hint="eastAsia"/>
          <w:lang w:val="ru-RU" w:eastAsia="ja-JP"/>
        </w:rPr>
        <w:t>12</w:t>
      </w:r>
      <w:r w:rsidRPr="00F52E4C">
        <w:rPr>
          <w:rFonts w:ascii="Noto Sans" w:eastAsia="MS Mincho" w:hAnsi="Noto Sans" w:cs="Noto Sans" w:hint="eastAsia"/>
          <w:lang w:eastAsia="ja-JP"/>
        </w:rPr>
        <w:t>月期の連結売上高は、</w:t>
      </w:r>
      <w:r w:rsidRPr="00F52E4C">
        <w:rPr>
          <w:rFonts w:ascii="Noto Sans" w:hAnsi="Noto Sans" w:cs="Noto Sans" w:hint="eastAsia"/>
          <w:lang w:val="ru-RU" w:eastAsia="ja-JP"/>
        </w:rPr>
        <w:t>1</w:t>
      </w:r>
      <w:r w:rsidRPr="00F52E4C">
        <w:rPr>
          <w:rFonts w:ascii="Noto Sans" w:hAnsi="Noto Sans" w:cs="Noto Sans" w:hint="eastAsia"/>
          <w:lang w:eastAsia="ja-JP"/>
        </w:rPr>
        <w:t>3</w:t>
      </w:r>
      <w:r w:rsidRPr="00F52E4C">
        <w:rPr>
          <w:rFonts w:ascii="Noto Sans" w:eastAsia="MS Mincho" w:hAnsi="Noto Sans" w:cs="Noto Sans" w:hint="eastAsia"/>
          <w:lang w:eastAsia="ja-JP"/>
        </w:rPr>
        <w:t>億</w:t>
      </w:r>
      <w:r w:rsidRPr="00F52E4C">
        <w:rPr>
          <w:rFonts w:asciiTheme="minorHAnsi" w:eastAsia="MS Mincho" w:hAnsiTheme="minorHAnsi" w:cstheme="minorHAnsi" w:hint="eastAsia"/>
          <w:lang w:val="ru-RU" w:eastAsia="ja-JP"/>
        </w:rPr>
        <w:t>7200</w:t>
      </w:r>
      <w:r w:rsidRPr="00F52E4C">
        <w:rPr>
          <w:rFonts w:ascii="Noto Sans" w:eastAsia="MS Mincho" w:hAnsi="Noto Sans" w:cs="Noto Sans" w:hint="eastAsia"/>
          <w:lang w:eastAsia="ja-JP"/>
        </w:rPr>
        <w:t>万スイスフランでした。</w:t>
      </w:r>
    </w:p>
    <w:p w14:paraId="0177C0B1" w14:textId="77777777" w:rsidR="00ED5F8F" w:rsidRPr="000D4D6A" w:rsidRDefault="00ED5F8F" w:rsidP="003A229F">
      <w:pPr>
        <w:autoSpaceDE w:val="0"/>
        <w:autoSpaceDN w:val="0"/>
        <w:adjustRightInd w:val="0"/>
        <w:spacing w:line="271" w:lineRule="auto"/>
        <w:rPr>
          <w:rFonts w:ascii="Microsoft YaHei" w:eastAsia="Microsoft YaHei" w:hAnsi="Microsoft YaHei" w:cs="Arial" w:hint="eastAsia"/>
          <w:b/>
          <w:bCs/>
          <w:szCs w:val="19"/>
          <w:lang w:val="en-US" w:eastAsia="ja-JP"/>
        </w:rPr>
      </w:pPr>
    </w:p>
    <w:p w14:paraId="1C04C931" w14:textId="3F768CE6" w:rsidR="00F277CB" w:rsidRPr="00B30528" w:rsidRDefault="00472731" w:rsidP="003A229F">
      <w:pPr>
        <w:spacing w:line="271" w:lineRule="auto"/>
        <w:rPr>
          <w:rFonts w:ascii="Microsoft YaHei" w:eastAsia="Microsoft YaHei" w:hAnsi="Microsoft YaHei" w:cs="Arial" w:hint="eastAsia"/>
          <w:b/>
          <w:color w:val="333333"/>
          <w:szCs w:val="19"/>
          <w:lang w:val="fr-BE" w:eastAsia="ja-JP"/>
        </w:rPr>
      </w:pPr>
      <w:r w:rsidRPr="00B30528">
        <w:rPr>
          <w:rFonts w:ascii="Microsoft YaHei" w:eastAsia="Microsoft YaHei" w:hAnsi="Microsoft YaHei" w:cs="Arial" w:hint="eastAsia"/>
          <w:b/>
          <w:color w:val="333333"/>
          <w:szCs w:val="19"/>
          <w:lang w:eastAsia="ja-JP"/>
        </w:rPr>
        <w:t>プレスコンタクト</w:t>
      </w:r>
      <w:r w:rsidRPr="00B30528">
        <w:rPr>
          <w:rFonts w:ascii="Microsoft YaHei" w:eastAsia="Microsoft YaHei" w:hAnsi="Microsoft YaHei" w:cs="Arial" w:hint="eastAsia"/>
          <w:b/>
          <w:color w:val="333333"/>
          <w:szCs w:val="19"/>
          <w:lang w:val="fr-BE" w:eastAsia="ja-JP"/>
        </w:rPr>
        <w:t>：</w:t>
      </w:r>
    </w:p>
    <w:p w14:paraId="7EA7173E" w14:textId="77777777" w:rsidR="00664A6D" w:rsidRPr="00B30528" w:rsidRDefault="00664A6D" w:rsidP="003A229F">
      <w:pPr>
        <w:spacing w:line="266" w:lineRule="auto"/>
        <w:rPr>
          <w:rFonts w:ascii="Microsoft YaHei" w:eastAsia="Microsoft YaHei" w:hAnsi="Microsoft YaHei" w:cs="Arial" w:hint="eastAsia"/>
          <w:szCs w:val="19"/>
          <w:lang w:val="fr-BE" w:eastAsia="ja-JP"/>
        </w:rPr>
      </w:pPr>
      <w:r w:rsidRPr="00B30528">
        <w:rPr>
          <w:rFonts w:ascii="Microsoft YaHei" w:eastAsia="Microsoft YaHei" w:hAnsi="Microsoft YaHei" w:cs="Arial" w:hint="eastAsia"/>
          <w:szCs w:val="19"/>
          <w:lang w:val="fr-BE" w:eastAsia="ja-JP"/>
        </w:rPr>
        <w:t>Gudrun Alex</w:t>
      </w:r>
      <w:r w:rsidRPr="00B30528">
        <w:rPr>
          <w:rFonts w:ascii="Microsoft YaHei" w:eastAsia="Microsoft YaHei" w:hAnsi="Microsoft YaHei" w:cs="Arial" w:hint="eastAsia"/>
          <w:szCs w:val="19"/>
          <w:lang w:val="fr-BE" w:eastAsia="ja-JP"/>
        </w:rPr>
        <w:br/>
        <w:t xml:space="preserve">BOBST PR </w:t>
      </w:r>
      <w:proofErr w:type="spellStart"/>
      <w:r w:rsidRPr="00B30528">
        <w:rPr>
          <w:rFonts w:ascii="Microsoft YaHei" w:eastAsia="Microsoft YaHei" w:hAnsi="Microsoft YaHei" w:cs="Arial" w:hint="eastAsia"/>
          <w:szCs w:val="19"/>
          <w:lang w:val="fr-BE" w:eastAsia="ja-JP"/>
        </w:rPr>
        <w:t>Representative</w:t>
      </w:r>
      <w:proofErr w:type="spellEnd"/>
    </w:p>
    <w:p w14:paraId="6B33996F" w14:textId="77777777" w:rsidR="00664A6D" w:rsidRPr="00B30528" w:rsidRDefault="00664A6D" w:rsidP="003A229F">
      <w:pPr>
        <w:rPr>
          <w:rFonts w:ascii="Microsoft YaHei" w:eastAsia="Microsoft YaHei" w:hAnsi="Microsoft YaHei" w:cs="Arial" w:hint="eastAsia"/>
          <w:szCs w:val="19"/>
          <w:lang w:val="fr-BE" w:eastAsia="ja-JP"/>
        </w:rPr>
      </w:pPr>
      <w:r w:rsidRPr="00B30528">
        <w:rPr>
          <w:rFonts w:ascii="Microsoft YaHei" w:eastAsia="Microsoft YaHei" w:hAnsi="Microsoft YaHei" w:cs="Arial" w:hint="eastAsia"/>
          <w:szCs w:val="19"/>
          <w:lang w:val="fr-BE" w:eastAsia="ja-JP"/>
        </w:rPr>
        <w:t xml:space="preserve">Tel.: +49 211 58 58 66 66 </w:t>
      </w:r>
    </w:p>
    <w:p w14:paraId="35923787" w14:textId="77777777" w:rsidR="00664A6D" w:rsidRPr="00B30528" w:rsidRDefault="00664A6D" w:rsidP="003A229F">
      <w:pPr>
        <w:rPr>
          <w:rFonts w:ascii="Microsoft YaHei" w:eastAsia="Microsoft YaHei" w:hAnsi="Microsoft YaHei" w:cs="Arial" w:hint="eastAsia"/>
          <w:szCs w:val="19"/>
          <w:lang w:val="fr-BE" w:eastAsia="ja-JP"/>
        </w:rPr>
      </w:pPr>
      <w:r w:rsidRPr="00B30528">
        <w:rPr>
          <w:rFonts w:ascii="Microsoft YaHei" w:eastAsia="Microsoft YaHei" w:hAnsi="Microsoft YaHei" w:cs="Arial" w:hint="eastAsia"/>
          <w:szCs w:val="19"/>
          <w:lang w:val="fr-BE" w:eastAsia="ja-JP"/>
        </w:rPr>
        <w:t>Mobile: +49 160 48 41 439</w:t>
      </w:r>
    </w:p>
    <w:p w14:paraId="387DB733" w14:textId="0D52670B" w:rsidR="000D4D6A" w:rsidRDefault="003A229F" w:rsidP="003A229F">
      <w:pPr>
        <w:rPr>
          <w:rFonts w:ascii="Microsoft YaHei" w:eastAsia="Microsoft YaHei" w:hAnsi="Microsoft YaHei" w:cs="Arial" w:hint="eastAsia"/>
          <w:szCs w:val="19"/>
          <w:lang w:val="fr-BE" w:eastAsia="ja-JP"/>
        </w:rPr>
      </w:pPr>
      <w:r w:rsidRPr="00B30528">
        <w:rPr>
          <w:rFonts w:ascii="Microsoft YaHei" w:eastAsia="Microsoft YaHei" w:hAnsi="Microsoft YaHei" w:cs="Arial" w:hint="eastAsia"/>
          <w:szCs w:val="19"/>
          <w:lang w:val="fr-BE" w:eastAsia="ja-JP"/>
        </w:rPr>
        <w:t xml:space="preserve">Email: </w:t>
      </w:r>
      <w:hyperlink r:id="rId7" w:history="1">
        <w:r w:rsidRPr="00B30528">
          <w:rPr>
            <w:rFonts w:ascii="Microsoft YaHei" w:eastAsia="Microsoft YaHei" w:hAnsi="Microsoft YaHei" w:cstheme="majorHAnsi" w:hint="eastAsia"/>
            <w:color w:val="0000FF"/>
            <w:szCs w:val="19"/>
            <w:u w:val="single"/>
            <w:lang w:val="fr-BE" w:eastAsia="ja-JP"/>
          </w:rPr>
          <w:t>gudrun.alex@bobst.com</w:t>
        </w:r>
      </w:hyperlink>
    </w:p>
    <w:p w14:paraId="30AB95D7" w14:textId="77777777" w:rsidR="000D4D6A" w:rsidRPr="00B30528" w:rsidRDefault="000D4D6A" w:rsidP="003A229F">
      <w:pPr>
        <w:rPr>
          <w:rFonts w:ascii="Microsoft YaHei" w:eastAsia="Microsoft YaHei" w:hAnsi="Microsoft YaHei" w:cs="Arial" w:hint="eastAsia"/>
          <w:szCs w:val="19"/>
          <w:lang w:val="fr-BE" w:eastAsia="ja-JP"/>
        </w:rPr>
      </w:pPr>
    </w:p>
    <w:p w14:paraId="61E3585A" w14:textId="2D47B650" w:rsidR="00F277CB" w:rsidRPr="00586786" w:rsidRDefault="003A229F" w:rsidP="003A229F">
      <w:pPr>
        <w:spacing w:line="240" w:lineRule="auto"/>
        <w:rPr>
          <w:rFonts w:ascii="Microsoft YaHei" w:eastAsia="Microsoft YaHei" w:hAnsi="Microsoft YaHei" w:cs="Arial" w:hint="eastAsia"/>
          <w:b/>
          <w:bCs/>
          <w:szCs w:val="19"/>
          <w:lang w:val="en-US" w:eastAsia="ja-JP" w:bidi="th-TH"/>
        </w:rPr>
      </w:pPr>
      <w:r w:rsidRPr="00B30528">
        <w:rPr>
          <w:rFonts w:ascii="Microsoft YaHei" w:eastAsia="Microsoft YaHei" w:hAnsi="Microsoft YaHei" w:cs="Arial" w:hint="eastAsia"/>
          <w:b/>
          <w:bCs/>
          <w:szCs w:val="19"/>
          <w:lang w:val="en-US" w:eastAsia="ja-JP" w:bidi="th-TH"/>
        </w:rPr>
        <w:t>Follow us:</w:t>
      </w:r>
    </w:p>
    <w:p w14:paraId="69C16755" w14:textId="77777777" w:rsidR="00F03D8B" w:rsidRPr="00B30528" w:rsidRDefault="003A229F" w:rsidP="00B30528">
      <w:pPr>
        <w:spacing w:line="240" w:lineRule="auto"/>
        <w:rPr>
          <w:rFonts w:ascii="Microsoft YaHei" w:eastAsia="Microsoft YaHei" w:hAnsi="Microsoft YaHei" w:cstheme="majorHAnsi" w:hint="eastAsia"/>
          <w:color w:val="265896"/>
          <w:szCs w:val="19"/>
          <w:u w:val="single"/>
          <w:lang w:eastAsia="ja-JP" w:bidi="th-TH"/>
        </w:rPr>
      </w:pPr>
      <w:r w:rsidRPr="00B30528">
        <w:rPr>
          <w:rFonts w:ascii="Microsoft YaHei" w:eastAsia="Microsoft YaHei" w:hAnsi="Microsoft YaHei" w:cstheme="majorHAnsi" w:hint="eastAsia"/>
          <w:szCs w:val="19"/>
          <w:lang w:val="en-US" w:eastAsia="ja-JP" w:bidi="th-TH"/>
        </w:rPr>
        <w:t xml:space="preserve">Facebook: </w:t>
      </w:r>
      <w:hyperlink r:id="rId8" w:history="1">
        <w:r w:rsidRPr="00B30528">
          <w:rPr>
            <w:rFonts w:ascii="Microsoft YaHei" w:eastAsia="Microsoft YaHei" w:hAnsi="Microsoft YaHei" w:cstheme="majorHAnsi" w:hint="eastAsia"/>
            <w:color w:val="0000FF"/>
            <w:szCs w:val="19"/>
            <w:u w:val="single"/>
            <w:lang w:eastAsia="ja-JP"/>
          </w:rPr>
          <w:t>www.bobst.com/facebook</w:t>
        </w:r>
      </w:hyperlink>
      <w:r w:rsidRPr="00B30528">
        <w:rPr>
          <w:rFonts w:ascii="Microsoft YaHei" w:eastAsia="Microsoft YaHei" w:hAnsi="Microsoft YaHei" w:cstheme="majorHAnsi" w:hint="eastAsia"/>
          <w:szCs w:val="19"/>
          <w:lang w:val="en-US" w:eastAsia="ja-JP" w:bidi="th-TH"/>
        </w:rPr>
        <w:t xml:space="preserve"> </w:t>
      </w:r>
      <w:r w:rsidRPr="00B30528">
        <w:rPr>
          <w:rFonts w:ascii="Microsoft YaHei" w:eastAsia="Microsoft YaHei" w:hAnsi="Microsoft YaHei" w:cstheme="majorHAnsi" w:hint="eastAsia"/>
          <w:szCs w:val="19"/>
          <w:lang w:val="en-US" w:eastAsia="ja-JP" w:bidi="th-TH"/>
        </w:rPr>
        <w:br/>
        <w:t xml:space="preserve">LinkedIn: </w:t>
      </w:r>
      <w:hyperlink r:id="rId9" w:history="1">
        <w:r w:rsidRPr="00B30528">
          <w:rPr>
            <w:rFonts w:ascii="Microsoft YaHei" w:eastAsia="Microsoft YaHei" w:hAnsi="Microsoft YaHei" w:cstheme="majorHAnsi" w:hint="eastAsia"/>
            <w:color w:val="0000FF"/>
            <w:szCs w:val="19"/>
            <w:u w:val="single"/>
            <w:lang w:eastAsia="ja-JP"/>
          </w:rPr>
          <w:t>www.bobst.com/linkedin</w:t>
        </w:r>
      </w:hyperlink>
      <w:r w:rsidRPr="00B30528">
        <w:rPr>
          <w:rFonts w:ascii="Microsoft YaHei" w:eastAsia="Microsoft YaHei" w:hAnsi="Microsoft YaHei" w:cstheme="majorHAnsi" w:hint="eastAsia"/>
          <w:szCs w:val="19"/>
          <w:lang w:val="en-US" w:eastAsia="ja-JP" w:bidi="th-TH"/>
        </w:rPr>
        <w:t xml:space="preserve"> </w:t>
      </w:r>
      <w:r w:rsidRPr="00B30528">
        <w:rPr>
          <w:rFonts w:ascii="Microsoft YaHei" w:eastAsia="Microsoft YaHei" w:hAnsi="Microsoft YaHei" w:cstheme="majorHAnsi" w:hint="eastAsia"/>
          <w:szCs w:val="19"/>
          <w:lang w:val="en-US" w:eastAsia="ja-JP" w:bidi="th-TH"/>
        </w:rPr>
        <w:br/>
        <w:t xml:space="preserve">Twitter: @BOBSTglobal </w:t>
      </w:r>
      <w:hyperlink r:id="rId10" w:history="1">
        <w:r w:rsidRPr="00B30528">
          <w:rPr>
            <w:rFonts w:ascii="Microsoft YaHei" w:eastAsia="Microsoft YaHei" w:hAnsi="Microsoft YaHei" w:cstheme="majorHAnsi" w:hint="eastAsia"/>
            <w:color w:val="0000FF"/>
            <w:szCs w:val="19"/>
            <w:u w:val="single"/>
            <w:lang w:eastAsia="ja-JP"/>
          </w:rPr>
          <w:t>www.bobst.com/twitter</w:t>
        </w:r>
      </w:hyperlink>
      <w:r w:rsidRPr="00B30528">
        <w:rPr>
          <w:rFonts w:ascii="Microsoft YaHei" w:eastAsia="Microsoft YaHei" w:hAnsi="Microsoft YaHei" w:cstheme="majorHAnsi" w:hint="eastAsia"/>
          <w:color w:val="0000FF"/>
          <w:szCs w:val="19"/>
          <w:u w:val="single"/>
          <w:lang w:eastAsia="ja-JP"/>
        </w:rPr>
        <w:t xml:space="preserve"> </w:t>
      </w:r>
      <w:r w:rsidRPr="00B30528">
        <w:rPr>
          <w:rFonts w:ascii="Microsoft YaHei" w:eastAsia="Microsoft YaHei" w:hAnsi="Microsoft YaHei" w:cstheme="majorHAnsi" w:hint="eastAsia"/>
          <w:szCs w:val="19"/>
          <w:lang w:val="en-US" w:eastAsia="ja-JP" w:bidi="th-TH"/>
        </w:rPr>
        <w:br/>
        <w:t xml:space="preserve">YouTube: </w:t>
      </w:r>
      <w:hyperlink r:id="rId11" w:history="1">
        <w:r w:rsidRPr="00B30528">
          <w:rPr>
            <w:rFonts w:ascii="Microsoft YaHei" w:eastAsia="Microsoft YaHei" w:hAnsi="Microsoft YaHei" w:cstheme="majorHAnsi" w:hint="eastAsia"/>
            <w:color w:val="0000FF"/>
            <w:szCs w:val="19"/>
            <w:u w:val="single"/>
            <w:lang w:eastAsia="ja-JP"/>
          </w:rPr>
          <w:t>www.bobst.com/youtube</w:t>
        </w:r>
      </w:hyperlink>
    </w:p>
    <w:sectPr w:rsidR="00F03D8B" w:rsidRPr="00B30528" w:rsidSect="00452538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F33F" w14:textId="77777777" w:rsidR="001A4232" w:rsidRDefault="001A4232" w:rsidP="00BB5BE9">
      <w:pPr>
        <w:spacing w:line="240" w:lineRule="auto"/>
      </w:pPr>
      <w:r>
        <w:separator/>
      </w:r>
    </w:p>
  </w:endnote>
  <w:endnote w:type="continuationSeparator" w:id="0">
    <w:p w14:paraId="47EF9216" w14:textId="77777777" w:rsidR="001A4232" w:rsidRDefault="001A4232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Cambria"/>
    <w:charset w:val="00"/>
    <w:family w:val="swiss"/>
    <w:pitch w:val="variable"/>
    <w:sig w:usb0="E00002FF" w:usb1="4000201F" w:usb2="08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EEEB" w14:textId="7D9D0A13" w:rsidR="00546823" w:rsidRPr="00452538" w:rsidRDefault="00452538" w:rsidP="00F36CF1">
    <w:pPr>
      <w:pStyle w:val="Footer"/>
      <w:rPr>
        <w:noProof/>
        <w:lang w:val="en-GB" w:eastAsia="ja-JP"/>
      </w:rPr>
    </w:pPr>
    <w:r w:rsidRPr="00452538">
      <w:rPr>
        <w:rFonts w:hint="eastAsia"/>
        <w:noProof/>
        <w:lang w:eastAsia="ja-JP"/>
      </w:rPr>
      <w:t>プレスリリース</w:t>
    </w:r>
    <w:r w:rsidRPr="00452538">
      <w:rPr>
        <w:rFonts w:hint="eastAsia"/>
        <w:noProof/>
        <w:lang w:val="en-GB" w:eastAsia="ja-JP"/>
      </w:rPr>
      <w:t xml:space="preserve"> </w:t>
    </w:r>
    <w:r w:rsidR="00546823" w:rsidRPr="00452538">
      <w:rPr>
        <w:lang w:val="en-GB" w:eastAsia="ja-JP"/>
      </w:rPr>
      <w:t xml:space="preserve">| </w:t>
    </w:r>
    <w:sdt>
      <w:sdtPr>
        <w:tag w:val="T_Page"/>
        <w:id w:val="138242416"/>
      </w:sdtPr>
      <w:sdtEndPr/>
      <w:sdtContent>
        <w:r w:rsidR="005D389A" w:rsidRPr="00452538">
          <w:rPr>
            <w:lang w:val="en-GB" w:eastAsia="ja-JP"/>
          </w:rPr>
          <w:t>Page</w:t>
        </w:r>
      </w:sdtContent>
    </w:sdt>
    <w:r w:rsidR="00546823" w:rsidRPr="00452538">
      <w:rPr>
        <w:lang w:val="en-GB" w:eastAsia="ja-JP"/>
      </w:rPr>
      <w:t xml:space="preserve"> </w:t>
    </w:r>
    <w:r w:rsidR="00546823" w:rsidRPr="005D389A">
      <w:fldChar w:fldCharType="begin"/>
    </w:r>
    <w:r w:rsidR="00546823" w:rsidRPr="00452538">
      <w:rPr>
        <w:lang w:val="en-GB" w:eastAsia="ja-JP"/>
      </w:rPr>
      <w:instrText xml:space="preserve"> PAGE   \* MERGEFORMAT </w:instrText>
    </w:r>
    <w:r w:rsidR="00546823" w:rsidRPr="005D389A">
      <w:fldChar w:fldCharType="separate"/>
    </w:r>
    <w:r w:rsidR="006D6C08">
      <w:rPr>
        <w:noProof/>
        <w:lang w:val="en-GB" w:eastAsia="ja-JP"/>
      </w:rPr>
      <w:t>2</w:t>
    </w:r>
    <w:r w:rsidR="00546823" w:rsidRPr="005D389A">
      <w:fldChar w:fldCharType="end"/>
    </w:r>
    <w:r w:rsidR="00546823" w:rsidRPr="00452538">
      <w:rPr>
        <w:lang w:val="en-GB" w:eastAsia="ja-JP"/>
      </w:rPr>
      <w:t xml:space="preserve"> </w:t>
    </w:r>
    <w:sdt>
      <w:sdtPr>
        <w:tag w:val="T_PageOf"/>
        <w:id w:val="-2122363321"/>
      </w:sdtPr>
      <w:sdtEndPr/>
      <w:sdtContent>
        <w:r w:rsidR="005D389A" w:rsidRPr="00452538">
          <w:rPr>
            <w:lang w:val="en-GB" w:eastAsia="ja-JP"/>
          </w:rPr>
          <w:t>of</w:t>
        </w:r>
      </w:sdtContent>
    </w:sdt>
    <w:r w:rsidR="00546823" w:rsidRPr="00452538">
      <w:rPr>
        <w:lang w:val="en-GB" w:eastAsia="ja-JP"/>
      </w:rPr>
      <w:t xml:space="preserve"> </w:t>
    </w:r>
    <w:r w:rsidR="0071340B">
      <w:rPr>
        <w:noProof/>
      </w:rPr>
      <w:fldChar w:fldCharType="begin"/>
    </w:r>
    <w:r w:rsidR="0071340B" w:rsidRPr="00452538">
      <w:rPr>
        <w:noProof/>
        <w:lang w:val="en-GB" w:eastAsia="ja-JP"/>
      </w:rPr>
      <w:instrText xml:space="preserve"> NUMPAGES   \* MERGEFORMAT </w:instrText>
    </w:r>
    <w:r w:rsidR="0071340B">
      <w:rPr>
        <w:noProof/>
      </w:rPr>
      <w:fldChar w:fldCharType="separate"/>
    </w:r>
    <w:r w:rsidR="006D6C08">
      <w:rPr>
        <w:noProof/>
        <w:lang w:val="en-GB" w:eastAsia="ja-JP"/>
      </w:rPr>
      <w:t>2</w:t>
    </w:r>
    <w:r w:rsidR="0071340B">
      <w:rPr>
        <w:noProof/>
      </w:rPr>
      <w:fldChar w:fldCharType="end"/>
    </w:r>
  </w:p>
  <w:p w14:paraId="62C7ABEC" w14:textId="77777777" w:rsidR="005E53AA" w:rsidRPr="00452538" w:rsidRDefault="005E53AA" w:rsidP="00F36CF1">
    <w:pPr>
      <w:pStyle w:val="Footer"/>
      <w:rPr>
        <w:noProof/>
        <w:lang w:val="en-GB" w:eastAsia="ja-JP"/>
      </w:rPr>
    </w:pPr>
  </w:p>
  <w:p w14:paraId="211B74FF" w14:textId="77777777" w:rsidR="005E53AA" w:rsidRPr="00452538" w:rsidRDefault="005E53AA" w:rsidP="00F36CF1">
    <w:pPr>
      <w:pStyle w:val="Footer"/>
      <w:rPr>
        <w:noProof/>
        <w:lang w:val="en-GB" w:eastAsia="ja-JP"/>
      </w:rPr>
    </w:pPr>
  </w:p>
  <w:sdt>
    <w:sdtPr>
      <w:rPr>
        <w:rFonts w:cs="Tahoma"/>
        <w:b/>
        <w:sz w:val="15"/>
        <w:szCs w:val="22"/>
        <w:lang w:val="fr-CH" w:eastAsia="zh-CN"/>
      </w:rPr>
      <w:tag w:val="E_Company"/>
      <w:id w:val="1614861360"/>
    </w:sdtPr>
    <w:sdtEndPr/>
    <w:sdtContent>
      <w:p w14:paraId="35642292" w14:textId="77777777" w:rsidR="005E53AA" w:rsidRPr="00A81820" w:rsidRDefault="005E53AA" w:rsidP="005E53AA">
        <w:pPr>
          <w:spacing w:line="200" w:lineRule="atLeast"/>
          <w:rPr>
            <w:rFonts w:cs="Tahoma"/>
            <w:b/>
            <w:sz w:val="15"/>
            <w:szCs w:val="22"/>
            <w:lang w:eastAsia="zh-CN"/>
          </w:rPr>
        </w:pPr>
        <w:r w:rsidRPr="00A81820">
          <w:rPr>
            <w:rFonts w:cs="Tahoma"/>
            <w:b/>
            <w:sz w:val="15"/>
            <w:szCs w:val="22"/>
            <w:lang w:eastAsia="zh-CN"/>
          </w:rPr>
          <w:t>Bobst Mex SA</w:t>
        </w:r>
      </w:p>
    </w:sdtContent>
  </w:sdt>
  <w:sdt>
    <w:sdtPr>
      <w:rPr>
        <w:rFonts w:cs="Tahoma"/>
        <w:sz w:val="14"/>
        <w:szCs w:val="22"/>
        <w:lang w:val="fr-CH" w:eastAsia="zh-CN"/>
      </w:rPr>
      <w:tag w:val="M_LegalFooter"/>
      <w:id w:val="-1510678994"/>
    </w:sdtPr>
    <w:sdtEndPr/>
    <w:sdtContent>
      <w:p w14:paraId="5D8EFCE6" w14:textId="77777777" w:rsidR="005E53AA" w:rsidRPr="00A81820" w:rsidRDefault="005E53AA" w:rsidP="005E53AA">
        <w:pPr>
          <w:spacing w:line="200" w:lineRule="atLeast"/>
          <w:rPr>
            <w:rFonts w:cs="Tahoma"/>
            <w:sz w:val="14"/>
            <w:szCs w:val="22"/>
            <w:lang w:eastAsia="zh-CN"/>
          </w:rPr>
        </w:pPr>
        <w:r w:rsidRPr="00A81820">
          <w:rPr>
            <w:rFonts w:cs="Tahoma"/>
            <w:sz w:val="14"/>
            <w:szCs w:val="22"/>
            <w:lang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AB4F" w14:textId="77777777" w:rsidR="00F36CF1" w:rsidRPr="00452538" w:rsidRDefault="00452538" w:rsidP="00F36CF1">
    <w:pPr>
      <w:pStyle w:val="LegalFooter"/>
      <w:rPr>
        <w:lang w:val="en-GB"/>
      </w:rPr>
    </w:pPr>
    <w:r w:rsidRPr="00452538">
      <w:rPr>
        <w:rFonts w:hint="eastAsia"/>
      </w:rPr>
      <w:t>プレスリリース</w:t>
    </w:r>
    <w:r w:rsidRPr="00452538">
      <w:rPr>
        <w:rFonts w:hint="eastAsia"/>
        <w:lang w:val="en-GB"/>
      </w:rPr>
      <w:t xml:space="preserve"> | [Publish Date]</w:t>
    </w:r>
    <w:r w:rsidR="00F36CF1" w:rsidRPr="00452538">
      <w:rPr>
        <w:lang w:val="en-GB"/>
      </w:rPr>
      <w:t xml:space="preserve"> | </w:t>
    </w:r>
    <w:sdt>
      <w:sdtPr>
        <w:tag w:val="T_Page"/>
        <w:id w:val="-988486650"/>
      </w:sdtPr>
      <w:sdtEndPr/>
      <w:sdtContent>
        <w:r w:rsidR="005D389A" w:rsidRPr="00452538">
          <w:rPr>
            <w:lang w:val="en-GB"/>
          </w:rPr>
          <w:t>Page</w:t>
        </w:r>
      </w:sdtContent>
    </w:sdt>
    <w:r w:rsidR="00F36CF1" w:rsidRPr="00452538">
      <w:rPr>
        <w:lang w:val="en-GB"/>
      </w:rPr>
      <w:t xml:space="preserve"> </w:t>
    </w:r>
    <w:r w:rsidR="00F36CF1" w:rsidRPr="005D389A">
      <w:fldChar w:fldCharType="begin"/>
    </w:r>
    <w:r w:rsidR="00F36CF1" w:rsidRPr="00452538">
      <w:rPr>
        <w:lang w:val="en-GB"/>
      </w:rPr>
      <w:instrText xml:space="preserve"> PAGE   \* MERGEFORMAT </w:instrText>
    </w:r>
    <w:r w:rsidR="00F36CF1" w:rsidRPr="005D389A">
      <w:fldChar w:fldCharType="separate"/>
    </w:r>
    <w:r>
      <w:rPr>
        <w:noProof/>
        <w:lang w:val="en-GB"/>
      </w:rPr>
      <w:t>1</w:t>
    </w:r>
    <w:r w:rsidR="00F36CF1" w:rsidRPr="005D389A">
      <w:fldChar w:fldCharType="end"/>
    </w:r>
    <w:r w:rsidR="00F36CF1" w:rsidRPr="00452538">
      <w:rPr>
        <w:lang w:val="en-GB"/>
      </w:rPr>
      <w:t xml:space="preserve"> </w:t>
    </w:r>
    <w:sdt>
      <w:sdtPr>
        <w:tag w:val="T_PageOf"/>
        <w:id w:val="780156388"/>
      </w:sdtPr>
      <w:sdtEndPr/>
      <w:sdtContent>
        <w:r w:rsidR="005D389A" w:rsidRPr="00452538">
          <w:rPr>
            <w:lang w:val="en-GB"/>
          </w:rPr>
          <w:t>of</w:t>
        </w:r>
      </w:sdtContent>
    </w:sdt>
    <w:r w:rsidR="00F36CF1" w:rsidRPr="00452538">
      <w:rPr>
        <w:lang w:val="en-GB"/>
      </w:rPr>
      <w:t xml:space="preserve"> </w:t>
    </w:r>
    <w:r w:rsidR="00172F28">
      <w:fldChar w:fldCharType="begin"/>
    </w:r>
    <w:r w:rsidR="00172F28" w:rsidRPr="00452538">
      <w:rPr>
        <w:lang w:val="en-GB"/>
      </w:rPr>
      <w:instrText xml:space="preserve"> NUMPAGES   \* MERGEFORMAT </w:instrText>
    </w:r>
    <w:r w:rsidR="00172F28">
      <w:fldChar w:fldCharType="separate"/>
    </w:r>
    <w:r>
      <w:rPr>
        <w:noProof/>
        <w:lang w:val="en-GB"/>
      </w:rPr>
      <w:t>2</w:t>
    </w:r>
    <w:r w:rsidR="00172F28">
      <w:rPr>
        <w:noProof/>
      </w:rPr>
      <w:fldChar w:fldCharType="end"/>
    </w:r>
  </w:p>
  <w:sdt>
    <w:sdtPr>
      <w:tag w:val="E_Company"/>
      <w:id w:val="-1668628466"/>
    </w:sdtPr>
    <w:sdtEndPr/>
    <w:sdtContent>
      <w:p w14:paraId="6041E33E" w14:textId="77777777" w:rsidR="00F36CF1" w:rsidRPr="00452538" w:rsidRDefault="005D389A" w:rsidP="00F36CF1">
        <w:pPr>
          <w:pStyle w:val="LegalFooter1"/>
          <w:rPr>
            <w:lang w:val="en-GB"/>
          </w:rPr>
        </w:pPr>
        <w:r w:rsidRPr="00452538">
          <w:rPr>
            <w:lang w:val="en-GB"/>
          </w:rPr>
          <w:t>Bobst Mex SA</w:t>
        </w:r>
      </w:p>
    </w:sdtContent>
  </w:sdt>
  <w:sdt>
    <w:sdtPr>
      <w:tag w:val="M_LegalFooter"/>
      <w:id w:val="1015812626"/>
    </w:sdtPr>
    <w:sdtEndPr/>
    <w:sdtContent>
      <w:p w14:paraId="5AB7B0F1" w14:textId="77777777" w:rsidR="00F36CF1" w:rsidRPr="00452538" w:rsidRDefault="005D389A" w:rsidP="00F36CF1">
        <w:pPr>
          <w:pStyle w:val="LegalFooter2"/>
          <w:rPr>
            <w:lang w:val="en-GB"/>
          </w:rPr>
        </w:pPr>
        <w:r w:rsidRPr="00452538">
          <w:rPr>
            <w:lang w:val="en-GB"/>
          </w:rPr>
          <w:t>PO Box | CH-1001 Lausanne | Switzerland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B198A" w14:textId="77777777" w:rsidR="001A4232" w:rsidRDefault="001A4232" w:rsidP="00BB5BE9">
      <w:pPr>
        <w:spacing w:line="240" w:lineRule="auto"/>
      </w:pPr>
      <w:r>
        <w:separator/>
      </w:r>
    </w:p>
  </w:footnote>
  <w:footnote w:type="continuationSeparator" w:id="0">
    <w:p w14:paraId="0EF48EE8" w14:textId="77777777" w:rsidR="001A4232" w:rsidRDefault="001A4232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E61A" w14:textId="77777777" w:rsidR="00BB5BE9" w:rsidRPr="005D389A" w:rsidRDefault="001A4232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2CA526D1" wp14:editId="56CEDAE5">
              <wp:extent cx="1476000" cy="224294"/>
              <wp:effectExtent l="0" t="0" r="0" b="444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B186" w14:textId="77777777" w:rsidR="00F36CF1" w:rsidRPr="005D389A" w:rsidRDefault="001A4232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58B05B28" wp14:editId="00A5F0D1">
              <wp:extent cx="1476000" cy="224294"/>
              <wp:effectExtent l="0" t="0" r="0" b="4445"/>
              <wp:docPr id="4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BE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ru-RU" w:vendorID="64" w:dllVersion="0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8C"/>
    <w:rsid w:val="00043F57"/>
    <w:rsid w:val="000710E3"/>
    <w:rsid w:val="000B4DE2"/>
    <w:rsid w:val="000C4F23"/>
    <w:rsid w:val="000D4D6A"/>
    <w:rsid w:val="00162F04"/>
    <w:rsid w:val="00165731"/>
    <w:rsid w:val="00172F28"/>
    <w:rsid w:val="001839DF"/>
    <w:rsid w:val="00185617"/>
    <w:rsid w:val="00193DE7"/>
    <w:rsid w:val="001A4232"/>
    <w:rsid w:val="0027064C"/>
    <w:rsid w:val="003800D4"/>
    <w:rsid w:val="003A15FB"/>
    <w:rsid w:val="003A229F"/>
    <w:rsid w:val="00452538"/>
    <w:rsid w:val="00472731"/>
    <w:rsid w:val="004C2489"/>
    <w:rsid w:val="004F3549"/>
    <w:rsid w:val="00546823"/>
    <w:rsid w:val="00586786"/>
    <w:rsid w:val="005A48B2"/>
    <w:rsid w:val="005B2F61"/>
    <w:rsid w:val="005D389A"/>
    <w:rsid w:val="005E53AA"/>
    <w:rsid w:val="00664A6D"/>
    <w:rsid w:val="006A45F6"/>
    <w:rsid w:val="006B375D"/>
    <w:rsid w:val="006D6C08"/>
    <w:rsid w:val="006F2F30"/>
    <w:rsid w:val="0071340B"/>
    <w:rsid w:val="008143CA"/>
    <w:rsid w:val="00891214"/>
    <w:rsid w:val="008B5EF4"/>
    <w:rsid w:val="008D353F"/>
    <w:rsid w:val="00961F87"/>
    <w:rsid w:val="009873BF"/>
    <w:rsid w:val="009A0420"/>
    <w:rsid w:val="009E2BD1"/>
    <w:rsid w:val="00A131E9"/>
    <w:rsid w:val="00A35FC4"/>
    <w:rsid w:val="00A81820"/>
    <w:rsid w:val="00AB644E"/>
    <w:rsid w:val="00B30528"/>
    <w:rsid w:val="00BB5BE9"/>
    <w:rsid w:val="00C20D00"/>
    <w:rsid w:val="00C54D1D"/>
    <w:rsid w:val="00CC7F9D"/>
    <w:rsid w:val="00D03400"/>
    <w:rsid w:val="00D30808"/>
    <w:rsid w:val="00D7058C"/>
    <w:rsid w:val="00D87885"/>
    <w:rsid w:val="00DB1DC2"/>
    <w:rsid w:val="00DE5DD2"/>
    <w:rsid w:val="00E110E9"/>
    <w:rsid w:val="00ED5F8F"/>
    <w:rsid w:val="00EE6DF0"/>
    <w:rsid w:val="00F03D8B"/>
    <w:rsid w:val="00F277CB"/>
    <w:rsid w:val="00F36CF1"/>
    <w:rsid w:val="00F67B3F"/>
    <w:rsid w:val="00F73D4E"/>
    <w:rsid w:val="00FA28A3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7177B1"/>
  <w15:docId w15:val="{912CD5D3-6697-427E-8A8C-A97AF327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8F"/>
    <w:pPr>
      <w:spacing w:after="0" w:line="260" w:lineRule="atLeast"/>
    </w:pPr>
    <w:rPr>
      <w:rFonts w:ascii="Arial" w:eastAsia="SimSu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twi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JP_56804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JP_56804</Template>
  <TotalTime>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4</cp:revision>
  <cp:lastPrinted>2015-02-06T09:00:00Z</cp:lastPrinted>
  <dcterms:created xsi:type="dcterms:W3CDTF">2021-06-28T11:58:00Z</dcterms:created>
  <dcterms:modified xsi:type="dcterms:W3CDTF">2021-06-29T11:42:00Z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