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B5DDF9" wp14:paraId="0C33292F" wp14:noSpellErr="1" wp14:textId="38C42137">
      <w:pPr>
        <w:jc w:val="center"/>
        <w:rPr>
          <w:rFonts w:ascii="Arial Nova" w:hAnsi="Arial Nova" w:eastAsia="Arial Nova" w:cs="Arial Nova"/>
          <w:b w:val="1"/>
          <w:bCs w:val="1"/>
          <w:sz w:val="20"/>
          <w:szCs w:val="20"/>
        </w:rPr>
      </w:pPr>
      <w:r w:rsidRPr="2B269C1A" w:rsidR="22F788A2">
        <w:rPr>
          <w:rFonts w:ascii="Arial Nova" w:hAnsi="Arial Nova" w:eastAsia="Arial Nova" w:cs="Arial Nova"/>
          <w:b w:val="1"/>
          <w:bCs w:val="1"/>
          <w:sz w:val="20"/>
          <w:szCs w:val="20"/>
        </w:rPr>
        <w:t>El arte del tiempo y la memoria</w:t>
      </w:r>
      <w:r w:rsidRPr="2B269C1A" w:rsidR="3F53440D">
        <w:rPr>
          <w:rFonts w:ascii="Arial Nova" w:hAnsi="Arial Nova" w:eastAsia="Arial Nova" w:cs="Arial Nova"/>
          <w:b w:val="1"/>
          <w:bCs w:val="1"/>
          <w:sz w:val="20"/>
          <w:szCs w:val="20"/>
        </w:rPr>
        <w:t>: Hikari</w:t>
      </w:r>
      <w:r w:rsidRPr="2B269C1A" w:rsidR="22F788A2">
        <w:rPr>
          <w:rFonts w:ascii="Arial Nova" w:hAnsi="Arial Nova" w:eastAsia="Arial Nova" w:cs="Arial Nova"/>
          <w:b w:val="1"/>
          <w:bCs w:val="1"/>
          <w:sz w:val="20"/>
          <w:szCs w:val="20"/>
        </w:rPr>
        <w:t xml:space="preserve"> | W </w:t>
      </w:r>
      <w:r w:rsidRPr="2B269C1A" w:rsidR="22F788A2">
        <w:rPr>
          <w:rFonts w:ascii="Arial Nova" w:hAnsi="Arial Nova" w:eastAsia="Arial Nova" w:cs="Arial Nova"/>
          <w:b w:val="1"/>
          <w:bCs w:val="1"/>
          <w:sz w:val="20"/>
          <w:szCs w:val="20"/>
        </w:rPr>
        <w:t>Mexico</w:t>
      </w:r>
      <w:r w:rsidRPr="2B269C1A" w:rsidR="22F788A2">
        <w:rPr>
          <w:rFonts w:ascii="Arial Nova" w:hAnsi="Arial Nova" w:eastAsia="Arial Nova" w:cs="Arial Nova"/>
          <w:b w:val="1"/>
          <w:bCs w:val="1"/>
          <w:sz w:val="20"/>
          <w:szCs w:val="20"/>
        </w:rPr>
        <w:t xml:space="preserve"> City y Toki </w:t>
      </w:r>
      <w:r w:rsidRPr="2B269C1A" w:rsidR="22F788A2">
        <w:rPr>
          <w:rFonts w:ascii="Arial Nova" w:hAnsi="Arial Nova" w:eastAsia="Arial Nova" w:cs="Arial Nova"/>
          <w:b w:val="1"/>
          <w:bCs w:val="1"/>
          <w:sz w:val="20"/>
          <w:szCs w:val="20"/>
        </w:rPr>
        <w:t>Whisky</w:t>
      </w:r>
      <w:r w:rsidRPr="2B269C1A" w:rsidR="22F788A2">
        <w:rPr>
          <w:rFonts w:ascii="Arial Nova" w:hAnsi="Arial Nova" w:eastAsia="Arial Nova" w:cs="Arial Nova"/>
          <w:b w:val="1"/>
          <w:bCs w:val="1"/>
          <w:sz w:val="20"/>
          <w:szCs w:val="20"/>
        </w:rPr>
        <w:t xml:space="preserve"> Japonés reinventan el Día de Muertos</w:t>
      </w:r>
    </w:p>
    <w:p w:rsidR="4A596B4D" w:rsidP="2B269C1A" w:rsidRDefault="4A596B4D" w14:paraId="11C4D7C9" w14:textId="3A661665">
      <w:pPr>
        <w:spacing w:before="240" w:beforeAutospacing="off" w:after="240" w:afterAutospacing="off"/>
        <w:jc w:val="center"/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</w:pP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>Una experiencia multisensorial que une arte, gastronomía y diseño para celebrar la vida desde una mirada contemporánea.</w:t>
      </w:r>
    </w:p>
    <w:p w:rsidR="4A596B4D" w:rsidP="2B269C1A" w:rsidRDefault="4A596B4D" w14:paraId="018D3987" w14:textId="394319D2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 xml:space="preserve">Ciudad de México, 29 de octubre de </w:t>
      </w: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>2025.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—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En el corazón de Polanco, W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Mexico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City y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Japonés presentan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Hikari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una colaboración representada en un altar que celebra el Día de Muertos desde una perspectiva contemporánea. Inspirada en el significado de </w:t>
      </w: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>Toki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—que en japonés representa el “tiempo”— y </w:t>
      </w: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>Hikari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, que significa “luz”, esta experiencia rinde homenaje a la vida y la memoria, conectando a México y Japón a través de un mismo puente simbólico: la búsqueda de la luz que trasciende el tiempo.</w:t>
      </w:r>
    </w:p>
    <w:p w:rsidR="4A596B4D" w:rsidP="2B269C1A" w:rsidRDefault="4A596B4D" w14:paraId="2EEB458E" w14:textId="30F60AA6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Así como el Día de Muertos honra a quienes nos precedieron con color, aroma y alegría, en Japón el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Obon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celebra el regreso simbólico de los espíritus al mundo terrenal. Ambas tradiciones, aunque distantes, convergen en su visión de la memoria como una forma de eternidad.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Hikari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nace de esa unión: de la luz que guía a los ancestros y del brillo interior que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celebra en cada instante compartido.</w:t>
      </w:r>
    </w:p>
    <w:p w:rsidR="4A596B4D" w:rsidP="2B269C1A" w:rsidRDefault="4A596B4D" w14:paraId="5AA43803" w14:textId="15635FA5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Un encuentro entre México y Japón</w:t>
      </w:r>
    </w:p>
    <w:p w:rsidR="4A596B4D" w:rsidP="2B269C1A" w:rsidRDefault="4A596B4D" w14:paraId="1C862E07" w14:textId="0BD96EED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En el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Living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Room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Bar del W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Mexico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City, los visitantes encontrarán una ofrenda contemporánea que fusiona los elementos icónicos del Día de Muertos —flores de cempasúchil, papel picado y velas— con la sobriedad, equilibrio y armonía del diseño japonés. La instalación invita a detenerse, respirar y contemplar, reflejando la esencia de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: encontrar belleza y significado en cada momento</w:t>
      </w:r>
    </w:p>
    <w:p w:rsidR="4A596B4D" w:rsidP="2B269C1A" w:rsidRDefault="4A596B4D" w14:paraId="06FD349F" w14:textId="75EC1C7B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Toki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: un hilo de luz que une culturas</w:t>
      </w:r>
    </w:p>
    <w:p w:rsidR="4A596B4D" w:rsidP="2B269C1A" w:rsidRDefault="4A596B4D" w14:paraId="15E57E51" w14:textId="7655CDB8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representa el nuevo estilo de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japonés: ligero, floral y versátil, pensado para disfrutarse en momentos cotidianos con naturalidad y elegancia. Su nombre evoca el paso del tiempo, invitando a vivir el presente con conciencia, a honrar el pasado y a recibir el futuro con apertura. En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Hikari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el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se convierte en un símbolo de conexión entre culturas, tradiciones y emociones.</w:t>
      </w:r>
    </w:p>
    <w:p w:rsidR="4A596B4D" w:rsidP="2B269C1A" w:rsidRDefault="4A596B4D" w14:paraId="526F36A7" w14:textId="0DB92296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Gastronomía y mixología: un puente entre dos mundos</w:t>
      </w:r>
    </w:p>
    <w:p w:rsidR="4A596B4D" w:rsidP="2B269C1A" w:rsidRDefault="4A596B4D" w14:paraId="06CE5F3A" w14:textId="5F7F86C8">
      <w:pPr>
        <w:pStyle w:val="Normal"/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La propuesta gastronómica, desarrollada por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Long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Story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Short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bajo la dirección de la chef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Ximena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Aréchaga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reinterpreta sabores tradicionales mexicanos a través de técnicas japonesas y una filosofía de respeto al producto. Cada platillo ha sido diseñado para dialogar con las notas suaves y especiadas de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, equilibrando precisión oriental y pasión mexicana. Destacan:</w:t>
      </w:r>
    </w:p>
    <w:p w:rsidR="4A596B4D" w:rsidP="2B269C1A" w:rsidRDefault="4A596B4D" w14:paraId="3A3FEB30" w14:textId="698E042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0"/>
          <w:szCs w:val="20"/>
          <w:lang w:val="es-ES"/>
        </w:rPr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Nigiri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de atún con emulsión de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yuzu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y chile serrano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, una sinfonía de frescura y acidez.</w:t>
      </w:r>
    </w:p>
    <w:p w:rsidR="4A596B4D" w:rsidP="2B269C1A" w:rsidRDefault="4A596B4D" w14:paraId="6E997C67" w14:textId="417FBF2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0"/>
          <w:szCs w:val="20"/>
          <w:lang w:val="es-ES"/>
        </w:rPr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Tamalito de maíz azul con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pork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belly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glaseado en miso y Toki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, un guiño a la Tierra fértil donde convergen tradición e innovación.</w:t>
      </w:r>
    </w:p>
    <w:p w:rsidR="4A596B4D" w:rsidP="2B269C1A" w:rsidRDefault="4A596B4D" w14:paraId="0C826204" w14:textId="7847A941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0"/>
          <w:szCs w:val="20"/>
          <w:lang w:val="es-ES"/>
        </w:rPr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Yakitori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de pato con mole negro y cebollín japonés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, un homenaje al fuego como elemento transformador.</w:t>
      </w:r>
    </w:p>
    <w:p w:rsidR="4A596B4D" w:rsidP="2B269C1A" w:rsidRDefault="4A596B4D" w14:paraId="5BCF1B62" w14:textId="464E039C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La experiencia se completa con una carta de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cocteles de autor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elaborados con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que evocan el fluir del tiempo y la luz que lo atraviesa. Desde el granizado de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yuzu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albahaca y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hasta el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Okuribi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 xml:space="preserve"> </w:t>
      </w: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Cempa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, que combina Toki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, jugo de mandarina, licor de cempasúchil y espuma de granada, cada creación celebra la unión de culturas desde una mirada contemporánea.</w:t>
      </w:r>
    </w:p>
    <w:p w:rsidR="4A596B4D" w:rsidP="2B269C1A" w:rsidRDefault="4A596B4D" w14:paraId="29512C75" w14:textId="0B9AE8C6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b w:val="1"/>
          <w:bCs w:val="1"/>
          <w:noProof w:val="0"/>
          <w:sz w:val="20"/>
          <w:szCs w:val="20"/>
          <w:lang w:val="es-ES"/>
        </w:rPr>
        <w:t>Un tributo contemporáneo a la vida</w:t>
      </w:r>
    </w:p>
    <w:p w:rsidR="4A596B4D" w:rsidP="2B269C1A" w:rsidRDefault="4A596B4D" w14:paraId="326B8D4D" w14:textId="55BFDD9B">
      <w:pPr>
        <w:spacing w:before="240" w:beforeAutospacing="off" w:after="240" w:afterAutospacing="off"/>
        <w:jc w:val="both"/>
      </w:pP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Durante esta temporada, el W 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Mexico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City se transforma en un espacio donde el arte, la gastronomía y el diseño se entrelazan para celebrar el legado de quienes nos precedieron. </w:t>
      </w: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 xml:space="preserve">El arte del tiempo y la memoria: </w:t>
      </w:r>
      <w:r w:rsidRPr="2B269C1A" w:rsidR="39870C8A">
        <w:rPr>
          <w:rFonts w:ascii="Arial Nova" w:hAnsi="Arial Nova" w:eastAsia="Arial Nova" w:cs="Arial Nova"/>
          <w:i w:val="1"/>
          <w:iCs w:val="1"/>
          <w:noProof w:val="0"/>
          <w:sz w:val="20"/>
          <w:szCs w:val="20"/>
          <w:lang w:val="es-ES"/>
        </w:rPr>
        <w:t>Hikari</w:t>
      </w:r>
      <w:r w:rsidRPr="2B269C1A" w:rsidR="39870C8A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invita a vivir el Día de Muertos como un puente entre dos culturas, donde cada detalle busca despertar los sentidos y las emociones.</w:t>
      </w:r>
    </w:p>
    <w:p xmlns:wp14="http://schemas.microsoft.com/office/word/2010/wordml" w:rsidP="2B269C1A" wp14:paraId="1778A70A" wp14:textId="7FDAFB43" wp14:noSpellErr="1">
      <w:pPr>
        <w:pStyle w:val="ListParagraph"/>
        <w:numPr>
          <w:ilvl w:val="0"/>
          <w:numId w:val="1"/>
        </w:numPr>
        <w:jc w:val="both"/>
        <w:rPr>
          <w:rFonts w:ascii="Arial Nova" w:hAnsi="Arial Nova" w:eastAsia="Arial Nova" w:cs="Arial Nova"/>
          <w:sz w:val="20"/>
          <w:szCs w:val="20"/>
        </w:rPr>
      </w:pPr>
      <w:r w:rsidRPr="2B269C1A" w:rsidR="0AA28133">
        <w:rPr>
          <w:rFonts w:ascii="Arial Nova" w:hAnsi="Arial Nova" w:eastAsia="Arial Nova" w:cs="Arial Nova"/>
          <w:sz w:val="20"/>
          <w:szCs w:val="20"/>
        </w:rPr>
        <w:t>Living</w:t>
      </w:r>
      <w:r w:rsidRPr="2B269C1A" w:rsidR="0AA28133">
        <w:rPr>
          <w:rFonts w:ascii="Arial Nova" w:hAnsi="Arial Nova" w:eastAsia="Arial Nova" w:cs="Arial Nova"/>
          <w:sz w:val="20"/>
          <w:szCs w:val="20"/>
        </w:rPr>
        <w:t xml:space="preserve"> </w:t>
      </w:r>
      <w:r w:rsidRPr="2B269C1A" w:rsidR="0AA28133">
        <w:rPr>
          <w:rFonts w:ascii="Arial Nova" w:hAnsi="Arial Nova" w:eastAsia="Arial Nova" w:cs="Arial Nova"/>
          <w:sz w:val="20"/>
          <w:szCs w:val="20"/>
        </w:rPr>
        <w:t>Room</w:t>
      </w:r>
      <w:r w:rsidRPr="2B269C1A" w:rsidR="0AA28133">
        <w:rPr>
          <w:rFonts w:ascii="Arial Nova" w:hAnsi="Arial Nova" w:eastAsia="Arial Nova" w:cs="Arial Nova"/>
          <w:sz w:val="20"/>
          <w:szCs w:val="20"/>
        </w:rPr>
        <w:t xml:space="preserve"> Bar, W </w:t>
      </w:r>
      <w:r w:rsidRPr="2B269C1A" w:rsidR="0AA28133">
        <w:rPr>
          <w:rFonts w:ascii="Arial Nova" w:hAnsi="Arial Nova" w:eastAsia="Arial Nova" w:cs="Arial Nova"/>
          <w:sz w:val="20"/>
          <w:szCs w:val="20"/>
        </w:rPr>
        <w:t>Mexico</w:t>
      </w:r>
      <w:r w:rsidRPr="2B269C1A" w:rsidR="0AA28133">
        <w:rPr>
          <w:rFonts w:ascii="Arial Nova" w:hAnsi="Arial Nova" w:eastAsia="Arial Nova" w:cs="Arial Nova"/>
          <w:sz w:val="20"/>
          <w:szCs w:val="20"/>
        </w:rPr>
        <w:t xml:space="preserve"> City- Campos Elíseos 252, Polanco, Ciudad de México</w:t>
      </w:r>
    </w:p>
    <w:p xmlns:wp14="http://schemas.microsoft.com/office/word/2010/wordml" w:rsidP="2B269C1A" wp14:paraId="1277303D" wp14:textId="060E0245" wp14:noSpellErr="1">
      <w:pPr>
        <w:pStyle w:val="ListParagraph"/>
        <w:numPr>
          <w:ilvl w:val="0"/>
          <w:numId w:val="1"/>
        </w:numPr>
        <w:jc w:val="both"/>
        <w:rPr>
          <w:rFonts w:ascii="Arial Nova" w:hAnsi="Arial Nova" w:eastAsia="Arial Nova" w:cs="Arial Nova"/>
          <w:sz w:val="20"/>
          <w:szCs w:val="20"/>
        </w:rPr>
      </w:pPr>
      <w:r w:rsidRPr="2B269C1A" w:rsidR="0AA28133">
        <w:rPr>
          <w:rFonts w:ascii="Arial Nova" w:hAnsi="Arial Nova" w:eastAsia="Arial Nova" w:cs="Arial Nova"/>
          <w:sz w:val="20"/>
          <w:szCs w:val="20"/>
        </w:rPr>
        <w:t xml:space="preserve">Del 28 de octubre al </w:t>
      </w:r>
      <w:r w:rsidRPr="2B269C1A" w:rsidR="34E55FEC">
        <w:rPr>
          <w:rFonts w:ascii="Arial Nova" w:hAnsi="Arial Nova" w:eastAsia="Arial Nova" w:cs="Arial Nova"/>
          <w:sz w:val="20"/>
          <w:szCs w:val="20"/>
        </w:rPr>
        <w:t>28</w:t>
      </w:r>
      <w:r w:rsidRPr="2B269C1A" w:rsidR="0AA28133">
        <w:rPr>
          <w:rFonts w:ascii="Arial Nova" w:hAnsi="Arial Nova" w:eastAsia="Arial Nova" w:cs="Arial Nova"/>
          <w:sz w:val="20"/>
          <w:szCs w:val="20"/>
        </w:rPr>
        <w:t xml:space="preserve"> de noviembre de 2025</w:t>
      </w:r>
    </w:p>
    <w:p w:rsidR="2EB6430C" w:rsidP="2B269C1A" w:rsidRDefault="2EB6430C" w14:paraId="2E141D19" w14:textId="1EAC7BB2">
      <w:pPr>
        <w:spacing w:before="240" w:beforeAutospacing="off" w:after="240" w:afterAutospacing="off"/>
        <w:jc w:val="both"/>
      </w:pPr>
      <w:r w:rsidRPr="2B269C1A" w:rsidR="2EB6430C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W </w:t>
      </w:r>
      <w:r w:rsidRPr="2B269C1A" w:rsidR="2EB6430C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Mexico</w:t>
      </w:r>
      <w:r w:rsidRPr="2B269C1A" w:rsidR="2EB6430C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City y Toki </w:t>
      </w:r>
      <w:r w:rsidRPr="2B269C1A" w:rsidR="2EB6430C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>Whisky</w:t>
      </w:r>
      <w:r w:rsidRPr="2B269C1A" w:rsidR="2EB6430C">
        <w:rPr>
          <w:rFonts w:ascii="Arial Nova" w:hAnsi="Arial Nova" w:eastAsia="Arial Nova" w:cs="Arial Nova"/>
          <w:noProof w:val="0"/>
          <w:sz w:val="20"/>
          <w:szCs w:val="20"/>
          <w:lang w:val="es-ES"/>
        </w:rPr>
        <w:t xml:space="preserve"> Japonés celebran el poder del diseño, la hospitalidad y la cultura para trascender fronteras, recordándonos que el tiempo, la luz y la memoria siempre encuentran formas de reencontrarse.</w:t>
      </w:r>
    </w:p>
    <w:p xmlns:wp14="http://schemas.microsoft.com/office/word/2010/wordml" w:rsidP="2B269C1A" wp14:paraId="3E5A24FD" wp14:textId="2BC4E3D7" wp14:noSpellErr="1">
      <w:p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2B269C1A" w:rsidR="692E0B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Para más información acerca de W </w:t>
      </w:r>
      <w:r w:rsidRPr="2B269C1A" w:rsidR="692E0B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Mexico</w:t>
      </w:r>
      <w:r w:rsidRPr="2B269C1A" w:rsidR="692E0B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City</w:t>
      </w:r>
    </w:p>
    <w:p xmlns:wp14="http://schemas.microsoft.com/office/word/2010/wordml" w:rsidP="2B269C1A" wp14:paraId="1AD46290" wp14:textId="3330E076" wp14:noSpellErr="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Roger Cuenca | PR Executive </w:t>
      </w:r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Travel</w:t>
      </w:r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&amp; </w:t>
      </w:r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Hospitality</w:t>
      </w:r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– </w:t>
      </w:r>
      <w:hyperlink r:id="R6bb846df39e64f3f">
        <w:r w:rsidRPr="2B269C1A" w:rsidR="692E0B1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es-ES"/>
          </w:rPr>
          <w:t>rogelio.cuenca@another.co</w:t>
        </w:r>
        <w:r>
          <w:br/>
        </w:r>
      </w:hyperlink>
    </w:p>
    <w:p xmlns:wp14="http://schemas.microsoft.com/office/word/2010/wordml" w:rsidP="2B269C1A" wp14:paraId="26C62B86" wp14:textId="4DFC542E" wp14:noSpellErr="1">
      <w:p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2B269C1A" w:rsidR="692E0B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Para más información acerca de TOKI | Agencia de relaciones públicas - </w:t>
      </w:r>
      <w:r w:rsidRPr="2B269C1A" w:rsidR="692E0B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Makken</w:t>
      </w:r>
    </w:p>
    <w:p xmlns:wp14="http://schemas.microsoft.com/office/word/2010/wordml" w:rsidP="2B269C1A" wp14:paraId="6566DF61" wp14:textId="52B543E8" wp14:noSpellErr="1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María Fernanda Martínez: </w:t>
      </w:r>
      <w:hyperlink r:id="R5ec412b760354f9a">
        <w:r w:rsidRPr="2B269C1A" w:rsidR="692E0B1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0"/>
            <w:szCs w:val="20"/>
            <w:u w:val="none"/>
            <w:lang w:val="es-ES"/>
          </w:rPr>
          <w:t>maria.martinez@makken.com.mx</w:t>
        </w:r>
      </w:hyperlink>
      <w:r w:rsidRPr="2B269C1A" w:rsidR="692E0B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</w:p>
    <w:p xmlns:wp14="http://schemas.microsoft.com/office/word/2010/wordml" wp14:paraId="768DEB70" wp14:textId="506706E9"/>
    <w:p xmlns:wp14="http://schemas.microsoft.com/office/word/2010/wordml" wp14:paraId="5C1A07E2" wp14:textId="2822C2F2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195f809332f4893"/>
      <w:footerReference w:type="default" r:id="Rc94256add6604db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269C1A" w:rsidTr="2B269C1A" w14:paraId="3D3BA1E0">
      <w:trPr>
        <w:trHeight w:val="300"/>
      </w:trPr>
      <w:tc>
        <w:tcPr>
          <w:tcW w:w="3005" w:type="dxa"/>
          <w:tcMar/>
        </w:tcPr>
        <w:p w:rsidR="2B269C1A" w:rsidP="2B269C1A" w:rsidRDefault="2B269C1A" w14:paraId="4246528C" w14:textId="6EE0542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B269C1A" w:rsidP="2B269C1A" w:rsidRDefault="2B269C1A" w14:paraId="2339C2B0" w14:textId="58FFBF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269C1A" w:rsidP="2B269C1A" w:rsidRDefault="2B269C1A" w14:paraId="4D18F7A0" w14:textId="0641CC1E">
          <w:pPr>
            <w:pStyle w:val="Header"/>
            <w:bidi w:val="0"/>
            <w:ind w:right="-115"/>
            <w:jc w:val="right"/>
          </w:pPr>
        </w:p>
      </w:tc>
    </w:tr>
  </w:tbl>
  <w:p w:rsidR="2B269C1A" w:rsidP="2B269C1A" w:rsidRDefault="2B269C1A" w14:paraId="034E870C" w14:textId="17B4652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269C1A" w:rsidTr="2B269C1A" w14:paraId="053DE78B">
      <w:trPr>
        <w:trHeight w:val="300"/>
      </w:trPr>
      <w:tc>
        <w:tcPr>
          <w:tcW w:w="3005" w:type="dxa"/>
          <w:tcMar/>
        </w:tcPr>
        <w:p w:rsidR="2B269C1A" w:rsidP="2B269C1A" w:rsidRDefault="2B269C1A" w14:paraId="716E4654" w14:textId="7219AE0C">
          <w:pPr>
            <w:pStyle w:val="Header"/>
            <w:bidi w:val="0"/>
            <w:ind w:left="-115"/>
            <w:jc w:val="left"/>
          </w:pPr>
          <w:r w:rsidR="2B269C1A">
            <w:drawing>
              <wp:inline wp14:editId="5CD42393" wp14:anchorId="171F6AC0">
                <wp:extent cx="1276350" cy="885825"/>
                <wp:effectExtent l="0" t="0" r="0" b="0"/>
                <wp:docPr id="2152739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52739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4763382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76350" cy="885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B269C1A" w:rsidP="2B269C1A" w:rsidRDefault="2B269C1A" w14:paraId="7F8F9441" w14:textId="1E29CC0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269C1A" w:rsidP="2B269C1A" w:rsidRDefault="2B269C1A" w14:paraId="2684DDCA" w14:textId="7A56A7A0">
          <w:pPr>
            <w:pStyle w:val="Header"/>
            <w:bidi w:val="0"/>
            <w:ind w:right="-115"/>
            <w:jc w:val="right"/>
          </w:pPr>
          <w:r w:rsidR="2B269C1A">
            <w:drawing>
              <wp:inline wp14:editId="25394B52" wp14:anchorId="22C9B801">
                <wp:extent cx="1162050" cy="752475"/>
                <wp:effectExtent l="0" t="0" r="0" b="0"/>
                <wp:docPr id="330956232" name="drawing" descr="W Mexico City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6867498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1281662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62050" cy="752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B269C1A" w:rsidP="2B269C1A" w:rsidRDefault="2B269C1A" w14:paraId="083EC3C5" w14:textId="7444941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9a17c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d1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B5201F"/>
    <w:rsid w:val="0107C3CD"/>
    <w:rsid w:val="0149E863"/>
    <w:rsid w:val="07B5DDF9"/>
    <w:rsid w:val="09424070"/>
    <w:rsid w:val="09ED110D"/>
    <w:rsid w:val="0AA28133"/>
    <w:rsid w:val="0B47D413"/>
    <w:rsid w:val="0CD9AFC2"/>
    <w:rsid w:val="0D07CC76"/>
    <w:rsid w:val="1294B5BB"/>
    <w:rsid w:val="12C8467E"/>
    <w:rsid w:val="1437F783"/>
    <w:rsid w:val="16826E09"/>
    <w:rsid w:val="16EED38B"/>
    <w:rsid w:val="17CDFE67"/>
    <w:rsid w:val="1CF5D867"/>
    <w:rsid w:val="22F788A2"/>
    <w:rsid w:val="244BB8F1"/>
    <w:rsid w:val="26B13907"/>
    <w:rsid w:val="2B269C1A"/>
    <w:rsid w:val="2D30F5DB"/>
    <w:rsid w:val="2EB6430C"/>
    <w:rsid w:val="306014F4"/>
    <w:rsid w:val="34E55FEC"/>
    <w:rsid w:val="36BD9867"/>
    <w:rsid w:val="39870C8A"/>
    <w:rsid w:val="3E12C2D7"/>
    <w:rsid w:val="3F53440D"/>
    <w:rsid w:val="46B44698"/>
    <w:rsid w:val="4726604E"/>
    <w:rsid w:val="48C8D4EB"/>
    <w:rsid w:val="48D1B0AC"/>
    <w:rsid w:val="4A596B4D"/>
    <w:rsid w:val="4A631F5B"/>
    <w:rsid w:val="4BBBE2AD"/>
    <w:rsid w:val="4C62136A"/>
    <w:rsid w:val="4D70523F"/>
    <w:rsid w:val="4E71A2C3"/>
    <w:rsid w:val="50A168BE"/>
    <w:rsid w:val="5FEC0833"/>
    <w:rsid w:val="6468860A"/>
    <w:rsid w:val="692E0B15"/>
    <w:rsid w:val="6C5B929B"/>
    <w:rsid w:val="6CF158E4"/>
    <w:rsid w:val="6E794C32"/>
    <w:rsid w:val="6EB5201F"/>
    <w:rsid w:val="7301FAF9"/>
    <w:rsid w:val="7DF844B0"/>
    <w:rsid w:val="7F003C3A"/>
    <w:rsid w:val="7FE6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201F"/>
  <w15:chartTrackingRefBased/>
  <w15:docId w15:val="{E2B2AE07-0DFE-4473-A650-6C2F2632F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596B4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A596B4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B269C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B269C1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51f0428f6e4f24" /><Relationship Type="http://schemas.openxmlformats.org/officeDocument/2006/relationships/hyperlink" Target="mailto:rogelio.cuenca@another.co" TargetMode="External" Id="R6bb846df39e64f3f" /><Relationship Type="http://schemas.openxmlformats.org/officeDocument/2006/relationships/hyperlink" Target="mailto:maria.martinez@makken.com.mx" TargetMode="External" Id="R5ec412b760354f9a" /><Relationship Type="http://schemas.openxmlformats.org/officeDocument/2006/relationships/header" Target="header.xml" Id="R7195f809332f4893" /><Relationship Type="http://schemas.openxmlformats.org/officeDocument/2006/relationships/footer" Target="footer.xml" Id="Rc94256add6604db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47633822" /><Relationship Type="http://schemas.openxmlformats.org/officeDocument/2006/relationships/image" Target="/media/image2.png" Id="rId17128166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c9308ac52b75ac53465c2bd51cf5579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2ecac5b614759adc79d9708822d846a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9C453-2F91-4FFE-B8C1-3D5386B4A027}"/>
</file>

<file path=customXml/itemProps2.xml><?xml version="1.0" encoding="utf-8"?>
<ds:datastoreItem xmlns:ds="http://schemas.openxmlformats.org/officeDocument/2006/customXml" ds:itemID="{073CA16D-55A8-41E5-8629-9840D692666D}"/>
</file>

<file path=customXml/itemProps3.xml><?xml version="1.0" encoding="utf-8"?>
<ds:datastoreItem xmlns:ds="http://schemas.openxmlformats.org/officeDocument/2006/customXml" ds:itemID="{49B204F8-99DD-4C41-92E0-B3400BBBB5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Cuenca</dc:creator>
  <keywords/>
  <dc:description/>
  <lastModifiedBy>Usuario invitado</lastModifiedBy>
  <dcterms:created xsi:type="dcterms:W3CDTF">2025-10-29T16:49:49.0000000Z</dcterms:created>
  <dcterms:modified xsi:type="dcterms:W3CDTF">2025-10-29T22:58:41.4217844Z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