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 herramientas para</w:t>
      </w:r>
      <w:r w:rsidDel="00000000" w:rsidR="00000000" w:rsidRPr="00000000">
        <w:rPr>
          <w:b w:val="1"/>
          <w:sz w:val="36"/>
          <w:szCs w:val="36"/>
          <w:rtl w:val="0"/>
        </w:rPr>
        <w:t xml:space="preserve"> mejorar la tasa de autorización en el retail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3 de febrero de 2021.- </w:t>
      </w:r>
      <w:r w:rsidDel="00000000" w:rsidR="00000000" w:rsidRPr="00000000">
        <w:rPr>
          <w:rtl w:val="0"/>
        </w:rPr>
        <w:t xml:space="preserve">El año 2021</w:t>
      </w:r>
      <w:r w:rsidDel="00000000" w:rsidR="00000000" w:rsidRPr="00000000">
        <w:rPr>
          <w:rtl w:val="0"/>
        </w:rPr>
        <w:t xml:space="preserve"> llegó con diversos retos para los comercios del sector </w:t>
      </w:r>
      <w:r w:rsidDel="00000000" w:rsidR="00000000" w:rsidRPr="00000000">
        <w:rPr>
          <w:i w:val="1"/>
          <w:rtl w:val="0"/>
        </w:rPr>
        <w:t xml:space="preserve">retail</w:t>
      </w:r>
      <w:r w:rsidDel="00000000" w:rsidR="00000000" w:rsidRPr="00000000">
        <w:rPr>
          <w:rtl w:val="0"/>
        </w:rPr>
        <w:t xml:space="preserve">, donde ante el incremento de los volúmenes de ventas online y la vuelta gradual de los consumidores a las tiendas físicas, incrementar la tasa de autorización en las transacciones es uno de esos desafíos.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Cifras del Banco de México</w:t>
        </w:r>
      </w:hyperlink>
      <w:r w:rsidDel="00000000" w:rsidR="00000000" w:rsidRPr="00000000">
        <w:rPr>
          <w:rtl w:val="0"/>
        </w:rPr>
        <w:t xml:space="preserve"> señalan que entre julio y septiembre de 2020 -último dato disponible- del total de transacciones registradas, sólo fueron autorizadas el 62.97% y el resto fueron operaciones declinadas o con falsos positivos. Ese tipo de rechazos son muy perjudiciales para cualquier comercio, debido a que una operación rechazada es la segunda razón por la que los mexicanos abandonan una compra, lo que puede derivar en un costo económico importante </w:t>
      </w:r>
      <w:r w:rsidDel="00000000" w:rsidR="00000000" w:rsidRPr="00000000">
        <w:rPr>
          <w:rtl w:val="0"/>
        </w:rPr>
        <w:t xml:space="preserve">para cualquier negocio</w:t>
      </w:r>
      <w:r w:rsidDel="00000000" w:rsidR="00000000" w:rsidRPr="00000000">
        <w:rPr>
          <w:rtl w:val="0"/>
        </w:rPr>
        <w:t xml:space="preserve">, según información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la Asociación Mexicana de Ventas Online (AMVO)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Para cualquier negocio</w:t>
      </w:r>
      <w:r w:rsidDel="00000000" w:rsidR="00000000" w:rsidRPr="00000000">
        <w:rPr>
          <w:i w:val="1"/>
          <w:rtl w:val="0"/>
        </w:rPr>
        <w:t xml:space="preserve">, el impacto que genera un alto índice de rechazos es relevante. Las declinaciones pueden afectar, además de en lo económico, a otros aspectos como la reputación de una empresa, ya que generan un sentimiento negativo en los compradores legítimos que dejarán de comprar, reducirán su engagement y podrían dejar malas calificaciones para esas marcas en las plataformas digitales</w:t>
      </w:r>
      <w:r w:rsidDel="00000000" w:rsidR="00000000" w:rsidRPr="00000000">
        <w:rPr>
          <w:rtl w:val="0"/>
        </w:rPr>
        <w:t xml:space="preserve">”, considera Erick MacKinney, Country manager de Adyen México.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Desde la perspectiva de Adyen,</w:t>
      </w:r>
      <w:r w:rsidDel="00000000" w:rsidR="00000000" w:rsidRPr="00000000">
        <w:rPr>
          <w:rtl w:val="0"/>
        </w:rPr>
        <w:t xml:space="preserve"> los comercios necesitan incrementar su tasa de autorización, tarea para la cual deben hacer uso de soluciones tecnológicas innovadoras para optimizar su negocio. A continuación, recomendamos tres herramientas para lograrlo: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Análisis de datos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gestión y análisis de datos de los consumidores son un arma fundamental para cualquier negocio. Los datos de pagos proporcionan al comercio un amplio panorama de los clientes y sus compras en tiempo real, información con la que los negocios pueden comprender su comportamiento y simplificar el proceso de futuras compras.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Sumado a lo anterior, el uso y análisis de datos para cualquier </w:t>
      </w:r>
      <w:r w:rsidDel="00000000" w:rsidR="00000000" w:rsidRPr="00000000">
        <w:rPr>
          <w:i w:val="1"/>
          <w:rtl w:val="0"/>
        </w:rPr>
        <w:t xml:space="preserve">retailer</w:t>
      </w:r>
      <w:r w:rsidDel="00000000" w:rsidR="00000000" w:rsidRPr="00000000">
        <w:rPr>
          <w:rtl w:val="0"/>
        </w:rPr>
        <w:t xml:space="preserve"> genera la posibilidad de vincular el historial de transacciones anteriormente realizadas, tanto en línea como en la tienda, para ayudarle al negocio a reconocer información de tarjetas de lealtad, alias o ID de comprador, lo que simplifica futuras compras y evita los rechazos.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Además, este tipo de métricas permiten a </w:t>
      </w:r>
      <w:r w:rsidDel="00000000" w:rsidR="00000000" w:rsidRPr="00000000">
        <w:rPr>
          <w:rtl w:val="0"/>
        </w:rPr>
        <w:t xml:space="preserve">cualquier</w:t>
      </w:r>
      <w:r w:rsidDel="00000000" w:rsidR="00000000" w:rsidRPr="00000000">
        <w:rPr>
          <w:rtl w:val="0"/>
        </w:rPr>
        <w:t xml:space="preserve"> empresa detectar patrones y/o anomalías </w:t>
      </w:r>
      <w:r w:rsidDel="00000000" w:rsidR="00000000" w:rsidRPr="00000000">
        <w:rPr>
          <w:rtl w:val="0"/>
        </w:rPr>
        <w:t xml:space="preserve">sin importar el tipo de </w:t>
      </w:r>
      <w:r w:rsidDel="00000000" w:rsidR="00000000" w:rsidRPr="00000000">
        <w:rPr>
          <w:rtl w:val="0"/>
        </w:rPr>
        <w:t xml:space="preserve">operación que le ayudarán a encontrar transacciones fraudulentas, diferenciándose de las compras legítimas que, en ocasiones, son rechazadas por sospecha.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Utilización de biométricos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Los datos biométricos son una herramienta que surge de la medición y cómputo de las características humanas de cada persona. La autenticación por este método sustituye a las contraseñas tradicionales por las huellas dactilares, el iris, el reconocimiento facial, los comandos de voz, entre otros.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Así como los usuarios utilizan este tipo de datos para desbloquear sus dispositivos móviles y revisar sus estados de cuenta e información bancaria, los </w:t>
      </w:r>
      <w:r w:rsidDel="00000000" w:rsidR="00000000" w:rsidRPr="00000000">
        <w:rPr>
          <w:i w:val="1"/>
          <w:rtl w:val="0"/>
        </w:rPr>
        <w:t xml:space="preserve">retailers</w:t>
      </w:r>
      <w:r w:rsidDel="00000000" w:rsidR="00000000" w:rsidRPr="00000000">
        <w:rPr>
          <w:rtl w:val="0"/>
        </w:rPr>
        <w:t xml:space="preserve"> pueden hacer uso de ellos para la autorización de un cobro y la autenticación de un comprador legítimo de forma sencilla y rápida.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El Informe de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Retail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de Adyen</w:t>
        </w:r>
      </w:hyperlink>
      <w:r w:rsidDel="00000000" w:rsidR="00000000" w:rsidRPr="00000000">
        <w:rPr>
          <w:rtl w:val="0"/>
        </w:rPr>
        <w:t xml:space="preserve"> indica que 2 de cada 5 consumidores abandonan el carrito de compra cuando su tarjeta es rechazada por error ante sospecha de fraude pese a ser una operación legítima, por lo que validar al usuario de esta forma puede reducir estos abandonos que le cuestan en promedio a los comercios alrededor de 275 mil millones de euros al año, según el mismo informe.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Network Tokens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Los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</w:t>
        </w:r>
      </w:hyperlink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etwork tokens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son la herramienta ideal para la autorización de aquellos pagos que son recurrentes, como las suscripciones. Estos </w:t>
      </w:r>
      <w:r w:rsidDel="00000000" w:rsidR="00000000" w:rsidRPr="00000000">
        <w:rPr>
          <w:i w:val="1"/>
          <w:rtl w:val="0"/>
        </w:rPr>
        <w:t xml:space="preserve">tokens</w:t>
      </w:r>
      <w:r w:rsidDel="00000000" w:rsidR="00000000" w:rsidRPr="00000000">
        <w:rPr>
          <w:rtl w:val="0"/>
        </w:rPr>
        <w:t xml:space="preserve"> son generados de una forma segura por el emisor y compartidos por el operador de una red de pagos, como puede ser Visa o MasterCard, para intercambiar de forma segura la información de una tarjeta entre el comercio y el banco emisor.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Con esta herramienta, el banco adquirente (o banco del comercio) interactúa de forma directa con la red de pagos mediante el </w:t>
      </w:r>
      <w:r w:rsidDel="00000000" w:rsidR="00000000" w:rsidRPr="00000000">
        <w:rPr>
          <w:i w:val="1"/>
          <w:rtl w:val="0"/>
        </w:rPr>
        <w:t xml:space="preserve">token</w:t>
      </w:r>
      <w:r w:rsidDel="00000000" w:rsidR="00000000" w:rsidRPr="00000000">
        <w:rPr>
          <w:rtl w:val="0"/>
        </w:rPr>
        <w:t xml:space="preserve"> y no con la tarjeta. De ese modo, además de simplificar este proceso al evitar que el comprador ingrese su información cada vez que requiera hacer el pago, ya sea mensual, semanal, o cualquier periodo por el que se haya hecho la suscripción, se mitiga el riesgo de ser víctima de prácticas fraudulentas y reduce el impacto de los rechazos por tarjetas expiradas, inválidas o por digital de forma incorrecta los números del plástico, por mencionar ejemplos.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Para acceder a este tipo de tecnología, las empresas pueden acudir a un habilitador tecnológico</w:t>
      </w:r>
      <w:r w:rsidDel="00000000" w:rsidR="00000000" w:rsidRPr="00000000">
        <w:rPr>
          <w:rtl w:val="0"/>
        </w:rPr>
        <w:t xml:space="preserve"> que le brinde a las empresas la oportunidad de ofrecer opciones más seguras y fáciles para realizar compras a los usuarios. Además de elevar los niveles de aceptación de los compradores, la tecnología le ofrece a los negocios de </w:t>
      </w:r>
      <w:r w:rsidDel="00000000" w:rsidR="00000000" w:rsidRPr="00000000">
        <w:rPr>
          <w:i w:val="1"/>
          <w:rtl w:val="0"/>
        </w:rPr>
        <w:t xml:space="preserve">retail</w:t>
      </w:r>
      <w:r w:rsidDel="00000000" w:rsidR="00000000" w:rsidRPr="00000000">
        <w:rPr>
          <w:rtl w:val="0"/>
        </w:rPr>
        <w:t xml:space="preserve"> la posibilidad de ofrecer una experiencia cada vez más segura e incrementar los niveles de lealtad entre</w:t>
      </w:r>
      <w:r w:rsidDel="00000000" w:rsidR="00000000" w:rsidRPr="00000000">
        <w:rPr>
          <w:rtl w:val="0"/>
        </w:rPr>
        <w:t xml:space="preserve"> sus compradores, tanto recurrentes como nuevos.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# 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elimina  fronteras y entrega la mejor experiencia de compra para los consumidores, sin importar el lugar o momento tiempo. Adyen integra los servicios de  entrada , software anti fraude y adquirente, abriendo así la “caja negra” con los insights que las empresas necesitan para alcanzar una mayor tasa de conversión.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Con oficinas alrededor del mundo Adyen cuenta con clientes como Uber, eBay, Spotify y Cabify, entre otras, impactando a millones de consumidores a lo largo del mundo.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3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14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5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prensa: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Salvador Sánchez/ Ejecutivo de cuenta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Cel: (+52 1) 55 4582 7151</w:t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jc w:val="right"/>
      <w:rPr/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243013" cy="4794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479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dyenmx.prezly.com/que-son-los-network-tokens-y-como-ayudan-a-tu-negocio" TargetMode="External"/><Relationship Id="rId10" Type="http://schemas.openxmlformats.org/officeDocument/2006/relationships/hyperlink" Target="https://go.adyen.com/rs/222-DNK-376/images/Retail%20Report%202019%20SP_DIGITAL%20Parte%202.pdf" TargetMode="External"/><Relationship Id="rId13" Type="http://schemas.openxmlformats.org/officeDocument/2006/relationships/hyperlink" Target="https://www.facebook.com/AdyenPayments/" TargetMode="External"/><Relationship Id="rId12" Type="http://schemas.openxmlformats.org/officeDocument/2006/relationships/hyperlink" Target="https://adyenmx.prezly.com/que-son-los-network-tokens-y-como-ayudan-a-tu-negoci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adyen.com/rs/222-DNK-376/images/Retail%20Report%202019%20SP_DIGITAL%20Parte%202.pdf" TargetMode="External"/><Relationship Id="rId15" Type="http://schemas.openxmlformats.org/officeDocument/2006/relationships/hyperlink" Target="https://www.linkedin.com/company/adyen/" TargetMode="External"/><Relationship Id="rId14" Type="http://schemas.openxmlformats.org/officeDocument/2006/relationships/hyperlink" Target="https://twitter.com/Adyen" TargetMode="External"/><Relationship Id="rId17" Type="http://schemas.openxmlformats.org/officeDocument/2006/relationships/header" Target="header1.xml"/><Relationship Id="rId16" Type="http://schemas.openxmlformats.org/officeDocument/2006/relationships/hyperlink" Target="mailto:salvador.sanchez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anxico.org.mx/SieInternet/consultarDirectorioInternetAction.do?accion=consultarCuadro&amp;idCuadro=CF621&amp;locale=es" TargetMode="External"/><Relationship Id="rId7" Type="http://schemas.openxmlformats.org/officeDocument/2006/relationships/hyperlink" Target="https://www.amvo.org.mx/wp-content/uploads/2020/01/AMVO_EstudioVentaOnline2020_Versi%C3%B3nP%C3%BAblica.pdf" TargetMode="External"/><Relationship Id="rId8" Type="http://schemas.openxmlformats.org/officeDocument/2006/relationships/hyperlink" Target="https://go.adyen.com/rs/222-DNK-376/images/Retail%20Report%202019%20SP_DIGITAL%20Parte%20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