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8331" w14:textId="77777777" w:rsidR="00AA147A" w:rsidRPr="0009524B" w:rsidRDefault="00AA147A" w:rsidP="00AA147A">
      <w:pPr>
        <w:pStyle w:val="Kop1"/>
      </w:pPr>
      <w:r w:rsidRPr="0009524B">
        <w:t>Facts &amp; figures</w:t>
      </w:r>
    </w:p>
    <w:p w14:paraId="64A39E01" w14:textId="77777777" w:rsidR="00AA147A" w:rsidRDefault="00AA147A" w:rsidP="00AA147A">
      <w:r>
        <w:t xml:space="preserve">De volledige Voka Paper met een analyse van het potentieel van zieke medewerkers vindt u </w:t>
      </w:r>
      <w:r>
        <w:fldChar w:fldCharType="begin"/>
      </w:r>
      <w:r>
        <w:instrText>HYPERLINK "https://issuu.com/vokavzw/docs/editie_meipages"</w:instrText>
      </w:r>
      <w:r>
        <w:fldChar w:fldCharType="separate"/>
      </w:r>
      <w:r w:rsidRPr="00231A08">
        <w:rPr>
          <w:rStyle w:val="Hyperlink"/>
        </w:rPr>
        <w:t>online</w:t>
      </w:r>
      <w:r>
        <w:rPr>
          <w:rStyle w:val="Hyperlink"/>
        </w:rPr>
        <w:fldChar w:fldCharType="end"/>
      </w:r>
      <w:r>
        <w:t>.</w:t>
      </w:r>
    </w:p>
    <w:p w14:paraId="73F176D5" w14:textId="77777777" w:rsidR="00AA147A" w:rsidRDefault="00AA147A" w:rsidP="00AA147A">
      <w:pPr>
        <w:keepNext/>
      </w:pPr>
      <w:r>
        <w:rPr>
          <w:noProof/>
        </w:rPr>
        <w:drawing>
          <wp:inline distT="0" distB="0" distL="0" distR="0" wp14:anchorId="0AB2350F" wp14:editId="71AA4980">
            <wp:extent cx="5760720" cy="3152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097" b="9494"/>
                    <a:stretch/>
                  </pic:blipFill>
                  <pic:spPr bwMode="auto">
                    <a:xfrm>
                      <a:off x="0" y="0"/>
                      <a:ext cx="5760720" cy="3152775"/>
                    </a:xfrm>
                    <a:prstGeom prst="rect">
                      <a:avLst/>
                    </a:prstGeom>
                    <a:noFill/>
                    <a:ln>
                      <a:noFill/>
                    </a:ln>
                    <a:extLst>
                      <a:ext uri="{53640926-AAD7-44D8-BBD7-CCE9431645EC}">
                        <a14:shadowObscured xmlns:a14="http://schemas.microsoft.com/office/drawing/2010/main"/>
                      </a:ext>
                    </a:extLst>
                  </pic:spPr>
                </pic:pic>
              </a:graphicData>
            </a:graphic>
          </wp:inline>
        </w:drawing>
      </w:r>
    </w:p>
    <w:p w14:paraId="1168CDDB" w14:textId="77777777" w:rsidR="00AA147A" w:rsidRPr="0003020F" w:rsidRDefault="00AA147A" w:rsidP="00AA147A">
      <w:pPr>
        <w:pStyle w:val="Bijschrift"/>
        <w:rPr>
          <w:color w:val="70AD47" w:themeColor="accent6"/>
        </w:rPr>
      </w:pPr>
      <w:r w:rsidRPr="0003020F">
        <w:rPr>
          <w:color w:val="70AD47" w:themeColor="accent6"/>
        </w:rPr>
        <w:t xml:space="preserve">Figuur </w:t>
      </w:r>
      <w:r w:rsidRPr="0003020F">
        <w:rPr>
          <w:color w:val="70AD47" w:themeColor="accent6"/>
        </w:rPr>
        <w:fldChar w:fldCharType="begin"/>
      </w:r>
      <w:r w:rsidRPr="0003020F">
        <w:rPr>
          <w:color w:val="70AD47" w:themeColor="accent6"/>
        </w:rPr>
        <w:instrText xml:space="preserve"> SEQ Figuur \* ARABIC </w:instrText>
      </w:r>
      <w:r w:rsidRPr="0003020F">
        <w:rPr>
          <w:color w:val="70AD47" w:themeColor="accent6"/>
        </w:rPr>
        <w:fldChar w:fldCharType="separate"/>
      </w:r>
      <w:r w:rsidRPr="0003020F">
        <w:rPr>
          <w:noProof/>
          <w:color w:val="70AD47" w:themeColor="accent6"/>
        </w:rPr>
        <w:t>1</w:t>
      </w:r>
      <w:r w:rsidRPr="0003020F">
        <w:rPr>
          <w:color w:val="70AD47" w:themeColor="accent6"/>
        </w:rPr>
        <w:fldChar w:fldCharType="end"/>
      </w:r>
      <w:r w:rsidRPr="0003020F">
        <w:rPr>
          <w:color w:val="70AD47" w:themeColor="accent6"/>
        </w:rPr>
        <w:t>: andere landen die net als België vergrijzen én een strenger arbeidsmarktbeleid hebben, kennen een veel lager aandeel arbeidsongeschikte dan België (Bron Oeso - Eurostat)</w:t>
      </w:r>
    </w:p>
    <w:p w14:paraId="7CAE036D" w14:textId="77777777" w:rsidR="00AA147A" w:rsidRDefault="00AA147A" w:rsidP="00AA147A"/>
    <w:tbl>
      <w:tblPr>
        <w:tblW w:w="5000" w:type="pct"/>
        <w:tblLayout w:type="fixed"/>
        <w:tblCellMar>
          <w:left w:w="70" w:type="dxa"/>
          <w:right w:w="70" w:type="dxa"/>
        </w:tblCellMar>
        <w:tblLook w:val="04A0" w:firstRow="1" w:lastRow="0" w:firstColumn="1" w:lastColumn="0" w:noHBand="0" w:noVBand="1"/>
      </w:tblPr>
      <w:tblGrid>
        <w:gridCol w:w="6094"/>
        <w:gridCol w:w="1326"/>
        <w:gridCol w:w="1330"/>
        <w:gridCol w:w="1326"/>
        <w:gridCol w:w="1330"/>
        <w:gridCol w:w="1326"/>
        <w:gridCol w:w="1330"/>
        <w:gridCol w:w="1326"/>
      </w:tblGrid>
      <w:tr w:rsidR="00AA147A" w:rsidRPr="00910183" w14:paraId="029D6A85" w14:textId="77777777" w:rsidTr="005343F6">
        <w:trPr>
          <w:trHeight w:val="300"/>
        </w:trPr>
        <w:tc>
          <w:tcPr>
            <w:tcW w:w="1980" w:type="pct"/>
            <w:tcBorders>
              <w:top w:val="single" w:sz="4" w:space="0" w:color="FFAFAE"/>
              <w:left w:val="single" w:sz="4" w:space="0" w:color="FFAFAE"/>
              <w:bottom w:val="nil"/>
              <w:right w:val="nil"/>
            </w:tcBorders>
            <w:shd w:val="clear" w:color="000000" w:fill="FF6A39"/>
            <w:noWrap/>
            <w:vAlign w:val="bottom"/>
            <w:hideMark/>
          </w:tcPr>
          <w:p w14:paraId="3AC667A1" w14:textId="77777777" w:rsidR="00AA147A" w:rsidRPr="00910183" w:rsidRDefault="00AA147A" w:rsidP="005343F6">
            <w:pPr>
              <w:spacing w:after="0" w:line="240" w:lineRule="auto"/>
              <w:rPr>
                <w:rFonts w:ascii="Calibri" w:eastAsia="Times New Roman" w:hAnsi="Calibri" w:cs="Calibri"/>
                <w:b/>
                <w:bCs/>
                <w:color w:val="FFFFFF"/>
                <w:lang w:eastAsia="nl-BE"/>
              </w:rPr>
            </w:pPr>
            <w:r w:rsidRPr="00910183">
              <w:rPr>
                <w:rFonts w:ascii="Calibri" w:eastAsia="Times New Roman" w:hAnsi="Calibri" w:cs="Calibri"/>
                <w:b/>
                <w:bCs/>
                <w:color w:val="FFFFFF"/>
                <w:lang w:eastAsia="nl-BE"/>
              </w:rPr>
              <w:t>Ziektegroep</w:t>
            </w:r>
          </w:p>
        </w:tc>
        <w:tc>
          <w:tcPr>
            <w:tcW w:w="431" w:type="pct"/>
            <w:tcBorders>
              <w:top w:val="single" w:sz="4" w:space="0" w:color="FFAFAE"/>
              <w:left w:val="nil"/>
              <w:bottom w:val="nil"/>
              <w:right w:val="nil"/>
            </w:tcBorders>
            <w:shd w:val="clear" w:color="000000" w:fill="FF6A39"/>
            <w:noWrap/>
            <w:vAlign w:val="bottom"/>
            <w:hideMark/>
          </w:tcPr>
          <w:p w14:paraId="68826F37" w14:textId="77777777" w:rsidR="00AA147A" w:rsidRPr="00910183" w:rsidRDefault="00AA147A" w:rsidP="005343F6">
            <w:pPr>
              <w:spacing w:after="0" w:line="240" w:lineRule="auto"/>
              <w:rPr>
                <w:rFonts w:ascii="Calibri" w:eastAsia="Times New Roman" w:hAnsi="Calibri" w:cs="Calibri"/>
                <w:b/>
                <w:bCs/>
                <w:color w:val="FFFFFF"/>
                <w:lang w:eastAsia="nl-BE"/>
              </w:rPr>
            </w:pPr>
            <w:r w:rsidRPr="00910183">
              <w:rPr>
                <w:rFonts w:ascii="Calibri" w:eastAsia="Times New Roman" w:hAnsi="Calibri" w:cs="Calibri"/>
                <w:b/>
                <w:bCs/>
                <w:color w:val="FFFFFF"/>
                <w:lang w:eastAsia="nl-BE"/>
              </w:rPr>
              <w:t>2017</w:t>
            </w:r>
          </w:p>
        </w:tc>
        <w:tc>
          <w:tcPr>
            <w:tcW w:w="432" w:type="pct"/>
            <w:tcBorders>
              <w:top w:val="single" w:sz="4" w:space="0" w:color="FFAFAE"/>
              <w:left w:val="nil"/>
              <w:bottom w:val="nil"/>
              <w:right w:val="nil"/>
            </w:tcBorders>
            <w:shd w:val="clear" w:color="000000" w:fill="FF6A39"/>
            <w:noWrap/>
            <w:vAlign w:val="bottom"/>
            <w:hideMark/>
          </w:tcPr>
          <w:p w14:paraId="6EF1881D" w14:textId="77777777" w:rsidR="00AA147A" w:rsidRPr="00910183" w:rsidRDefault="00AA147A" w:rsidP="005343F6">
            <w:pPr>
              <w:spacing w:after="0" w:line="240" w:lineRule="auto"/>
              <w:rPr>
                <w:rFonts w:ascii="Calibri" w:eastAsia="Times New Roman" w:hAnsi="Calibri" w:cs="Calibri"/>
                <w:b/>
                <w:bCs/>
                <w:color w:val="FFFFFF"/>
                <w:lang w:eastAsia="nl-BE"/>
              </w:rPr>
            </w:pPr>
            <w:r w:rsidRPr="00910183">
              <w:rPr>
                <w:rFonts w:ascii="Calibri" w:eastAsia="Times New Roman" w:hAnsi="Calibri" w:cs="Calibri"/>
                <w:b/>
                <w:bCs/>
                <w:color w:val="FFFFFF"/>
                <w:lang w:eastAsia="nl-BE"/>
              </w:rPr>
              <w:t>2018</w:t>
            </w:r>
          </w:p>
        </w:tc>
        <w:tc>
          <w:tcPr>
            <w:tcW w:w="431" w:type="pct"/>
            <w:tcBorders>
              <w:top w:val="single" w:sz="4" w:space="0" w:color="FFAFAE"/>
              <w:left w:val="nil"/>
              <w:bottom w:val="nil"/>
              <w:right w:val="nil"/>
            </w:tcBorders>
            <w:shd w:val="clear" w:color="000000" w:fill="FF6A39"/>
            <w:noWrap/>
            <w:vAlign w:val="bottom"/>
            <w:hideMark/>
          </w:tcPr>
          <w:p w14:paraId="42FFB965" w14:textId="77777777" w:rsidR="00AA147A" w:rsidRPr="00910183" w:rsidRDefault="00AA147A" w:rsidP="005343F6">
            <w:pPr>
              <w:spacing w:after="0" w:line="240" w:lineRule="auto"/>
              <w:rPr>
                <w:rFonts w:ascii="Calibri" w:eastAsia="Times New Roman" w:hAnsi="Calibri" w:cs="Calibri"/>
                <w:b/>
                <w:bCs/>
                <w:color w:val="FFFFFF"/>
                <w:lang w:eastAsia="nl-BE"/>
              </w:rPr>
            </w:pPr>
            <w:r w:rsidRPr="00910183">
              <w:rPr>
                <w:rFonts w:ascii="Calibri" w:eastAsia="Times New Roman" w:hAnsi="Calibri" w:cs="Calibri"/>
                <w:b/>
                <w:bCs/>
                <w:color w:val="FFFFFF"/>
                <w:lang w:eastAsia="nl-BE"/>
              </w:rPr>
              <w:t>2019</w:t>
            </w:r>
          </w:p>
        </w:tc>
        <w:tc>
          <w:tcPr>
            <w:tcW w:w="432" w:type="pct"/>
            <w:tcBorders>
              <w:top w:val="single" w:sz="4" w:space="0" w:color="FFAFAE"/>
              <w:left w:val="nil"/>
              <w:bottom w:val="nil"/>
              <w:right w:val="nil"/>
            </w:tcBorders>
            <w:shd w:val="clear" w:color="000000" w:fill="FF6A39"/>
            <w:noWrap/>
            <w:vAlign w:val="bottom"/>
            <w:hideMark/>
          </w:tcPr>
          <w:p w14:paraId="67783114" w14:textId="77777777" w:rsidR="00AA147A" w:rsidRPr="00910183" w:rsidRDefault="00AA147A" w:rsidP="005343F6">
            <w:pPr>
              <w:spacing w:after="0" w:line="240" w:lineRule="auto"/>
              <w:rPr>
                <w:rFonts w:ascii="Calibri" w:eastAsia="Times New Roman" w:hAnsi="Calibri" w:cs="Calibri"/>
                <w:b/>
                <w:bCs/>
                <w:color w:val="FFFFFF"/>
                <w:lang w:eastAsia="nl-BE"/>
              </w:rPr>
            </w:pPr>
            <w:r w:rsidRPr="00910183">
              <w:rPr>
                <w:rFonts w:ascii="Calibri" w:eastAsia="Times New Roman" w:hAnsi="Calibri" w:cs="Calibri"/>
                <w:b/>
                <w:bCs/>
                <w:color w:val="FFFFFF"/>
                <w:lang w:eastAsia="nl-BE"/>
              </w:rPr>
              <w:t>2020</w:t>
            </w:r>
          </w:p>
        </w:tc>
        <w:tc>
          <w:tcPr>
            <w:tcW w:w="431" w:type="pct"/>
            <w:tcBorders>
              <w:top w:val="single" w:sz="4" w:space="0" w:color="FFAFAE"/>
              <w:left w:val="nil"/>
              <w:bottom w:val="nil"/>
              <w:right w:val="nil"/>
            </w:tcBorders>
            <w:shd w:val="clear" w:color="000000" w:fill="FF6A39"/>
            <w:noWrap/>
            <w:vAlign w:val="bottom"/>
            <w:hideMark/>
          </w:tcPr>
          <w:p w14:paraId="08FFC0DC" w14:textId="77777777" w:rsidR="00AA147A" w:rsidRPr="00910183" w:rsidRDefault="00AA147A" w:rsidP="005343F6">
            <w:pPr>
              <w:spacing w:after="0" w:line="240" w:lineRule="auto"/>
              <w:rPr>
                <w:rFonts w:ascii="Calibri" w:eastAsia="Times New Roman" w:hAnsi="Calibri" w:cs="Calibri"/>
                <w:b/>
                <w:bCs/>
                <w:color w:val="FFFFFF"/>
                <w:lang w:eastAsia="nl-BE"/>
              </w:rPr>
            </w:pPr>
            <w:r w:rsidRPr="00910183">
              <w:rPr>
                <w:rFonts w:ascii="Calibri" w:eastAsia="Times New Roman" w:hAnsi="Calibri" w:cs="Calibri"/>
                <w:b/>
                <w:bCs/>
                <w:color w:val="FFFFFF"/>
                <w:lang w:eastAsia="nl-BE"/>
              </w:rPr>
              <w:t>2021</w:t>
            </w:r>
          </w:p>
        </w:tc>
        <w:tc>
          <w:tcPr>
            <w:tcW w:w="432" w:type="pct"/>
            <w:tcBorders>
              <w:top w:val="single" w:sz="4" w:space="0" w:color="FFAFAE"/>
              <w:left w:val="nil"/>
              <w:bottom w:val="nil"/>
              <w:right w:val="nil"/>
            </w:tcBorders>
            <w:shd w:val="clear" w:color="000000" w:fill="FF6A39"/>
            <w:noWrap/>
            <w:vAlign w:val="bottom"/>
            <w:hideMark/>
          </w:tcPr>
          <w:p w14:paraId="56965D4F" w14:textId="77777777" w:rsidR="00AA147A" w:rsidRPr="00910183" w:rsidRDefault="00AA147A" w:rsidP="005343F6">
            <w:pPr>
              <w:spacing w:after="0" w:line="240" w:lineRule="auto"/>
              <w:rPr>
                <w:rFonts w:ascii="Calibri" w:eastAsia="Times New Roman" w:hAnsi="Calibri" w:cs="Calibri"/>
                <w:b/>
                <w:bCs/>
                <w:color w:val="FFFFFF"/>
                <w:lang w:eastAsia="nl-BE"/>
              </w:rPr>
            </w:pPr>
            <w:r w:rsidRPr="00910183">
              <w:rPr>
                <w:rFonts w:ascii="Calibri" w:eastAsia="Times New Roman" w:hAnsi="Calibri" w:cs="Calibri"/>
                <w:b/>
                <w:bCs/>
                <w:color w:val="FFFFFF"/>
                <w:lang w:eastAsia="nl-BE"/>
              </w:rPr>
              <w:t>% totaal (2021)</w:t>
            </w:r>
          </w:p>
        </w:tc>
        <w:tc>
          <w:tcPr>
            <w:tcW w:w="432" w:type="pct"/>
            <w:tcBorders>
              <w:top w:val="single" w:sz="4" w:space="0" w:color="FFAFAE"/>
              <w:left w:val="nil"/>
              <w:bottom w:val="nil"/>
              <w:right w:val="single" w:sz="4" w:space="0" w:color="FFAFAE"/>
            </w:tcBorders>
            <w:shd w:val="clear" w:color="000000" w:fill="FF6A39"/>
            <w:noWrap/>
            <w:vAlign w:val="bottom"/>
            <w:hideMark/>
          </w:tcPr>
          <w:p w14:paraId="6186920A" w14:textId="77777777" w:rsidR="00AA147A" w:rsidRPr="00910183" w:rsidRDefault="00AA147A" w:rsidP="005343F6">
            <w:pPr>
              <w:spacing w:after="0" w:line="240" w:lineRule="auto"/>
              <w:rPr>
                <w:rFonts w:ascii="Calibri" w:eastAsia="Times New Roman" w:hAnsi="Calibri" w:cs="Calibri"/>
                <w:b/>
                <w:bCs/>
                <w:color w:val="FFFFFF"/>
                <w:lang w:eastAsia="nl-BE"/>
              </w:rPr>
            </w:pPr>
            <w:r w:rsidRPr="00910183">
              <w:rPr>
                <w:rFonts w:ascii="Calibri" w:eastAsia="Times New Roman" w:hAnsi="Calibri" w:cs="Calibri"/>
                <w:b/>
                <w:bCs/>
                <w:color w:val="FFFFFF"/>
                <w:lang w:eastAsia="nl-BE"/>
              </w:rPr>
              <w:t>Evolutie 2017 - 2021</w:t>
            </w:r>
          </w:p>
        </w:tc>
      </w:tr>
      <w:tr w:rsidR="00AA147A" w:rsidRPr="00910183" w14:paraId="7E9242DC" w14:textId="77777777" w:rsidTr="005343F6">
        <w:trPr>
          <w:trHeight w:val="300"/>
        </w:trPr>
        <w:tc>
          <w:tcPr>
            <w:tcW w:w="1980"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6C0C1E78" w14:textId="77777777" w:rsidR="00AA147A" w:rsidRPr="00910183" w:rsidRDefault="00AA147A" w:rsidP="005343F6">
            <w:pPr>
              <w:spacing w:after="0" w:line="240" w:lineRule="auto"/>
              <w:rPr>
                <w:rFonts w:ascii="Calibri" w:eastAsia="Times New Roman" w:hAnsi="Calibri" w:cs="Calibri"/>
                <w:color w:val="484344"/>
                <w:lang w:eastAsia="nl-BE"/>
              </w:rPr>
            </w:pPr>
            <w:r w:rsidRPr="00910183">
              <w:rPr>
                <w:rFonts w:ascii="Calibri" w:eastAsia="Times New Roman" w:hAnsi="Calibri" w:cs="Calibri"/>
                <w:color w:val="484344"/>
                <w:lang w:eastAsia="nl-BE"/>
              </w:rPr>
              <w:t>Psychische stoornissen en gedragsstoornissen</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27F9DD9B"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136.343</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37B73F07"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145.180</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0BF9C078"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153.512</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075975AB"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163.022</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0E03CBD5"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169.429</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42AF7263"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37%</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5FC408CB"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24%</w:t>
            </w:r>
          </w:p>
        </w:tc>
      </w:tr>
      <w:tr w:rsidR="00AA147A" w:rsidRPr="00910183" w14:paraId="3077D7DB" w14:textId="77777777" w:rsidTr="005343F6">
        <w:trPr>
          <w:trHeight w:val="300"/>
        </w:trPr>
        <w:tc>
          <w:tcPr>
            <w:tcW w:w="1980"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4C1C006F" w14:textId="77777777" w:rsidR="00AA147A" w:rsidRPr="00910183" w:rsidRDefault="00AA147A" w:rsidP="005343F6">
            <w:pPr>
              <w:spacing w:after="0" w:line="240" w:lineRule="auto"/>
              <w:rPr>
                <w:rFonts w:ascii="Calibri" w:eastAsia="Times New Roman" w:hAnsi="Calibri" w:cs="Calibri"/>
                <w:color w:val="484344"/>
                <w:lang w:eastAsia="nl-BE"/>
              </w:rPr>
            </w:pPr>
            <w:r w:rsidRPr="00910183">
              <w:rPr>
                <w:rFonts w:ascii="Calibri" w:eastAsia="Times New Roman" w:hAnsi="Calibri" w:cs="Calibri"/>
                <w:color w:val="484344"/>
                <w:lang w:eastAsia="nl-BE"/>
              </w:rPr>
              <w:t xml:space="preserve">Ziekten van bot-spierstelsel en bindweefsel </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69498EBE"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116.529</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45F608DB"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124.560</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0ABEA0BD"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132.352</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4E292AB5"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140.835</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1C583680"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145.215</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7F2F90AE"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32%</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5ECE6EA7"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25%</w:t>
            </w:r>
          </w:p>
        </w:tc>
      </w:tr>
      <w:tr w:rsidR="00AA147A" w:rsidRPr="00910183" w14:paraId="79DAC0E2" w14:textId="77777777" w:rsidTr="005343F6">
        <w:trPr>
          <w:trHeight w:val="300"/>
        </w:trPr>
        <w:tc>
          <w:tcPr>
            <w:tcW w:w="1980"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00A0C893" w14:textId="77777777" w:rsidR="00AA147A" w:rsidRPr="00910183" w:rsidRDefault="00AA147A" w:rsidP="005343F6">
            <w:pPr>
              <w:spacing w:after="0" w:line="240" w:lineRule="auto"/>
              <w:rPr>
                <w:rFonts w:ascii="Calibri" w:eastAsia="Times New Roman" w:hAnsi="Calibri" w:cs="Calibri"/>
                <w:color w:val="484344"/>
                <w:lang w:eastAsia="nl-BE"/>
              </w:rPr>
            </w:pPr>
            <w:r w:rsidRPr="00910183">
              <w:rPr>
                <w:rFonts w:ascii="Calibri" w:eastAsia="Times New Roman" w:hAnsi="Calibri" w:cs="Calibri"/>
                <w:color w:val="484344"/>
                <w:lang w:eastAsia="nl-BE"/>
              </w:rPr>
              <w:t>Ziekten van zenuwstelsel</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333B64FA"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20.893</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089D9FCB"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22.326</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2207ECFA"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23.555</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251AF3D3"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24.625</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16089BF1"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25.126</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635323CF"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6%</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0791A7B0"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20%</w:t>
            </w:r>
          </w:p>
        </w:tc>
      </w:tr>
      <w:tr w:rsidR="00AA147A" w:rsidRPr="00910183" w14:paraId="18101E91" w14:textId="77777777" w:rsidTr="005343F6">
        <w:trPr>
          <w:trHeight w:val="300"/>
        </w:trPr>
        <w:tc>
          <w:tcPr>
            <w:tcW w:w="1980"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582695E9" w14:textId="77777777" w:rsidR="00AA147A" w:rsidRPr="00910183" w:rsidRDefault="00AA147A" w:rsidP="005343F6">
            <w:pPr>
              <w:spacing w:after="0" w:line="240" w:lineRule="auto"/>
              <w:rPr>
                <w:rFonts w:ascii="Calibri" w:eastAsia="Times New Roman" w:hAnsi="Calibri" w:cs="Calibri"/>
                <w:color w:val="484344"/>
                <w:lang w:eastAsia="nl-BE"/>
              </w:rPr>
            </w:pPr>
            <w:r w:rsidRPr="00910183">
              <w:rPr>
                <w:rFonts w:ascii="Calibri" w:eastAsia="Times New Roman" w:hAnsi="Calibri" w:cs="Calibri"/>
                <w:color w:val="484344"/>
                <w:lang w:eastAsia="nl-BE"/>
              </w:rPr>
              <w:t>Nieuwvormingen (kanker)</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5B51F691"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20.856</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726CFA3B"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21.890</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59C8964E"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22.740</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7F3B0553"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23.156</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16483CF0"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23.570</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6C56795C"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5%</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4C7AA4C6"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13%</w:t>
            </w:r>
          </w:p>
        </w:tc>
      </w:tr>
      <w:tr w:rsidR="00AA147A" w:rsidRPr="00910183" w14:paraId="470AA0C6" w14:textId="77777777" w:rsidTr="005343F6">
        <w:trPr>
          <w:trHeight w:val="300"/>
        </w:trPr>
        <w:tc>
          <w:tcPr>
            <w:tcW w:w="1980"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3D7163F6" w14:textId="77777777" w:rsidR="00AA147A" w:rsidRPr="00910183" w:rsidRDefault="00AA147A" w:rsidP="005343F6">
            <w:pPr>
              <w:spacing w:after="0" w:line="240" w:lineRule="auto"/>
              <w:rPr>
                <w:rFonts w:ascii="Calibri" w:eastAsia="Times New Roman" w:hAnsi="Calibri" w:cs="Calibri"/>
                <w:color w:val="484344"/>
                <w:lang w:eastAsia="nl-BE"/>
              </w:rPr>
            </w:pPr>
            <w:r w:rsidRPr="00910183">
              <w:rPr>
                <w:rFonts w:ascii="Calibri" w:eastAsia="Times New Roman" w:hAnsi="Calibri" w:cs="Calibri"/>
                <w:color w:val="484344"/>
                <w:lang w:eastAsia="nl-BE"/>
              </w:rPr>
              <w:t>Ziekten van hart en vaatstelsel</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4214B28D"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20.281</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2F12B16D"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20.710</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7B2D7324"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21.203</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19A73666"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21.368</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3EDEA685"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21.323</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7EA71062"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5%</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6A2C7829"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5%</w:t>
            </w:r>
          </w:p>
        </w:tc>
      </w:tr>
      <w:tr w:rsidR="00AA147A" w:rsidRPr="00910183" w14:paraId="4AFF5655" w14:textId="77777777" w:rsidTr="005343F6">
        <w:trPr>
          <w:trHeight w:val="300"/>
        </w:trPr>
        <w:tc>
          <w:tcPr>
            <w:tcW w:w="1980"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7DC6AAA3" w14:textId="77777777" w:rsidR="00AA147A" w:rsidRPr="00910183" w:rsidRDefault="00AA147A" w:rsidP="005343F6">
            <w:pPr>
              <w:spacing w:after="0" w:line="240" w:lineRule="auto"/>
              <w:rPr>
                <w:rFonts w:ascii="Calibri" w:eastAsia="Times New Roman" w:hAnsi="Calibri" w:cs="Calibri"/>
                <w:color w:val="484344"/>
                <w:lang w:eastAsia="nl-BE"/>
              </w:rPr>
            </w:pPr>
            <w:r w:rsidRPr="00910183">
              <w:rPr>
                <w:rFonts w:ascii="Calibri" w:eastAsia="Times New Roman" w:hAnsi="Calibri" w:cs="Calibri"/>
                <w:color w:val="484344"/>
                <w:lang w:eastAsia="nl-BE"/>
              </w:rPr>
              <w:t>Letsel, vergiftiging en andere gevolgen van uitwendige oorzaken</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498D1FD5"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19.022</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460B0885"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19.494</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30529D80"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19.927</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6C710067"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20.781</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46296581"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21.059</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3D27E9E5"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5%</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3F44BC79"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11%</w:t>
            </w:r>
          </w:p>
        </w:tc>
      </w:tr>
      <w:tr w:rsidR="00AA147A" w:rsidRPr="00910183" w14:paraId="6D5B4EE2" w14:textId="77777777" w:rsidTr="005343F6">
        <w:trPr>
          <w:trHeight w:val="300"/>
        </w:trPr>
        <w:tc>
          <w:tcPr>
            <w:tcW w:w="1980"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409FD5B1" w14:textId="77777777" w:rsidR="00AA147A" w:rsidRPr="00910183" w:rsidRDefault="00AA147A" w:rsidP="005343F6">
            <w:pPr>
              <w:spacing w:after="0" w:line="240" w:lineRule="auto"/>
              <w:rPr>
                <w:rFonts w:ascii="Calibri" w:eastAsia="Times New Roman" w:hAnsi="Calibri" w:cs="Calibri"/>
                <w:color w:val="484344"/>
                <w:lang w:eastAsia="nl-BE"/>
              </w:rPr>
            </w:pPr>
            <w:r w:rsidRPr="00910183">
              <w:rPr>
                <w:rFonts w:ascii="Calibri" w:eastAsia="Times New Roman" w:hAnsi="Calibri" w:cs="Calibri"/>
                <w:color w:val="484344"/>
                <w:lang w:eastAsia="nl-BE"/>
              </w:rPr>
              <w:t xml:space="preserve">Ziekten van spijsverteringsstelsel </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4ED5C6D5"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7.566</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7A39C9EB"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7.594</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160435D5"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7.693</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3A91F0CA"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7.725</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0BCF4902"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7.633</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2A307A1D"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2%</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20C980B4"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w:t>
            </w:r>
          </w:p>
        </w:tc>
      </w:tr>
      <w:tr w:rsidR="00AA147A" w:rsidRPr="00910183" w14:paraId="56C16439" w14:textId="77777777" w:rsidTr="005343F6">
        <w:trPr>
          <w:trHeight w:val="300"/>
        </w:trPr>
        <w:tc>
          <w:tcPr>
            <w:tcW w:w="1980"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62EE179B" w14:textId="77777777" w:rsidR="00AA147A" w:rsidRPr="00910183" w:rsidRDefault="00AA147A" w:rsidP="005343F6">
            <w:pPr>
              <w:spacing w:after="0" w:line="240" w:lineRule="auto"/>
              <w:rPr>
                <w:rFonts w:ascii="Calibri" w:eastAsia="Times New Roman" w:hAnsi="Calibri" w:cs="Calibri"/>
                <w:color w:val="484344"/>
                <w:lang w:eastAsia="nl-BE"/>
              </w:rPr>
            </w:pPr>
            <w:r w:rsidRPr="00910183">
              <w:rPr>
                <w:rFonts w:ascii="Calibri" w:eastAsia="Times New Roman" w:hAnsi="Calibri" w:cs="Calibri"/>
                <w:color w:val="484344"/>
                <w:lang w:eastAsia="nl-BE"/>
              </w:rPr>
              <w:t>Andere</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630C778A"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38.418</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7052C7FD"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38.991</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32CF3377"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39.522</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51F62E20"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40.615</w:t>
            </w:r>
          </w:p>
        </w:tc>
        <w:tc>
          <w:tcPr>
            <w:tcW w:w="431"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6C546FEB"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42.641</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7E567298" w14:textId="77777777" w:rsidR="00AA147A" w:rsidRPr="00910183" w:rsidRDefault="00AA147A" w:rsidP="005343F6">
            <w:pPr>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9%</w:t>
            </w:r>
          </w:p>
        </w:tc>
        <w:tc>
          <w:tcPr>
            <w:tcW w:w="432" w:type="pct"/>
            <w:tcBorders>
              <w:top w:val="single" w:sz="4" w:space="0" w:color="FF6A39"/>
              <w:left w:val="single" w:sz="4" w:space="0" w:color="FF6A39"/>
              <w:bottom w:val="single" w:sz="4" w:space="0" w:color="FF6A39"/>
              <w:right w:val="single" w:sz="4" w:space="0" w:color="FF6A39"/>
            </w:tcBorders>
            <w:shd w:val="clear" w:color="auto" w:fill="auto"/>
            <w:noWrap/>
            <w:vAlign w:val="bottom"/>
            <w:hideMark/>
          </w:tcPr>
          <w:p w14:paraId="55772488" w14:textId="77777777" w:rsidR="00AA147A" w:rsidRPr="00910183" w:rsidRDefault="00AA147A" w:rsidP="005343F6">
            <w:pPr>
              <w:keepNext/>
              <w:spacing w:after="0" w:line="240" w:lineRule="auto"/>
              <w:jc w:val="right"/>
              <w:rPr>
                <w:rFonts w:ascii="Calibri" w:eastAsia="Times New Roman" w:hAnsi="Calibri" w:cs="Calibri"/>
                <w:color w:val="484344"/>
                <w:lang w:eastAsia="nl-BE"/>
              </w:rPr>
            </w:pPr>
            <w:r w:rsidRPr="00910183">
              <w:rPr>
                <w:rFonts w:ascii="Calibri" w:eastAsia="Times New Roman" w:hAnsi="Calibri" w:cs="Calibri"/>
                <w:color w:val="484344"/>
                <w:lang w:eastAsia="nl-BE"/>
              </w:rPr>
              <w:t>11%</w:t>
            </w:r>
          </w:p>
        </w:tc>
      </w:tr>
    </w:tbl>
    <w:p w14:paraId="542ED159" w14:textId="39789987" w:rsidR="00AA147A" w:rsidRDefault="00AA147A" w:rsidP="00AA147A">
      <w:pPr>
        <w:pStyle w:val="Bijschrift"/>
        <w:rPr>
          <w:color w:val="70AD47" w:themeColor="accent6"/>
        </w:rPr>
      </w:pPr>
      <w:r w:rsidRPr="0003020F">
        <w:rPr>
          <w:color w:val="70AD47" w:themeColor="accent6"/>
        </w:rPr>
        <w:t xml:space="preserve">Tabel </w:t>
      </w:r>
      <w:r w:rsidRPr="0003020F">
        <w:rPr>
          <w:color w:val="70AD47" w:themeColor="accent6"/>
        </w:rPr>
        <w:fldChar w:fldCharType="begin"/>
      </w:r>
      <w:r w:rsidRPr="0003020F">
        <w:rPr>
          <w:color w:val="70AD47" w:themeColor="accent6"/>
        </w:rPr>
        <w:instrText xml:space="preserve"> SEQ Tabel \* ARABIC </w:instrText>
      </w:r>
      <w:r w:rsidRPr="0003020F">
        <w:rPr>
          <w:color w:val="70AD47" w:themeColor="accent6"/>
        </w:rPr>
        <w:fldChar w:fldCharType="separate"/>
      </w:r>
      <w:r w:rsidRPr="0003020F">
        <w:rPr>
          <w:color w:val="70AD47" w:themeColor="accent6"/>
        </w:rPr>
        <w:t>1</w:t>
      </w:r>
      <w:r w:rsidRPr="0003020F">
        <w:rPr>
          <w:color w:val="70AD47" w:themeColor="accent6"/>
        </w:rPr>
        <w:fldChar w:fldCharType="end"/>
      </w:r>
      <w:r w:rsidRPr="0003020F">
        <w:rPr>
          <w:color w:val="70AD47" w:themeColor="accent6"/>
        </w:rPr>
        <w:t xml:space="preserve">: Evolutie en aandeel langdurig zieken per ziektegroep. Psychische stoornissen en orthopedische aandoeningen omvatten meer dan 2 op 3 langdurig zieken en stijgen het snelst. De wetenschappelijke richtlijnen voor deze aandoeningen stellen dat werken deel kan uitmaken van het herstel (Bron: RIZIV). </w:t>
      </w:r>
    </w:p>
    <w:p w14:paraId="62A6AA8E" w14:textId="77777777" w:rsidR="00AA147A" w:rsidRPr="00AA147A" w:rsidRDefault="00AA147A" w:rsidP="00AA147A"/>
    <w:p w14:paraId="232219BA" w14:textId="77777777" w:rsidR="00AA147A" w:rsidRDefault="00AA147A" w:rsidP="00AA147A">
      <w:pPr>
        <w:keepNext/>
      </w:pPr>
      <w:r>
        <w:rPr>
          <w:noProof/>
        </w:rPr>
        <w:drawing>
          <wp:inline distT="0" distB="0" distL="0" distR="0" wp14:anchorId="2CD2B786" wp14:editId="2AD76B9E">
            <wp:extent cx="6214382" cy="2988000"/>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4382" cy="2988000"/>
                    </a:xfrm>
                    <a:prstGeom prst="rect">
                      <a:avLst/>
                    </a:prstGeom>
                    <a:noFill/>
                    <a:ln>
                      <a:noFill/>
                    </a:ln>
                  </pic:spPr>
                </pic:pic>
              </a:graphicData>
            </a:graphic>
          </wp:inline>
        </w:drawing>
      </w:r>
    </w:p>
    <w:p w14:paraId="6E41B89A" w14:textId="77777777" w:rsidR="00AA147A" w:rsidRPr="0003020F" w:rsidRDefault="00AA147A" w:rsidP="00AA147A">
      <w:pPr>
        <w:pStyle w:val="Bijschrift"/>
        <w:rPr>
          <w:color w:val="70AD47" w:themeColor="accent6"/>
        </w:rPr>
      </w:pPr>
      <w:r w:rsidRPr="0003020F">
        <w:rPr>
          <w:color w:val="70AD47" w:themeColor="accent6"/>
        </w:rPr>
        <w:t xml:space="preserve">Figuur </w:t>
      </w:r>
      <w:r w:rsidRPr="0003020F">
        <w:rPr>
          <w:color w:val="70AD47" w:themeColor="accent6"/>
        </w:rPr>
        <w:fldChar w:fldCharType="begin"/>
      </w:r>
      <w:r w:rsidRPr="0003020F">
        <w:rPr>
          <w:color w:val="70AD47" w:themeColor="accent6"/>
        </w:rPr>
        <w:instrText xml:space="preserve"> SEQ Figuur \* ARABIC </w:instrText>
      </w:r>
      <w:r w:rsidRPr="0003020F">
        <w:rPr>
          <w:color w:val="70AD47" w:themeColor="accent6"/>
        </w:rPr>
        <w:fldChar w:fldCharType="separate"/>
      </w:r>
      <w:r w:rsidRPr="0003020F">
        <w:rPr>
          <w:color w:val="70AD47" w:themeColor="accent6"/>
        </w:rPr>
        <w:t>2</w:t>
      </w:r>
      <w:r w:rsidRPr="0003020F">
        <w:rPr>
          <w:color w:val="70AD47" w:themeColor="accent6"/>
        </w:rPr>
        <w:fldChar w:fldCharType="end"/>
      </w:r>
      <w:r w:rsidRPr="0003020F">
        <w:rPr>
          <w:color w:val="70AD47" w:themeColor="accent6"/>
        </w:rPr>
        <w:t>: het aantal informele re-integratietrajecten ligt bijna 10 maal hoger dan het aantal formele re-integratietrajecten (Bron: IDEWE en Mensura).</w:t>
      </w:r>
    </w:p>
    <w:p w14:paraId="6A53E973" w14:textId="77777777" w:rsidR="00AA147A" w:rsidRDefault="00AA147A" w:rsidP="00AA147A">
      <w:pPr>
        <w:keepNext/>
      </w:pPr>
      <w:r>
        <w:rPr>
          <w:noProof/>
        </w:rPr>
        <w:drawing>
          <wp:inline distT="0" distB="0" distL="0" distR="0" wp14:anchorId="2548615E" wp14:editId="64CC2C3C">
            <wp:extent cx="6214110" cy="287827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994" cy="2888873"/>
                    </a:xfrm>
                    <a:prstGeom prst="rect">
                      <a:avLst/>
                    </a:prstGeom>
                    <a:noFill/>
                    <a:ln>
                      <a:noFill/>
                    </a:ln>
                  </pic:spPr>
                </pic:pic>
              </a:graphicData>
            </a:graphic>
          </wp:inline>
        </w:drawing>
      </w:r>
    </w:p>
    <w:p w14:paraId="302FC435" w14:textId="3B8F8775" w:rsidR="00AA147A" w:rsidRDefault="00AA147A" w:rsidP="00AA147A">
      <w:pPr>
        <w:pStyle w:val="Bijschrift"/>
        <w:rPr>
          <w:color w:val="70AD47" w:themeColor="accent6"/>
        </w:rPr>
      </w:pPr>
      <w:r w:rsidRPr="0003020F">
        <w:rPr>
          <w:color w:val="70AD47" w:themeColor="accent6"/>
        </w:rPr>
        <w:t xml:space="preserve">Figuur </w:t>
      </w:r>
      <w:r w:rsidRPr="0003020F">
        <w:rPr>
          <w:color w:val="70AD47" w:themeColor="accent6"/>
        </w:rPr>
        <w:fldChar w:fldCharType="begin"/>
      </w:r>
      <w:r w:rsidRPr="0003020F">
        <w:rPr>
          <w:color w:val="70AD47" w:themeColor="accent6"/>
        </w:rPr>
        <w:instrText xml:space="preserve"> SEQ Figuur \* ARABIC </w:instrText>
      </w:r>
      <w:r w:rsidRPr="0003020F">
        <w:rPr>
          <w:color w:val="70AD47" w:themeColor="accent6"/>
        </w:rPr>
        <w:fldChar w:fldCharType="separate"/>
      </w:r>
      <w:r w:rsidRPr="0003020F">
        <w:rPr>
          <w:color w:val="70AD47" w:themeColor="accent6"/>
        </w:rPr>
        <w:t>3</w:t>
      </w:r>
      <w:r w:rsidRPr="0003020F">
        <w:rPr>
          <w:color w:val="70AD47" w:themeColor="accent6"/>
        </w:rPr>
        <w:fldChar w:fldCharType="end"/>
      </w:r>
      <w:r w:rsidRPr="0003020F">
        <w:rPr>
          <w:color w:val="70AD47" w:themeColor="accent6"/>
        </w:rPr>
        <w:t>: informele re-integratietrajecten hebben een veel grotere slaagkans dan formele trajecten. Snelheid speelt een grote rol (Bron: IDEWE &amp; Mensura).</w:t>
      </w:r>
    </w:p>
    <w:p w14:paraId="0C4C6B8C" w14:textId="77777777" w:rsidR="00AA147A" w:rsidRPr="00AA147A" w:rsidRDefault="00AA147A" w:rsidP="00AA147A"/>
    <w:p w14:paraId="33870085" w14:textId="77777777" w:rsidR="00AA147A" w:rsidRDefault="00AA147A" w:rsidP="00AA147A">
      <w:pPr>
        <w:pStyle w:val="Kop1"/>
      </w:pPr>
      <w:r>
        <w:rPr>
          <w:rFonts w:ascii="Cambria Math" w:hAnsi="Cambria Math" w:cs="Cambria Math"/>
        </w:rPr>
        <w:t>​</w:t>
      </w:r>
      <w:r w:rsidRPr="63194D8A">
        <w:rPr>
          <w:lang w:val="nl-NL"/>
        </w:rPr>
        <w:t>Beleidsaanbevelingen</w:t>
      </w:r>
      <w:r>
        <w:br/>
      </w:r>
    </w:p>
    <w:p w14:paraId="5D2BAAEF" w14:textId="77777777" w:rsidR="00AA147A" w:rsidRPr="00DF0FB8" w:rsidRDefault="00AA147A" w:rsidP="00AA147A">
      <w:r w:rsidRPr="00DF0FB8">
        <w:t xml:space="preserve">Om meer gezonde en gedeelde groei te realiseren zullen we alle beschikbare handen nodig hebben. Om dit te kunnen waarmaken, formuleren we beleidsaanbevelingen die helpen bij het uitbouwen van een gezond welzijnsbeleid in ondernemingen en bij het voorzien van een vlotte re-integratie van zieken op de werkvoer. </w:t>
      </w:r>
    </w:p>
    <w:p w14:paraId="6F496AA3" w14:textId="77777777" w:rsidR="00AA147A" w:rsidRPr="001F621C" w:rsidRDefault="00AA147A" w:rsidP="00AA147A">
      <w:pPr>
        <w:pStyle w:val="Lijstalinea"/>
        <w:numPr>
          <w:ilvl w:val="0"/>
          <w:numId w:val="1"/>
        </w:numPr>
        <w:rPr>
          <w:rFonts w:eastAsiaTheme="minorEastAsia"/>
          <w:b/>
          <w:bCs/>
        </w:rPr>
      </w:pPr>
      <w:r w:rsidRPr="63194D8A">
        <w:rPr>
          <w:rFonts w:ascii="Source Sans Pro" w:hAnsi="Source Sans Pro"/>
          <w:b/>
          <w:bCs/>
        </w:rPr>
        <w:t xml:space="preserve">Bekijk werken als iets positief. </w:t>
      </w:r>
      <w:r w:rsidRPr="63194D8A">
        <w:rPr>
          <w:rFonts w:ascii="Source Sans Pro" w:hAnsi="Source Sans Pro"/>
        </w:rPr>
        <w:t>Werken helpt om een zinvolle invulling te geven en kan bijdragen aan het voorkomen van uitval. Werken maakt bovendien deel uit van het wetenschappelijk onderbouwd hersteltraject voor de belangrijkste aandoeningen waaraan langdurig zieken lijden.</w:t>
      </w:r>
      <w:r w:rsidRPr="63194D8A">
        <w:rPr>
          <w:rFonts w:ascii="Source Sans Pro" w:hAnsi="Source Sans Pro"/>
          <w:b/>
          <w:bCs/>
        </w:rPr>
        <w:t xml:space="preserve"> </w:t>
      </w:r>
      <w:r w:rsidRPr="00DF0FB8">
        <w:rPr>
          <w:rFonts w:ascii="Source Sans Pro" w:hAnsi="Source Sans Pro"/>
        </w:rPr>
        <w:t>Maak daar gebruik van.</w:t>
      </w:r>
      <w:r w:rsidRPr="63194D8A">
        <w:rPr>
          <w:rFonts w:ascii="Source Sans Pro" w:hAnsi="Source Sans Pro"/>
          <w:b/>
          <w:bCs/>
        </w:rPr>
        <w:t xml:space="preserve"> </w:t>
      </w:r>
      <w:r w:rsidRPr="63194D8A">
        <w:rPr>
          <w:rFonts w:ascii="Calibri" w:eastAsia="Calibri" w:hAnsi="Calibri" w:cs="Calibri"/>
          <w:lang w:val="nl"/>
        </w:rPr>
        <w:t>Daarnaast moet ingezet worden</w:t>
      </w:r>
      <w:r w:rsidRPr="63194D8A">
        <w:rPr>
          <w:rFonts w:ascii="Source Sans Pro" w:hAnsi="Source Sans Pro"/>
          <w:b/>
          <w:bCs/>
        </w:rPr>
        <w:t xml:space="preserve"> op preventie via een strategisch ingebed en integraal welzijnsbeleid.</w:t>
      </w:r>
    </w:p>
    <w:p w14:paraId="6E8CEAEB" w14:textId="77777777" w:rsidR="00AA147A" w:rsidRPr="00B23BF6" w:rsidRDefault="00AA147A" w:rsidP="00AA147A">
      <w:pPr>
        <w:pStyle w:val="Lijstalinea"/>
        <w:rPr>
          <w:rFonts w:ascii="Source Sans Pro" w:hAnsi="Source Sans Pro"/>
        </w:rPr>
      </w:pPr>
    </w:p>
    <w:p w14:paraId="2F1D3561" w14:textId="77777777" w:rsidR="00AA147A" w:rsidRPr="003C4E1E" w:rsidRDefault="00AA147A" w:rsidP="00AA147A">
      <w:pPr>
        <w:pStyle w:val="Lijstalinea"/>
        <w:numPr>
          <w:ilvl w:val="0"/>
          <w:numId w:val="1"/>
        </w:numPr>
        <w:rPr>
          <w:rFonts w:eastAsiaTheme="minorEastAsia"/>
          <w:b/>
          <w:bCs/>
        </w:rPr>
      </w:pPr>
      <w:r w:rsidRPr="63194D8A">
        <w:rPr>
          <w:rFonts w:ascii="Source Sans Pro" w:hAnsi="Source Sans Pro"/>
          <w:b/>
          <w:bCs/>
        </w:rPr>
        <w:t xml:space="preserve">Focus op het potentieel en de competenties. </w:t>
      </w:r>
      <w:r w:rsidRPr="63194D8A">
        <w:rPr>
          <w:rFonts w:ascii="Source Sans Pro" w:hAnsi="Source Sans Pro"/>
        </w:rPr>
        <w:t xml:space="preserve">Veel personen die niet aan het werk zijn wegens ziekte hebben nog steeds veel competenties of slagen erin ze bij te werken. Ga na wat wel nog kan, vermeldt dit in het ziektebriefje en laat de doorverwijzing naar de arbeidsarts toe. </w:t>
      </w:r>
      <w:r w:rsidRPr="63194D8A">
        <w:rPr>
          <w:rFonts w:ascii="Source Sans Pro" w:hAnsi="Source Sans Pro"/>
          <w:b/>
          <w:bCs/>
        </w:rPr>
        <w:t>Maak het mogelijk om een dialoog te behouden tussen de werkplek en de werknemer</w:t>
      </w:r>
      <w:r w:rsidRPr="63194D8A">
        <w:rPr>
          <w:rFonts w:ascii="Source Sans Pro" w:hAnsi="Source Sans Pro"/>
        </w:rPr>
        <w:t>.</w:t>
      </w:r>
    </w:p>
    <w:p w14:paraId="0E959565" w14:textId="77777777" w:rsidR="00AA147A" w:rsidRDefault="00AA147A" w:rsidP="00AA147A">
      <w:pPr>
        <w:pStyle w:val="Lijstalinea"/>
      </w:pPr>
    </w:p>
    <w:p w14:paraId="1B90FE4A" w14:textId="77777777" w:rsidR="00AA147A" w:rsidRPr="004310D8" w:rsidRDefault="00AA147A" w:rsidP="00AA147A">
      <w:pPr>
        <w:pStyle w:val="Lijstalinea"/>
        <w:numPr>
          <w:ilvl w:val="0"/>
          <w:numId w:val="1"/>
        </w:numPr>
        <w:rPr>
          <w:rFonts w:eastAsiaTheme="minorEastAsia"/>
          <w:b/>
          <w:bCs/>
          <w:lang w:val="nl-NL"/>
        </w:rPr>
      </w:pPr>
      <w:r w:rsidRPr="63194D8A">
        <w:rPr>
          <w:rFonts w:ascii="Source Sans Pro" w:hAnsi="Source Sans Pro"/>
          <w:b/>
          <w:bCs/>
        </w:rPr>
        <w:t>Integreer zo snel mogelijk.</w:t>
      </w:r>
      <w:r w:rsidRPr="63194D8A">
        <w:rPr>
          <w:rFonts w:ascii="Source Sans Pro" w:hAnsi="Source Sans Pro"/>
        </w:rPr>
        <w:t xml:space="preserve"> </w:t>
      </w:r>
      <w:proofErr w:type="spellStart"/>
      <w:r w:rsidRPr="63194D8A">
        <w:rPr>
          <w:rFonts w:ascii="Source Sans Pro" w:hAnsi="Source Sans Pro"/>
          <w:lang w:val="nl-NL"/>
        </w:rPr>
        <w:t>Voka</w:t>
      </w:r>
      <w:proofErr w:type="spellEnd"/>
      <w:r w:rsidRPr="63194D8A">
        <w:rPr>
          <w:rFonts w:ascii="Source Sans Pro" w:hAnsi="Source Sans Pro"/>
          <w:lang w:val="nl-NL"/>
        </w:rPr>
        <w:t xml:space="preserve"> vraagt om de re-integratie te starten na vier weken afwezigheid wegens ziekte met een verplichte probleemanalyse. Na zes weken moet een plan voor re-integratie, aangepast werk, opleiding of heroriëntering klaar zijn. Beperk je niet tot langdurig zieken: iedereen moet worden gesensibiliseerd, geïnformeerd en begeleid om de weg terug te vinden naar de arbeidsmarkt. </w:t>
      </w:r>
    </w:p>
    <w:p w14:paraId="24781202" w14:textId="77777777" w:rsidR="00AA147A" w:rsidRPr="004310D8" w:rsidRDefault="00AA147A" w:rsidP="00AA147A">
      <w:pPr>
        <w:pStyle w:val="Lijstalinea"/>
        <w:rPr>
          <w:rFonts w:ascii="Source Sans Pro" w:hAnsi="Source Sans Pro"/>
        </w:rPr>
      </w:pPr>
    </w:p>
    <w:p w14:paraId="2D57A840" w14:textId="77777777" w:rsidR="00AA147A" w:rsidRPr="004310D8" w:rsidRDefault="00AA147A" w:rsidP="00AA147A">
      <w:pPr>
        <w:pStyle w:val="Lijstalinea"/>
        <w:numPr>
          <w:ilvl w:val="0"/>
          <w:numId w:val="1"/>
        </w:numPr>
        <w:rPr>
          <w:rFonts w:eastAsiaTheme="minorEastAsia"/>
          <w:lang w:val="nl-NL"/>
        </w:rPr>
      </w:pPr>
      <w:r w:rsidRPr="6EE23A5D">
        <w:rPr>
          <w:rFonts w:ascii="Source Sans Pro" w:hAnsi="Source Sans Pro"/>
          <w:b/>
          <w:bCs/>
        </w:rPr>
        <w:t xml:space="preserve">Vereenvoudig sterk het aantal artsen en het aantal re-integratietrajecten. </w:t>
      </w:r>
      <w:r w:rsidRPr="6EE23A5D">
        <w:rPr>
          <w:rFonts w:ascii="Source Sans Pro" w:hAnsi="Source Sans Pro"/>
        </w:rPr>
        <w:t>Het re-integratiebeleid is te complex en te sequentieel om tot een doeltreffende re-integratie te komen. De behandelend arts en bedrijfsarts leveren als experten de nodige medische en werkgerelateerde expertise aan. De adviserend arts en de Terug-Naar-Werk-coördinator springen bij wanneer de gemaakte afspraken niet nageleefd worden.</w:t>
      </w:r>
    </w:p>
    <w:p w14:paraId="16DE6AB5" w14:textId="77777777" w:rsidR="00AA147A" w:rsidRPr="0054642F" w:rsidRDefault="00AA147A" w:rsidP="00AA147A">
      <w:pPr>
        <w:pStyle w:val="Lijstalinea"/>
        <w:rPr>
          <w:rFonts w:ascii="Source Sans Pro" w:hAnsi="Source Sans Pro" w:cs="Calibri"/>
          <w:lang w:val="nl-NL"/>
        </w:rPr>
      </w:pPr>
    </w:p>
    <w:p w14:paraId="6DB051DB" w14:textId="77777777" w:rsidR="00AA147A" w:rsidRPr="00382BFA" w:rsidRDefault="00AA147A" w:rsidP="00AA147A">
      <w:pPr>
        <w:pStyle w:val="Lijstalinea"/>
        <w:numPr>
          <w:ilvl w:val="0"/>
          <w:numId w:val="1"/>
        </w:numPr>
        <w:rPr>
          <w:rFonts w:ascii="Source Sans Pro" w:hAnsi="Source Sans Pro"/>
          <w:b/>
          <w:bCs/>
        </w:rPr>
      </w:pPr>
      <w:r w:rsidRPr="6EE23A5D">
        <w:rPr>
          <w:rFonts w:ascii="Source Sans Pro" w:hAnsi="Source Sans Pro"/>
          <w:b/>
          <w:bCs/>
          <w:lang w:val="nl-NL"/>
        </w:rPr>
        <w:t xml:space="preserve">Verbreed </w:t>
      </w:r>
      <w:r w:rsidRPr="6EE23A5D">
        <w:rPr>
          <w:rFonts w:ascii="Source Sans Pro" w:hAnsi="Source Sans Pro"/>
          <w:b/>
          <w:bCs/>
        </w:rPr>
        <w:t>en responsabiliseer activering.</w:t>
      </w:r>
      <w:r w:rsidRPr="6EE23A5D">
        <w:rPr>
          <w:rFonts w:ascii="Source Sans Pro" w:hAnsi="Source Sans Pro"/>
        </w:rPr>
        <w:t xml:space="preserve"> De aanpak is vandaag te versnipperd en te complex. Breid de samenwerking tussen RIZIV en VDAB uit tot </w:t>
      </w:r>
      <w:r w:rsidRPr="6EE23A5D">
        <w:rPr>
          <w:rFonts w:ascii="Source Sans Pro" w:hAnsi="Source Sans Pro"/>
          <w:b/>
          <w:bCs/>
        </w:rPr>
        <w:t xml:space="preserve">40.000 toeleidingen per jaar. </w:t>
      </w:r>
      <w:r w:rsidRPr="6EE23A5D">
        <w:rPr>
          <w:rFonts w:ascii="Source Sans Pro" w:hAnsi="Source Sans Pro"/>
          <w:lang w:val="nl-NL"/>
        </w:rPr>
        <w:t xml:space="preserve">Beperk je niet tot langdurig zieken: iedereen moet worden gesensibiliseerd, geïnformeerd en begeleid om de weg terug te vinden naar de arbeidsmarkt. </w:t>
      </w:r>
      <w:r w:rsidRPr="6EE23A5D">
        <w:rPr>
          <w:rFonts w:ascii="Source Sans Pro" w:hAnsi="Source Sans Pro"/>
        </w:rPr>
        <w:t xml:space="preserve">Terug naar werk moet de norm zijn in plaats van de uitzondering.  </w:t>
      </w:r>
    </w:p>
    <w:p w14:paraId="20412FED" w14:textId="77777777" w:rsidR="00AA147A" w:rsidRPr="0054642F" w:rsidRDefault="00AA147A" w:rsidP="00AA147A">
      <w:pPr>
        <w:pStyle w:val="Lijstalinea"/>
        <w:rPr>
          <w:rFonts w:ascii="Source Sans Pro" w:hAnsi="Source Sans Pro"/>
          <w:b/>
        </w:rPr>
      </w:pPr>
    </w:p>
    <w:p w14:paraId="7FD86A31" w14:textId="77777777" w:rsidR="00AA147A" w:rsidRDefault="00AA147A" w:rsidP="00AA147A">
      <w:pPr>
        <w:pStyle w:val="Lijstalinea"/>
        <w:numPr>
          <w:ilvl w:val="0"/>
          <w:numId w:val="1"/>
        </w:numPr>
        <w:rPr>
          <w:rFonts w:ascii="Source Sans Pro" w:hAnsi="Source Sans Pro"/>
        </w:rPr>
      </w:pPr>
      <w:r w:rsidRPr="6EE23A5D">
        <w:rPr>
          <w:rFonts w:ascii="Source Sans Pro" w:hAnsi="Source Sans Pro"/>
          <w:b/>
          <w:bCs/>
        </w:rPr>
        <w:t xml:space="preserve">Combineer ziekte met werk of opleiding. </w:t>
      </w:r>
      <w:r w:rsidRPr="6EE23A5D">
        <w:rPr>
          <w:rFonts w:ascii="Source Sans Pro" w:hAnsi="Source Sans Pro"/>
        </w:rPr>
        <w:t>Laat toe om flexibel werk of opleiding te combineren met ziekte(uitkering) zowel preventief als tijdens de re-integratie. Degressieve tewerkstelling en progressieve werkhervatting worden gesteund door combinatie van loon en uitkering. Door contact te houden wordt de drempel naar terugkeer sterk beperkt.</w:t>
      </w:r>
    </w:p>
    <w:p w14:paraId="2C6EC480" w14:textId="77777777" w:rsidR="00AA147A" w:rsidRDefault="00AA147A" w:rsidP="00AA147A">
      <w:pPr>
        <w:pStyle w:val="Lijstalinea"/>
        <w:rPr>
          <w:rFonts w:ascii="Source Sans Pro" w:hAnsi="Source Sans Pro"/>
        </w:rPr>
      </w:pPr>
    </w:p>
    <w:p w14:paraId="30752F27" w14:textId="77777777" w:rsidR="00AA147A" w:rsidRPr="002D3D38" w:rsidRDefault="00AA147A" w:rsidP="00AA147A">
      <w:pPr>
        <w:pStyle w:val="Lijstalinea"/>
        <w:numPr>
          <w:ilvl w:val="0"/>
          <w:numId w:val="1"/>
        </w:numPr>
        <w:rPr>
          <w:rFonts w:eastAsiaTheme="minorEastAsia"/>
        </w:rPr>
      </w:pPr>
      <w:r w:rsidRPr="63194D8A">
        <w:rPr>
          <w:rFonts w:ascii="Source Sans Pro" w:hAnsi="Source Sans Pro"/>
          <w:b/>
          <w:bCs/>
        </w:rPr>
        <w:t>Zorg voor een vlotte overgang.</w:t>
      </w:r>
      <w:r w:rsidRPr="63194D8A">
        <w:rPr>
          <w:rFonts w:ascii="Source Sans Pro" w:hAnsi="Source Sans Pro"/>
        </w:rPr>
        <w:t xml:space="preserve"> Transitietrajecten naar een andere werkgever of co-sourcing binnen werkgeversgroeperingen kunnen een oplossing bieden voor werkbehoud of werkhervatting.</w:t>
      </w:r>
      <w:r w:rsidRPr="002D3D38">
        <w:rPr>
          <w:rFonts w:ascii="Source Sans Pro" w:hAnsi="Source Sans Pro"/>
        </w:rPr>
        <w:t xml:space="preserve"> </w:t>
      </w:r>
      <w:r w:rsidRPr="63194D8A">
        <w:rPr>
          <w:rFonts w:ascii="Source Sans Pro" w:hAnsi="Source Sans Pro"/>
        </w:rPr>
        <w:t xml:space="preserve">Gebruik jobcoaching en outsourcing om snel en effectief een geschikte </w:t>
      </w:r>
      <w:r>
        <w:rPr>
          <w:rFonts w:ascii="Source Sans Pro" w:hAnsi="Source Sans Pro"/>
        </w:rPr>
        <w:t>j</w:t>
      </w:r>
      <w:r w:rsidRPr="63194D8A">
        <w:rPr>
          <w:rFonts w:ascii="Source Sans Pro" w:hAnsi="Source Sans Pro"/>
        </w:rPr>
        <w:t>ob te vinden.</w:t>
      </w:r>
    </w:p>
    <w:p w14:paraId="1A9EBE0B" w14:textId="77777777" w:rsidR="00AA147A" w:rsidRPr="002D3D38" w:rsidRDefault="00AA147A" w:rsidP="00AA147A">
      <w:pPr>
        <w:pStyle w:val="Lijstalinea"/>
        <w:rPr>
          <w:rFonts w:ascii="Source Sans Pro" w:hAnsi="Source Sans Pro"/>
        </w:rPr>
      </w:pPr>
    </w:p>
    <w:p w14:paraId="56ED5B6D" w14:textId="77777777" w:rsidR="00AA147A" w:rsidRPr="002D3D38" w:rsidRDefault="00AA147A" w:rsidP="00AA147A">
      <w:pPr>
        <w:pStyle w:val="Lijstalinea"/>
        <w:numPr>
          <w:ilvl w:val="0"/>
          <w:numId w:val="1"/>
        </w:numPr>
        <w:rPr>
          <w:rFonts w:eastAsiaTheme="minorEastAsia"/>
          <w:b/>
          <w:bCs/>
        </w:rPr>
      </w:pPr>
      <w:r w:rsidRPr="63194D8A">
        <w:rPr>
          <w:rFonts w:ascii="Source Sans Pro" w:hAnsi="Source Sans Pro"/>
          <w:b/>
          <w:bCs/>
        </w:rPr>
        <w:t>Stimuleer werken.</w:t>
      </w:r>
      <w:r w:rsidRPr="63194D8A">
        <w:rPr>
          <w:rFonts w:ascii="Source Sans Pro" w:hAnsi="Source Sans Pro"/>
        </w:rPr>
        <w:t xml:space="preserve"> Uitkeringsvallen moeten worden vermeden zodat werken altijd lonend is. Een zieke werknemer moet eenvoudig kunnen weten wat de financiële impact is van werk op de uitkering via een online-tool. Voorzie ook voor werkgevers incentives en financiële zekerheid bij de re-integratie van zieken. </w:t>
      </w:r>
    </w:p>
    <w:p w14:paraId="6AD93D9C" w14:textId="77777777" w:rsidR="00AA147A" w:rsidRPr="002D3D38" w:rsidRDefault="00AA147A" w:rsidP="00AA147A">
      <w:pPr>
        <w:pStyle w:val="Lijstalinea"/>
        <w:rPr>
          <w:rFonts w:eastAsiaTheme="minorEastAsia"/>
          <w:b/>
          <w:bCs/>
        </w:rPr>
      </w:pPr>
    </w:p>
    <w:p w14:paraId="2B1D81C9" w14:textId="77777777" w:rsidR="00AA147A" w:rsidRDefault="00AA147A" w:rsidP="00AA147A">
      <w:pPr>
        <w:pStyle w:val="Lijstalinea"/>
        <w:numPr>
          <w:ilvl w:val="0"/>
          <w:numId w:val="1"/>
        </w:numPr>
        <w:rPr>
          <w:rFonts w:eastAsiaTheme="minorEastAsia"/>
          <w:b/>
          <w:bCs/>
        </w:rPr>
      </w:pPr>
      <w:r w:rsidRPr="63194D8A">
        <w:rPr>
          <w:b/>
          <w:bCs/>
        </w:rPr>
        <w:t xml:space="preserve">Een gedeeld re-integratiedossier </w:t>
      </w:r>
      <w:r>
        <w:t xml:space="preserve">waar alle betrokken partijen toegang toe hebben is noodzakelijk voor de effectieve opvolging. Effectieve data-uitwisseling en monitoring zijn noodzakelijk om een objectief onderbouwde opvolging en aansturing van het activeringsbeleid te voorzien. </w:t>
      </w:r>
    </w:p>
    <w:p w14:paraId="2608B617" w14:textId="77777777" w:rsidR="00AA147A" w:rsidRPr="005C2C7F" w:rsidRDefault="00AA147A" w:rsidP="00AA147A">
      <w:pPr>
        <w:pStyle w:val="Lijstalinea"/>
        <w:rPr>
          <w:rFonts w:ascii="Source Sans Pro" w:hAnsi="Source Sans Pro"/>
          <w:b/>
          <w:bCs/>
        </w:rPr>
      </w:pPr>
    </w:p>
    <w:p w14:paraId="373E616E" w14:textId="77777777" w:rsidR="00AA147A" w:rsidRDefault="00AA147A" w:rsidP="00AA147A">
      <w:pPr>
        <w:pStyle w:val="Lijstalinea"/>
        <w:numPr>
          <w:ilvl w:val="0"/>
          <w:numId w:val="1"/>
        </w:numPr>
        <w:rPr>
          <w:rFonts w:ascii="Source Sans Pro" w:hAnsi="Source Sans Pro"/>
          <w:b/>
          <w:bCs/>
        </w:rPr>
      </w:pPr>
      <w:r w:rsidRPr="63194D8A">
        <w:rPr>
          <w:rFonts w:ascii="Source Sans Pro" w:hAnsi="Source Sans Pro"/>
          <w:b/>
          <w:bCs/>
        </w:rPr>
        <w:t xml:space="preserve">Iedereen aan boord. </w:t>
      </w:r>
      <w:r w:rsidRPr="63194D8A">
        <w:rPr>
          <w:rFonts w:ascii="Source Sans Pro" w:hAnsi="Source Sans Pro"/>
        </w:rPr>
        <w:t xml:space="preserve">Om een werkzaamheidsgraad van 85% te bereiken moeten alle actoren en instanties daartoe bijdragen, van het federale over het regionale tot het lokale niveau. Alle betrokken, overheden en bemiddelingsactoren moeten aangesproken én geresponsabiliseerd worden. </w:t>
      </w:r>
      <w:r w:rsidRPr="63194D8A">
        <w:rPr>
          <w:rFonts w:ascii="Source Sans Pro" w:hAnsi="Source Sans Pro"/>
          <w:b/>
          <w:bCs/>
        </w:rPr>
        <w:t>Voorzie een</w:t>
      </w:r>
      <w:r w:rsidRPr="63194D8A">
        <w:rPr>
          <w:rFonts w:ascii="Source Sans Pro" w:hAnsi="Source Sans Pro"/>
        </w:rPr>
        <w:t xml:space="preserve"> </w:t>
      </w:r>
      <w:r w:rsidRPr="63194D8A">
        <w:rPr>
          <w:rFonts w:ascii="Source Sans Pro" w:hAnsi="Source Sans Pro"/>
          <w:b/>
          <w:bCs/>
        </w:rPr>
        <w:t xml:space="preserve">systematische en periodieke opvolging in een </w:t>
      </w:r>
      <w:r w:rsidRPr="63194D8A">
        <w:rPr>
          <w:rFonts w:ascii="Source Sans Pro" w:hAnsi="Source Sans Pro"/>
        </w:rPr>
        <w:t>coherente activeringsaanpak over alle overheden, statuten en stelsels heen.</w:t>
      </w:r>
      <w:r w:rsidRPr="63194D8A">
        <w:rPr>
          <w:rFonts w:ascii="Source Sans Pro" w:hAnsi="Source Sans Pro"/>
          <w:b/>
          <w:bCs/>
        </w:rPr>
        <w:t xml:space="preserve"> </w:t>
      </w:r>
    </w:p>
    <w:p w14:paraId="195C72ED" w14:textId="609E7197" w:rsidR="00AA147A" w:rsidRDefault="00AA147A" w:rsidP="00AA147A"/>
    <w:p w14:paraId="0AB1B6DB" w14:textId="77777777" w:rsidR="00AA147A" w:rsidRDefault="00AA147A" w:rsidP="00AA147A">
      <w:pPr>
        <w:pStyle w:val="Kop1"/>
      </w:pPr>
      <w:r>
        <w:t>Contact</w:t>
      </w:r>
    </w:p>
    <w:p w14:paraId="5EC0B158" w14:textId="77777777" w:rsidR="00AA147A" w:rsidRDefault="00AA147A" w:rsidP="00AA147A">
      <w:r>
        <w:t>Daan Aeyels</w:t>
      </w:r>
      <w:r>
        <w:br/>
        <w:t>Senior Adviseur Welzijns- en Gezondheidsbeleid Voka vzw</w:t>
      </w:r>
    </w:p>
    <w:p w14:paraId="2160693E" w14:textId="77777777" w:rsidR="00AA147A" w:rsidRDefault="00AA147A" w:rsidP="00AA147A">
      <w:r>
        <w:t>0475298377</w:t>
      </w:r>
      <w:r>
        <w:br/>
      </w:r>
      <w:hyperlink r:id="rId8" w:history="1">
        <w:r w:rsidRPr="00CC372C">
          <w:rPr>
            <w:rStyle w:val="Hyperlink"/>
          </w:rPr>
          <w:t>daan.aeyels@voka.be</w:t>
        </w:r>
      </w:hyperlink>
      <w:r>
        <w:br/>
      </w:r>
      <w:hyperlink r:id="rId9" w:history="1">
        <w:r w:rsidRPr="00FA3AAB">
          <w:rPr>
            <w:rStyle w:val="Hyperlink"/>
          </w:rPr>
          <w:t>@daanaeyels</w:t>
        </w:r>
      </w:hyperlink>
    </w:p>
    <w:p w14:paraId="306D1E48" w14:textId="77777777" w:rsidR="00AA147A" w:rsidRDefault="00AA147A"/>
    <w:sectPr w:rsidR="00AA147A" w:rsidSect="00796EC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zpacho">
    <w:panose1 w:val="00000A00000000000000"/>
    <w:charset w:val="4D"/>
    <w:family w:val="auto"/>
    <w:notTrueType/>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E7292"/>
    <w:multiLevelType w:val="hybridMultilevel"/>
    <w:tmpl w:val="DCCE54AE"/>
    <w:lvl w:ilvl="0" w:tplc="FFFFFFFF">
      <w:start w:val="1"/>
      <w:numFmt w:val="decimal"/>
      <w:lvlText w:val="%1."/>
      <w:lvlJc w:val="left"/>
      <w:pPr>
        <w:ind w:left="720" w:hanging="360"/>
      </w:pPr>
      <w:rPr>
        <w:b w:val="0"/>
        <w:bCs/>
        <w:sz w:val="24"/>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064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7A"/>
    <w:rsid w:val="00AA14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77DFEF8"/>
  <w15:chartTrackingRefBased/>
  <w15:docId w15:val="{8FB88829-CF93-E145-AE64-69FDFDE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147A"/>
    <w:pPr>
      <w:spacing w:after="160" w:line="259" w:lineRule="auto"/>
    </w:pPr>
    <w:rPr>
      <w:kern w:val="0"/>
      <w:sz w:val="22"/>
      <w:szCs w:val="22"/>
      <w14:ligatures w14:val="none"/>
    </w:rPr>
  </w:style>
  <w:style w:type="paragraph" w:styleId="Kop1">
    <w:name w:val="heading 1"/>
    <w:basedOn w:val="Standaard"/>
    <w:next w:val="Standaard"/>
    <w:link w:val="Kop1Char"/>
    <w:uiPriority w:val="9"/>
    <w:qFormat/>
    <w:rsid w:val="00AA147A"/>
    <w:pPr>
      <w:keepNext/>
      <w:keepLines/>
      <w:spacing w:before="240" w:after="0"/>
      <w:jc w:val="both"/>
      <w:outlineLvl w:val="0"/>
    </w:pPr>
    <w:rPr>
      <w:rFonts w:ascii="Gazpacho" w:eastAsiaTheme="majorEastAsia" w:hAnsi="Gazpacho"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47A"/>
    <w:rPr>
      <w:rFonts w:ascii="Gazpacho" w:eastAsiaTheme="majorEastAsia" w:hAnsi="Gazpacho" w:cstheme="majorBidi"/>
      <w:color w:val="2F5496" w:themeColor="accent1" w:themeShade="BF"/>
      <w:kern w:val="0"/>
      <w:sz w:val="32"/>
      <w:szCs w:val="32"/>
      <w14:ligatures w14:val="none"/>
    </w:rPr>
  </w:style>
  <w:style w:type="character" w:styleId="Hyperlink">
    <w:name w:val="Hyperlink"/>
    <w:basedOn w:val="Standaardalinea-lettertype"/>
    <w:uiPriority w:val="99"/>
    <w:unhideWhenUsed/>
    <w:rsid w:val="00AA147A"/>
    <w:rPr>
      <w:color w:val="0563C1" w:themeColor="hyperlink"/>
      <w:u w:val="single"/>
    </w:rPr>
  </w:style>
  <w:style w:type="paragraph" w:styleId="Bijschrift">
    <w:name w:val="caption"/>
    <w:basedOn w:val="Standaard"/>
    <w:next w:val="Standaard"/>
    <w:uiPriority w:val="35"/>
    <w:unhideWhenUsed/>
    <w:qFormat/>
    <w:rsid w:val="00AA147A"/>
    <w:pPr>
      <w:spacing w:after="200" w:line="240" w:lineRule="auto"/>
    </w:pPr>
    <w:rPr>
      <w:i/>
      <w:iCs/>
      <w:color w:val="44546A" w:themeColor="text2"/>
      <w:sz w:val="18"/>
      <w:szCs w:val="18"/>
    </w:rPr>
  </w:style>
  <w:style w:type="paragraph" w:styleId="Lijstalinea">
    <w:name w:val="List Paragraph"/>
    <w:basedOn w:val="Standaard"/>
    <w:uiPriority w:val="34"/>
    <w:qFormat/>
    <w:rsid w:val="00AA147A"/>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an.aeyels@voka.b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daanaeyel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908</Words>
  <Characters>4998</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 Stas</dc:creator>
  <cp:keywords/>
  <dc:description/>
  <cp:lastModifiedBy>Yoann Stas</cp:lastModifiedBy>
  <cp:revision>1</cp:revision>
  <dcterms:created xsi:type="dcterms:W3CDTF">2023-01-29T16:28:00Z</dcterms:created>
  <dcterms:modified xsi:type="dcterms:W3CDTF">2023-01-29T16:29:00Z</dcterms:modified>
</cp:coreProperties>
</file>