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3971925</wp:posOffset>
            </wp:positionH>
            <wp:positionV relativeFrom="paragraph">
              <wp:posOffset>114300</wp:posOffset>
            </wp:positionV>
            <wp:extent cx="1641475" cy="609054"/>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1475" cy="60905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482600</wp:posOffset>
            </wp:positionH>
            <wp:positionV relativeFrom="paragraph">
              <wp:posOffset>250825</wp:posOffset>
            </wp:positionV>
            <wp:extent cx="1485900" cy="370434"/>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after="200"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after="20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Konfío y Delivery App se unen para impulsar a los </w:t>
      </w:r>
      <w:r w:rsidDel="00000000" w:rsidR="00000000" w:rsidRPr="00000000">
        <w:rPr>
          <w:rFonts w:ascii="Open Sans" w:cs="Open Sans" w:eastAsia="Open Sans" w:hAnsi="Open Sans"/>
          <w:b w:val="1"/>
          <w:sz w:val="28"/>
          <w:szCs w:val="28"/>
          <w:rtl w:val="0"/>
        </w:rPr>
        <w:t xml:space="preserve">negocios</w:t>
      </w:r>
      <w:r w:rsidDel="00000000" w:rsidR="00000000" w:rsidRPr="00000000">
        <w:rPr>
          <w:rFonts w:ascii="Open Sans" w:cs="Open Sans" w:eastAsia="Open Sans" w:hAnsi="Open Sans"/>
          <w:b w:val="1"/>
          <w:sz w:val="28"/>
          <w:szCs w:val="28"/>
          <w:rtl w:val="0"/>
        </w:rPr>
        <w:t xml:space="preserve"> de comida </w:t>
      </w:r>
    </w:p>
    <w:p w:rsidR="00000000" w:rsidDel="00000000" w:rsidP="00000000" w:rsidRDefault="00000000" w:rsidRPr="00000000" w14:paraId="00000006">
      <w:pPr>
        <w:spacing w:line="240" w:lineRule="auto"/>
        <w:jc w:val="left"/>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En </w:t>
      </w:r>
      <w:r w:rsidDel="00000000" w:rsidR="00000000" w:rsidRPr="00000000">
        <w:rPr>
          <w:rFonts w:ascii="Open Sans" w:cs="Open Sans" w:eastAsia="Open Sans" w:hAnsi="Open Sans"/>
          <w:i w:val="1"/>
          <w:rtl w:val="0"/>
        </w:rPr>
        <w:t xml:space="preserve">2021</w:t>
      </w:r>
      <w:r w:rsidDel="00000000" w:rsidR="00000000" w:rsidRPr="00000000">
        <w:rPr>
          <w:rFonts w:ascii="Open Sans" w:cs="Open Sans" w:eastAsia="Open Sans" w:hAnsi="Open Sans"/>
          <w:i w:val="1"/>
          <w:rtl w:val="0"/>
        </w:rPr>
        <w:t xml:space="preserve">, el </w:t>
      </w:r>
      <w:r w:rsidDel="00000000" w:rsidR="00000000" w:rsidRPr="00000000">
        <w:rPr>
          <w:rFonts w:ascii="Open Sans" w:cs="Open Sans" w:eastAsia="Open Sans" w:hAnsi="Open Sans"/>
          <w:rtl w:val="0"/>
        </w:rPr>
        <w:t xml:space="preserve">delivery</w:t>
      </w:r>
      <w:r w:rsidDel="00000000" w:rsidR="00000000" w:rsidRPr="00000000">
        <w:rPr>
          <w:rFonts w:ascii="Open Sans" w:cs="Open Sans" w:eastAsia="Open Sans" w:hAnsi="Open Sans"/>
          <w:i w:val="1"/>
          <w:rtl w:val="0"/>
        </w:rPr>
        <w:t xml:space="preserve"> de alimentos se colocó como la principal categoría de ventas online, con un crecimiento del 66%, de acuerdo con la AMVO; sin embargo, este boom se tradujo en un incremento del costo de entrega para los restaurantes.</w:t>
      </w:r>
    </w:p>
    <w:p w:rsidR="00000000" w:rsidDel="00000000" w:rsidP="00000000" w:rsidRDefault="00000000" w:rsidRPr="00000000" w14:paraId="00000008">
      <w:pPr>
        <w:numPr>
          <w:ilvl w:val="0"/>
          <w:numId w:val="1"/>
        </w:numPr>
        <w:spacing w:after="0" w:line="240" w:lineRule="auto"/>
        <w:ind w:left="720" w:hanging="360"/>
        <w:jc w:val="both"/>
        <w:rPr>
          <w:rFonts w:ascii="Open Sans" w:cs="Open Sans" w:eastAsia="Open Sans" w:hAnsi="Open Sans"/>
          <w:i w:val="1"/>
          <w:u w:val="none"/>
        </w:rPr>
      </w:pPr>
      <w:r w:rsidDel="00000000" w:rsidR="00000000" w:rsidRPr="00000000">
        <w:rPr>
          <w:rFonts w:ascii="Open Sans" w:cs="Open Sans" w:eastAsia="Open Sans" w:hAnsi="Open Sans"/>
          <w:i w:val="1"/>
          <w:rtl w:val="0"/>
        </w:rPr>
        <w:t xml:space="preserve">Ante ello, Konfío y Delivery App presentan una alianza estratégica a través de soluciones de pago digitales y una herramienta omnicanal de </w:t>
      </w:r>
      <w:r w:rsidDel="00000000" w:rsidR="00000000" w:rsidRPr="00000000">
        <w:rPr>
          <w:rFonts w:ascii="Open Sans" w:cs="Open Sans" w:eastAsia="Open Sans" w:hAnsi="Open Sans"/>
          <w:rtl w:val="0"/>
        </w:rPr>
        <w:t xml:space="preserve">delivery </w:t>
      </w:r>
      <w:r w:rsidDel="00000000" w:rsidR="00000000" w:rsidRPr="00000000">
        <w:rPr>
          <w:rFonts w:ascii="Open Sans" w:cs="Open Sans" w:eastAsia="Open Sans" w:hAnsi="Open Sans"/>
          <w:i w:val="1"/>
          <w:rtl w:val="0"/>
        </w:rPr>
        <w:t xml:space="preserve">que optimiza las entregas.</w:t>
      </w:r>
    </w:p>
    <w:p w:rsidR="00000000" w:rsidDel="00000000" w:rsidP="00000000" w:rsidRDefault="00000000" w:rsidRPr="00000000" w14:paraId="00000009">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06 de abril de 2022.-</w:t>
      </w:r>
      <w:r w:rsidDel="00000000" w:rsidR="00000000" w:rsidRPr="00000000">
        <w:rPr>
          <w:rFonts w:ascii="Open Sans" w:cs="Open Sans" w:eastAsia="Open Sans" w:hAnsi="Open Sans"/>
          <w:rtl w:val="0"/>
        </w:rPr>
        <w:t xml:space="preserve"> </w:t>
      </w:r>
      <w:hyperlink r:id="rId9">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 y </w:t>
      </w:r>
      <w:hyperlink r:id="rId10">
        <w:r w:rsidDel="00000000" w:rsidR="00000000" w:rsidRPr="00000000">
          <w:rPr>
            <w:rFonts w:ascii="Open Sans" w:cs="Open Sans" w:eastAsia="Open Sans" w:hAnsi="Open Sans"/>
            <w:color w:val="1155cc"/>
            <w:u w:val="single"/>
            <w:rtl w:val="0"/>
          </w:rPr>
          <w:t xml:space="preserve">Delivery App</w:t>
        </w:r>
      </w:hyperlink>
      <w:r w:rsidDel="00000000" w:rsidR="00000000" w:rsidRPr="00000000">
        <w:rPr>
          <w:rFonts w:ascii="Open Sans" w:cs="Open Sans" w:eastAsia="Open Sans" w:hAnsi="Open Sans"/>
          <w:rtl w:val="0"/>
        </w:rPr>
        <w:t xml:space="preserve">, plataforma de Napse que permite a restaurantes de cualquier tamaño ofrecer opciones de pago e integrar todos los pedidos en un solo lugar, presentaron hoy una alianza estratégica para impulsar a los negocios de comida del país, a través de soluciones de pago digitales y una herramienta de </w:t>
      </w:r>
      <w:r w:rsidDel="00000000" w:rsidR="00000000" w:rsidRPr="00000000">
        <w:rPr>
          <w:rFonts w:ascii="Open Sans" w:cs="Open Sans" w:eastAsia="Open Sans" w:hAnsi="Open Sans"/>
          <w:i w:val="1"/>
          <w:rtl w:val="0"/>
        </w:rPr>
        <w:t xml:space="preserve">delivery</w:t>
      </w:r>
      <w:r w:rsidDel="00000000" w:rsidR="00000000" w:rsidRPr="00000000">
        <w:rPr>
          <w:rFonts w:ascii="Open Sans" w:cs="Open Sans" w:eastAsia="Open Sans" w:hAnsi="Open Sans"/>
          <w:rtl w:val="0"/>
        </w:rPr>
        <w:t xml:space="preserve"> de alimentos sin comisiones que optimiza la operación interna.</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el confinamiento, el </w:t>
      </w:r>
      <w:r w:rsidDel="00000000" w:rsidR="00000000" w:rsidRPr="00000000">
        <w:rPr>
          <w:rFonts w:ascii="Open Sans" w:cs="Open Sans" w:eastAsia="Open Sans" w:hAnsi="Open Sans"/>
          <w:i w:val="1"/>
          <w:rtl w:val="0"/>
        </w:rPr>
        <w:t xml:space="preserve">delivery</w:t>
      </w:r>
      <w:r w:rsidDel="00000000" w:rsidR="00000000" w:rsidRPr="00000000">
        <w:rPr>
          <w:rFonts w:ascii="Open Sans" w:cs="Open Sans" w:eastAsia="Open Sans" w:hAnsi="Open Sans"/>
          <w:rtl w:val="0"/>
        </w:rPr>
        <w:t xml:space="preserve"> se posicionó como una vía para mantener las ventas de comida en canales digitales. De hecho, este </w:t>
      </w:r>
      <w:r w:rsidDel="00000000" w:rsidR="00000000" w:rsidRPr="00000000">
        <w:rPr>
          <w:rFonts w:ascii="Open Sans" w:cs="Open Sans" w:eastAsia="Open Sans" w:hAnsi="Open Sans"/>
          <w:i w:val="1"/>
          <w:rtl w:val="0"/>
        </w:rPr>
        <w:t xml:space="preserve">boom</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se colocó como la principal categoría del </w:t>
      </w:r>
      <w:r w:rsidDel="00000000" w:rsidR="00000000" w:rsidRPr="00000000">
        <w:rPr>
          <w:rFonts w:ascii="Open Sans" w:cs="Open Sans" w:eastAsia="Open Sans" w:hAnsi="Open Sans"/>
          <w:i w:val="1"/>
          <w:rtl w:val="0"/>
        </w:rPr>
        <w:t xml:space="preserve">ecommerce</w:t>
      </w:r>
      <w:r w:rsidDel="00000000" w:rsidR="00000000" w:rsidRPr="00000000">
        <w:rPr>
          <w:rFonts w:ascii="Open Sans" w:cs="Open Sans" w:eastAsia="Open Sans" w:hAnsi="Open Sans"/>
          <w:rtl w:val="0"/>
        </w:rPr>
        <w:t xml:space="preserve">, con un crecimiento del 66%, de acuerdo con </w:t>
      </w:r>
      <w:hyperlink r:id="rId11">
        <w:r w:rsidDel="00000000" w:rsidR="00000000" w:rsidRPr="00000000">
          <w:rPr>
            <w:rFonts w:ascii="Open Sans" w:cs="Open Sans" w:eastAsia="Open Sans" w:hAnsi="Open Sans"/>
            <w:color w:val="1155cc"/>
            <w:u w:val="single"/>
            <w:rtl w:val="0"/>
          </w:rPr>
          <w:t xml:space="preserve">información</w:t>
        </w:r>
      </w:hyperlink>
      <w:r w:rsidDel="00000000" w:rsidR="00000000" w:rsidRPr="00000000">
        <w:rPr>
          <w:rFonts w:ascii="Open Sans" w:cs="Open Sans" w:eastAsia="Open Sans" w:hAnsi="Open Sans"/>
          <w:rtl w:val="0"/>
        </w:rPr>
        <w:t xml:space="preserve"> del “</w:t>
      </w:r>
      <w:r w:rsidDel="00000000" w:rsidR="00000000" w:rsidRPr="00000000">
        <w:rPr>
          <w:rFonts w:ascii="Open Sans" w:cs="Open Sans" w:eastAsia="Open Sans" w:hAnsi="Open Sans"/>
          <w:i w:val="1"/>
          <w:rtl w:val="0"/>
        </w:rPr>
        <w:t xml:space="preserve">Estudio sobre Venta Online 2021</w:t>
      </w:r>
      <w:r w:rsidDel="00000000" w:rsidR="00000000" w:rsidRPr="00000000">
        <w:rPr>
          <w:rFonts w:ascii="Open Sans" w:cs="Open Sans" w:eastAsia="Open Sans" w:hAnsi="Open Sans"/>
          <w:rtl w:val="0"/>
        </w:rPr>
        <w:t xml:space="preserve">”, de la AMVO. No obstante, con ello los restaurantes enfrentan desafíos clave, como las elevadas comisiones de hasta doble dígito por parte de las </w:t>
      </w:r>
      <w:r w:rsidDel="00000000" w:rsidR="00000000" w:rsidRPr="00000000">
        <w:rPr>
          <w:rFonts w:ascii="Open Sans" w:cs="Open Sans" w:eastAsia="Open Sans" w:hAnsi="Open Sans"/>
          <w:i w:val="1"/>
          <w:rtl w:val="0"/>
        </w:rPr>
        <w:t xml:space="preserve">apps</w:t>
      </w:r>
      <w:r w:rsidDel="00000000" w:rsidR="00000000" w:rsidRPr="00000000">
        <w:rPr>
          <w:rFonts w:ascii="Open Sans" w:cs="Open Sans" w:eastAsia="Open Sans" w:hAnsi="Open Sans"/>
          <w:rtl w:val="0"/>
        </w:rPr>
        <w:t xml:space="preserve"> disponibles en el mercado, así como la posibilidad de recibir diferentes opciones de pagos digitales.</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Esta alianza con Delivery App responde a las necesidades de un sector tan relevante como lo es el de los negocios de comida en México, el cual se vio impactado con la pandemia, tras el </w:t>
      </w:r>
      <w:hyperlink r:id="rId12">
        <w:r w:rsidDel="00000000" w:rsidR="00000000" w:rsidRPr="00000000">
          <w:rPr>
            <w:rFonts w:ascii="Open Sans" w:cs="Open Sans" w:eastAsia="Open Sans" w:hAnsi="Open Sans"/>
            <w:i w:val="1"/>
            <w:color w:val="1155cc"/>
            <w:u w:val="single"/>
            <w:rtl w:val="0"/>
          </w:rPr>
          <w:t xml:space="preserve">cierre</w:t>
        </w:r>
      </w:hyperlink>
      <w:r w:rsidDel="00000000" w:rsidR="00000000" w:rsidRPr="00000000">
        <w:rPr>
          <w:rFonts w:ascii="Open Sans" w:cs="Open Sans" w:eastAsia="Open Sans" w:hAnsi="Open Sans"/>
          <w:i w:val="1"/>
          <w:rtl w:val="0"/>
        </w:rPr>
        <w:t xml:space="preserve"> de 2 de cada 10 establecimientos durante los momentos más críticos. En este contexto, buscamos acercar soluciones para que los emprendedores del </w:t>
      </w:r>
      <w:r w:rsidDel="00000000" w:rsidR="00000000" w:rsidRPr="00000000">
        <w:rPr>
          <w:rFonts w:ascii="Open Sans" w:cs="Open Sans" w:eastAsia="Open Sans" w:hAnsi="Open Sans"/>
          <w:rtl w:val="0"/>
        </w:rPr>
        <w:t xml:space="preserve">food service </w:t>
      </w:r>
      <w:r w:rsidDel="00000000" w:rsidR="00000000" w:rsidRPr="00000000">
        <w:rPr>
          <w:rFonts w:ascii="Open Sans" w:cs="Open Sans" w:eastAsia="Open Sans" w:hAnsi="Open Sans"/>
          <w:i w:val="1"/>
          <w:rtl w:val="0"/>
        </w:rPr>
        <w:t xml:space="preserve">puedan ofrecer un servicio eficiente y rápido de cara a la recuperación económica y la creciente adopción del </w:t>
      </w:r>
      <w:r w:rsidDel="00000000" w:rsidR="00000000" w:rsidRPr="00000000">
        <w:rPr>
          <w:rFonts w:ascii="Open Sans" w:cs="Open Sans" w:eastAsia="Open Sans" w:hAnsi="Open Sans"/>
          <w:rtl w:val="0"/>
        </w:rPr>
        <w:t xml:space="preserve">delivery</w:t>
      </w:r>
      <w:r w:rsidDel="00000000" w:rsidR="00000000" w:rsidRPr="00000000">
        <w:rPr>
          <w:rFonts w:ascii="Open Sans" w:cs="Open Sans" w:eastAsia="Open Sans" w:hAnsi="Open Sans"/>
          <w:i w:val="1"/>
          <w:rtl w:val="0"/>
        </w:rPr>
        <w:t xml:space="preserve">, además de una variedad de medios de pago para diversificar las opciones ante consumidores más digitales</w:t>
      </w:r>
      <w:r w:rsidDel="00000000" w:rsidR="00000000" w:rsidRPr="00000000">
        <w:rPr>
          <w:rFonts w:ascii="Open Sans" w:cs="Open Sans" w:eastAsia="Open Sans" w:hAnsi="Open Sans"/>
          <w:rtl w:val="0"/>
        </w:rPr>
        <w:t xml:space="preserve">”, comentó </w:t>
      </w:r>
      <w:r w:rsidDel="00000000" w:rsidR="00000000" w:rsidRPr="00000000">
        <w:rPr>
          <w:rFonts w:ascii="Open Sans" w:cs="Open Sans" w:eastAsia="Open Sans" w:hAnsi="Open Sans"/>
          <w:b w:val="1"/>
          <w:highlight w:val="cyan"/>
          <w:rtl w:val="0"/>
        </w:rPr>
        <w:t xml:space="preserve">Omar Muguerza VP Comercial</w:t>
      </w:r>
      <w:r w:rsidDel="00000000" w:rsidR="00000000" w:rsidRPr="00000000">
        <w:rPr>
          <w:rFonts w:ascii="Open Sans" w:cs="Open Sans" w:eastAsia="Open Sans" w:hAnsi="Open Sans"/>
          <w:b w:val="1"/>
          <w:rtl w:val="0"/>
        </w:rPr>
        <w:t xml:space="preserve"> de </w:t>
      </w:r>
      <w:r w:rsidDel="00000000" w:rsidR="00000000" w:rsidRPr="00000000">
        <w:rPr>
          <w:rFonts w:ascii="Open Sans" w:cs="Open Sans" w:eastAsia="Open Sans" w:hAnsi="Open Sans"/>
          <w:b w:val="1"/>
          <w:rtl w:val="0"/>
        </w:rPr>
        <w:t xml:space="preserve">Konfío</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commentRangeStart w:id="0"/>
      <w:r w:rsidDel="00000000" w:rsidR="00000000" w:rsidRPr="00000000">
        <w:rPr>
          <w:rFonts w:ascii="Open Sans" w:cs="Open Sans" w:eastAsia="Open Sans" w:hAnsi="Open Sans"/>
          <w:rtl w:val="0"/>
        </w:rPr>
        <w:t xml:space="preserve">Así, Konfío brindará su herramienta de </w:t>
      </w:r>
      <w:hyperlink r:id="rId13">
        <w:r w:rsidDel="00000000" w:rsidR="00000000" w:rsidRPr="00000000">
          <w:rPr>
            <w:rFonts w:ascii="Open Sans" w:cs="Open Sans" w:eastAsia="Open Sans" w:hAnsi="Open Sans"/>
            <w:color w:val="1155cc"/>
            <w:u w:val="single"/>
            <w:rtl w:val="0"/>
          </w:rPr>
          <w:t xml:space="preserve">pagos</w:t>
        </w:r>
      </w:hyperlink>
      <w:r w:rsidDel="00000000" w:rsidR="00000000" w:rsidRPr="00000000">
        <w:rPr>
          <w:rFonts w:ascii="Open Sans" w:cs="Open Sans" w:eastAsia="Open Sans" w:hAnsi="Open Sans"/>
          <w:rtl w:val="0"/>
        </w:rPr>
        <w:t xml:space="preserve"> a los negocios de comida que adquieran la plataforma de Delivery App, </w:t>
      </w:r>
      <w:r w:rsidDel="00000000" w:rsidR="00000000" w:rsidRPr="00000000">
        <w:rPr>
          <w:rFonts w:ascii="Open Sans" w:cs="Open Sans" w:eastAsia="Open Sans" w:hAnsi="Open Sans"/>
          <w:rtl w:val="0"/>
        </w:rPr>
        <w:t xml:space="preserve">con la tasa más competitiva del mercado. La solución de pagos de Konfío permite aceptar Visa, Mastercard, American Express y la mayoría de  tarjetas de despensa, otorgando altísimos niveles de seguridad tanto para el </w:t>
      </w:r>
      <w:r w:rsidDel="00000000" w:rsidR="00000000" w:rsidRPr="00000000">
        <w:rPr>
          <w:rFonts w:ascii="Open Sans" w:cs="Open Sans" w:eastAsia="Open Sans" w:hAnsi="Open Sans"/>
          <w:rtl w:val="0"/>
        </w:rPr>
        <w:t xml:space="preserve">restaurante</w:t>
      </w:r>
      <w:r w:rsidDel="00000000" w:rsidR="00000000" w:rsidRPr="00000000">
        <w:rPr>
          <w:rFonts w:ascii="Open Sans" w:cs="Open Sans" w:eastAsia="Open Sans" w:hAnsi="Open Sans"/>
          <w:rtl w:val="0"/>
        </w:rPr>
        <w:t xml:space="preserve"> como para sus consumidores, sin costos de mantenimiento mensual y ofreciendo el mejor servicio del mercado. Asimismo, cuenta con la posibilidad de </w:t>
      </w:r>
      <w:hyperlink r:id="rId14">
        <w:r w:rsidDel="00000000" w:rsidR="00000000" w:rsidRPr="00000000">
          <w:rPr>
            <w:rFonts w:ascii="Open Sans" w:cs="Open Sans" w:eastAsia="Open Sans" w:hAnsi="Open Sans"/>
            <w:color w:val="1155cc"/>
            <w:u w:val="single"/>
            <w:rtl w:val="0"/>
          </w:rPr>
          <w:t xml:space="preserve">cobrar a la distancia</w:t>
        </w:r>
      </w:hyperlink>
      <w:r w:rsidDel="00000000" w:rsidR="00000000" w:rsidRPr="00000000">
        <w:rPr>
          <w:rFonts w:ascii="Open Sans" w:cs="Open Sans" w:eastAsia="Open Sans" w:hAnsi="Open Sans"/>
          <w:rtl w:val="0"/>
        </w:rPr>
        <w:t xml:space="preserve">, a través de</w:t>
      </w:r>
      <w:r w:rsidDel="00000000" w:rsidR="00000000" w:rsidRPr="00000000">
        <w:rPr>
          <w:rFonts w:ascii="Open Sans" w:cs="Open Sans" w:eastAsia="Open Sans" w:hAnsi="Open Sans"/>
          <w:i w:val="1"/>
          <w:rtl w:val="0"/>
        </w:rPr>
        <w:t xml:space="preserve"> links</w:t>
      </w:r>
      <w:r w:rsidDel="00000000" w:rsidR="00000000" w:rsidRPr="00000000">
        <w:rPr>
          <w:rFonts w:ascii="Open Sans" w:cs="Open Sans" w:eastAsia="Open Sans" w:hAnsi="Open Sans"/>
          <w:rtl w:val="0"/>
        </w:rPr>
        <w:t xml:space="preserve"> de cobro por correo, SMS, redes sociales o WhatsApp, lo cual permite vender </w:t>
      </w:r>
      <w:r w:rsidDel="00000000" w:rsidR="00000000" w:rsidRPr="00000000">
        <w:rPr>
          <w:rFonts w:ascii="Open Sans" w:cs="Open Sans" w:eastAsia="Open Sans" w:hAnsi="Open Sans"/>
          <w:i w:val="1"/>
          <w:rtl w:val="0"/>
        </w:rPr>
        <w:t xml:space="preserve">online</w:t>
      </w:r>
      <w:r w:rsidDel="00000000" w:rsidR="00000000" w:rsidRPr="00000000">
        <w:rPr>
          <w:rFonts w:ascii="Open Sans" w:cs="Open Sans" w:eastAsia="Open Sans" w:hAnsi="Open Sans"/>
          <w:rtl w:val="0"/>
        </w:rPr>
        <w:t xml:space="preserve"> incluso sin página web.</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su parte, </w:t>
      </w:r>
      <w:r w:rsidDel="00000000" w:rsidR="00000000" w:rsidRPr="00000000">
        <w:rPr>
          <w:rFonts w:ascii="Open Sans" w:cs="Open Sans" w:eastAsia="Open Sans" w:hAnsi="Open Sans"/>
          <w:b w:val="1"/>
          <w:rtl w:val="0"/>
        </w:rPr>
        <w:t xml:space="preserve">Antonio Rivero, director comercial de Napse</w:t>
      </w:r>
      <w:r w:rsidDel="00000000" w:rsidR="00000000" w:rsidRPr="00000000">
        <w:rPr>
          <w:rFonts w:ascii="Open Sans" w:cs="Open Sans" w:eastAsia="Open Sans" w:hAnsi="Open Sans"/>
          <w:rtl w:val="0"/>
        </w:rPr>
        <w:t xml:space="preserve"> —compañía creadora de Delivery App, de origen brasileño y especializada en soluciones de automatización para el </w:t>
      </w:r>
      <w:r w:rsidDel="00000000" w:rsidR="00000000" w:rsidRPr="00000000">
        <w:rPr>
          <w:rFonts w:ascii="Open Sans" w:cs="Open Sans" w:eastAsia="Open Sans" w:hAnsi="Open Sans"/>
          <w:i w:val="1"/>
          <w:rtl w:val="0"/>
        </w:rPr>
        <w:t xml:space="preserve">retail</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comentó que “</w:t>
      </w:r>
      <w:r w:rsidDel="00000000" w:rsidR="00000000" w:rsidRPr="00000000">
        <w:rPr>
          <w:rFonts w:ascii="Open Sans" w:cs="Open Sans" w:eastAsia="Open Sans" w:hAnsi="Open Sans"/>
          <w:i w:val="1"/>
          <w:rtl w:val="0"/>
        </w:rPr>
        <w:t xml:space="preserve">además de sacrificar sus ganancias por las elevadas comisiones, las opciones de </w:t>
      </w:r>
      <w:r w:rsidDel="00000000" w:rsidR="00000000" w:rsidRPr="00000000">
        <w:rPr>
          <w:rFonts w:ascii="Open Sans" w:cs="Open Sans" w:eastAsia="Open Sans" w:hAnsi="Open Sans"/>
          <w:rtl w:val="0"/>
        </w:rPr>
        <w:t xml:space="preserve">delivery</w:t>
      </w:r>
      <w:r w:rsidDel="00000000" w:rsidR="00000000" w:rsidRPr="00000000">
        <w:rPr>
          <w:rFonts w:ascii="Open Sans" w:cs="Open Sans" w:eastAsia="Open Sans" w:hAnsi="Open Sans"/>
          <w:i w:val="1"/>
          <w:rtl w:val="0"/>
        </w:rPr>
        <w:t xml:space="preserve"> actuales no permiten conocer y tener contacto directo con los clientes para hacer encuestas de satisfacción, crear programas de lealtad u ofrecer promociones personalizadas; ante ello, Delivery App ofrece la posibilidad de generar opciones de fidelización de usuarios a partir de la </w:t>
      </w:r>
      <w:r w:rsidDel="00000000" w:rsidR="00000000" w:rsidRPr="00000000">
        <w:rPr>
          <w:rFonts w:ascii="Open Sans" w:cs="Open Sans" w:eastAsia="Open Sans" w:hAnsi="Open Sans"/>
          <w:rtl w:val="0"/>
        </w:rPr>
        <w:t xml:space="preserve">data</w:t>
      </w:r>
      <w:r w:rsidDel="00000000" w:rsidR="00000000" w:rsidRPr="00000000">
        <w:rPr>
          <w:rFonts w:ascii="Open Sans" w:cs="Open Sans" w:eastAsia="Open Sans" w:hAnsi="Open Sans"/>
          <w:i w:val="1"/>
          <w:rtl w:val="0"/>
        </w:rPr>
        <w:t xml:space="preserve"> recopilada por la aplicación. En conjunto, se trata de una herramienta que genera ahorros de entre el 40% y 50% al establecimiento”.</w:t>
      </w: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Esta alianza se concreta en un contexto en el que el crecimiento de las entregas por medios digitales en la industria de bares y restaurantes del país, se ha traducido en el aumento de los costos de entrega del 4% al 24%, según revelan datos de Lokal. </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Ante ello, Konfío y Delivery App se posicionan como dos alternativas tecnológicas que, en sinergia, están </w:t>
      </w:r>
      <w:r w:rsidDel="00000000" w:rsidR="00000000" w:rsidRPr="00000000">
        <w:rPr>
          <w:rFonts w:ascii="Open Sans" w:cs="Open Sans" w:eastAsia="Open Sans" w:hAnsi="Open Sans"/>
          <w:rtl w:val="0"/>
        </w:rPr>
        <w:t xml:space="preserve">impulsando </w:t>
      </w:r>
      <w:r w:rsidDel="00000000" w:rsidR="00000000" w:rsidRPr="00000000">
        <w:rPr>
          <w:rFonts w:ascii="Open Sans" w:cs="Open Sans" w:eastAsia="Open Sans" w:hAnsi="Open Sans"/>
          <w:rtl w:val="0"/>
        </w:rPr>
        <w:t xml:space="preserve">a los negocios de comidas y bebidas en crecimiento, hacia nuevos escenarios en los que la entrega de pedidos, la posibilidad de cobros, así como la personalización, conformen una plataforma omnicanal de fácil integración con los sistemas existentes. Todo ello definirá una nueva experiencia de compra, única, donde los comensales disfruten de increíbles opciones gastronómicas.</w:t>
      </w:r>
    </w:p>
    <w:p w:rsidR="00000000" w:rsidDel="00000000" w:rsidP="00000000" w:rsidRDefault="00000000" w:rsidRPr="00000000" w14:paraId="00000017">
      <w:pPr>
        <w:spacing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20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5">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1A">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que más fondos está canalizando a las pequeñas y medianas empresa en crecimiento, el segmento más importante para el desarrollo del país.</w:t>
      </w:r>
    </w:p>
    <w:p w:rsidR="00000000" w:rsidDel="00000000" w:rsidP="00000000" w:rsidRDefault="00000000" w:rsidRPr="00000000" w14:paraId="0000001B">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C">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6">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1D">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1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8">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9">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0">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20">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4">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Sr. PR Expert </w:t>
      </w:r>
    </w:p>
    <w:p w:rsidR="00000000" w:rsidDel="00000000" w:rsidP="00000000" w:rsidRDefault="00000000" w:rsidRPr="00000000" w14:paraId="00000025">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26">
      <w:pPr>
        <w:spacing w:line="240" w:lineRule="auto"/>
        <w:rPr>
          <w:rFonts w:ascii="Open Sans" w:cs="Open Sans" w:eastAsia="Open Sans" w:hAnsi="Open Sans"/>
          <w:b w:val="1"/>
          <w:sz w:val="20"/>
          <w:szCs w:val="20"/>
        </w:rPr>
      </w:pPr>
      <w:hyperlink r:id="rId21">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27">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8">
      <w:pPr>
        <w:spacing w:line="240"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22">
        <w:r w:rsidDel="00000000" w:rsidR="00000000" w:rsidRPr="00000000">
          <w:rPr>
            <w:rFonts w:ascii="Open Sans" w:cs="Open Sans" w:eastAsia="Open Sans" w:hAnsi="Open Sans"/>
            <w:b w:val="1"/>
            <w:color w:val="1155cc"/>
            <w:sz w:val="20"/>
            <w:szCs w:val="20"/>
            <w:highlight w:val="white"/>
            <w:u w:val="single"/>
            <w:rtl w:val="0"/>
          </w:rPr>
          <w:t xml:space="preserve">Napse</w:t>
        </w:r>
      </w:hyperlink>
      <w:r w:rsidDel="00000000" w:rsidR="00000000" w:rsidRPr="00000000">
        <w:rPr>
          <w:rtl w:val="0"/>
        </w:rPr>
      </w:r>
    </w:p>
    <w:p w:rsidR="00000000" w:rsidDel="00000000" w:rsidP="00000000" w:rsidRDefault="00000000" w:rsidRPr="00000000" w14:paraId="00000029">
      <w:pPr>
        <w:spacing w:after="40"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Napse ofrece soluciones informáticas omnicanal para acompañar a la industria del retail en la transformación digital. Como productora de software de aplicaciones, provee soluciones basadas en tecnología moderna y comprobada, junto con servicios profesionales para implementación, customización y soporte. Napse está comprometida con el desarrollo internacional sustentado en su oferta de soluciones, amplia trayectoria, especialización y base instalada, sumados al crecimiento profesional de su gente y organización. Para mayor información sobre Napse, visite:</w:t>
      </w:r>
      <w:hyperlink r:id="rId23">
        <w:r w:rsidDel="00000000" w:rsidR="00000000" w:rsidRPr="00000000">
          <w:rPr>
            <w:rFonts w:ascii="Open Sans" w:cs="Open Sans" w:eastAsia="Open Sans" w:hAnsi="Open Sans"/>
            <w:color w:val="1155cc"/>
            <w:sz w:val="20"/>
            <w:szCs w:val="20"/>
            <w:highlight w:val="white"/>
            <w:u w:val="single"/>
            <w:rtl w:val="0"/>
          </w:rPr>
          <w:t xml:space="preserve"> </w:t>
        </w:r>
      </w:hyperlink>
      <w:hyperlink r:id="rId24">
        <w:r w:rsidDel="00000000" w:rsidR="00000000" w:rsidRPr="00000000">
          <w:rPr>
            <w:rFonts w:ascii="Open Sans" w:cs="Open Sans" w:eastAsia="Open Sans" w:hAnsi="Open Sans"/>
            <w:color w:val="0000ff"/>
            <w:sz w:val="20"/>
            <w:szCs w:val="20"/>
            <w:highlight w:val="white"/>
            <w:u w:val="single"/>
            <w:rtl w:val="0"/>
          </w:rPr>
          <w:t xml:space="preserve">www.napse.global</w:t>
        </w:r>
      </w:hyperlink>
      <w:r w:rsidDel="00000000" w:rsidR="00000000" w:rsidRPr="00000000">
        <w:rPr>
          <w:rFonts w:ascii="Open Sans" w:cs="Open Sans" w:eastAsia="Open Sans" w:hAnsi="Open Sans"/>
          <w:sz w:val="20"/>
          <w:szCs w:val="20"/>
          <w:highlight w:val="white"/>
          <w:rtl w:val="0"/>
        </w:rPr>
        <w:t xml:space="preserve"> También puede conectarse con Napse vía </w:t>
      </w:r>
      <w:hyperlink r:id="rId25">
        <w:r w:rsidDel="00000000" w:rsidR="00000000" w:rsidRPr="00000000">
          <w:rPr>
            <w:rFonts w:ascii="Open Sans" w:cs="Open Sans" w:eastAsia="Open Sans" w:hAnsi="Open Sans"/>
            <w:color w:val="0000ff"/>
            <w:sz w:val="20"/>
            <w:szCs w:val="20"/>
            <w:highlight w:val="white"/>
            <w:u w:val="single"/>
            <w:rtl w:val="0"/>
          </w:rPr>
          <w:t xml:space="preserve">Facebook</w:t>
        </w:r>
      </w:hyperlink>
      <w:r w:rsidDel="00000000" w:rsidR="00000000" w:rsidRPr="00000000">
        <w:rPr>
          <w:rFonts w:ascii="Open Sans" w:cs="Open Sans" w:eastAsia="Open Sans" w:hAnsi="Open Sans"/>
          <w:sz w:val="20"/>
          <w:szCs w:val="20"/>
          <w:highlight w:val="white"/>
          <w:rtl w:val="0"/>
        </w:rPr>
        <w:t xml:space="preserve">,</w:t>
      </w:r>
      <w:hyperlink r:id="rId26">
        <w:r w:rsidDel="00000000" w:rsidR="00000000" w:rsidRPr="00000000">
          <w:rPr>
            <w:rFonts w:ascii="Open Sans" w:cs="Open Sans" w:eastAsia="Open Sans" w:hAnsi="Open Sans"/>
            <w:color w:val="1155cc"/>
            <w:sz w:val="20"/>
            <w:szCs w:val="20"/>
            <w:highlight w:val="white"/>
            <w:u w:val="single"/>
            <w:rtl w:val="0"/>
          </w:rPr>
          <w:t xml:space="preserve"> </w:t>
        </w:r>
      </w:hyperlink>
      <w:hyperlink r:id="rId27">
        <w:r w:rsidDel="00000000" w:rsidR="00000000" w:rsidRPr="00000000">
          <w:rPr>
            <w:rFonts w:ascii="Open Sans" w:cs="Open Sans" w:eastAsia="Open Sans" w:hAnsi="Open Sans"/>
            <w:color w:val="0000ff"/>
            <w:sz w:val="20"/>
            <w:szCs w:val="20"/>
            <w:highlight w:val="white"/>
            <w:u w:val="single"/>
            <w:rtl w:val="0"/>
          </w:rPr>
          <w:t xml:space="preserve">Instagram</w:t>
        </w:r>
      </w:hyperlink>
      <w:r w:rsidDel="00000000" w:rsidR="00000000" w:rsidRPr="00000000">
        <w:rPr>
          <w:rFonts w:ascii="Open Sans" w:cs="Open Sans" w:eastAsia="Open Sans" w:hAnsi="Open Sans"/>
          <w:sz w:val="20"/>
          <w:szCs w:val="20"/>
          <w:highlight w:val="white"/>
          <w:rtl w:val="0"/>
        </w:rPr>
        <w:t xml:space="preserve">,</w:t>
      </w:r>
      <w:hyperlink r:id="rId28">
        <w:r w:rsidDel="00000000" w:rsidR="00000000" w:rsidRPr="00000000">
          <w:rPr>
            <w:rFonts w:ascii="Open Sans" w:cs="Open Sans" w:eastAsia="Open Sans" w:hAnsi="Open Sans"/>
            <w:color w:val="1155cc"/>
            <w:sz w:val="20"/>
            <w:szCs w:val="20"/>
            <w:highlight w:val="white"/>
            <w:u w:val="single"/>
            <w:rtl w:val="0"/>
          </w:rPr>
          <w:t xml:space="preserve"> </w:t>
        </w:r>
      </w:hyperlink>
      <w:hyperlink r:id="rId29">
        <w:r w:rsidDel="00000000" w:rsidR="00000000" w:rsidRPr="00000000">
          <w:rPr>
            <w:rFonts w:ascii="Open Sans" w:cs="Open Sans" w:eastAsia="Open Sans" w:hAnsi="Open Sans"/>
            <w:color w:val="0000ff"/>
            <w:sz w:val="20"/>
            <w:szCs w:val="20"/>
            <w:highlight w:val="white"/>
            <w:u w:val="single"/>
            <w:rtl w:val="0"/>
          </w:rPr>
          <w:t xml:space="preserve">LinkedIn</w:t>
        </w:r>
      </w:hyperlink>
      <w:r w:rsidDel="00000000" w:rsidR="00000000" w:rsidRPr="00000000">
        <w:rPr>
          <w:rFonts w:ascii="Open Sans" w:cs="Open Sans" w:eastAsia="Open Sans" w:hAnsi="Open Sans"/>
          <w:sz w:val="20"/>
          <w:szCs w:val="20"/>
          <w:highlight w:val="white"/>
          <w:rtl w:val="0"/>
        </w:rPr>
        <w:t xml:space="preserve"> y</w:t>
      </w:r>
      <w:hyperlink r:id="rId30">
        <w:r w:rsidDel="00000000" w:rsidR="00000000" w:rsidRPr="00000000">
          <w:rPr>
            <w:rFonts w:ascii="Open Sans" w:cs="Open Sans" w:eastAsia="Open Sans" w:hAnsi="Open Sans"/>
            <w:color w:val="1155cc"/>
            <w:sz w:val="20"/>
            <w:szCs w:val="20"/>
            <w:highlight w:val="white"/>
            <w:u w:val="single"/>
            <w:rtl w:val="0"/>
          </w:rPr>
          <w:t xml:space="preserve"> </w:t>
        </w:r>
      </w:hyperlink>
      <w:hyperlink r:id="rId31">
        <w:r w:rsidDel="00000000" w:rsidR="00000000" w:rsidRPr="00000000">
          <w:rPr>
            <w:rFonts w:ascii="Open Sans" w:cs="Open Sans" w:eastAsia="Open Sans" w:hAnsi="Open Sans"/>
            <w:color w:val="0000ff"/>
            <w:sz w:val="20"/>
            <w:szCs w:val="20"/>
            <w:highlight w:val="white"/>
            <w:u w:val="single"/>
            <w:rtl w:val="0"/>
          </w:rPr>
          <w:t xml:space="preserve">Youtube</w:t>
        </w:r>
      </w:hyperlink>
      <w:r w:rsidDel="00000000" w:rsidR="00000000" w:rsidRPr="00000000">
        <w:rPr>
          <w:rFonts w:ascii="Open Sans" w:cs="Open Sans" w:eastAsia="Open Sans" w:hAnsi="Open Sans"/>
          <w:sz w:val="20"/>
          <w:szCs w:val="20"/>
          <w:highlight w:val="white"/>
          <w:rtl w:val="0"/>
        </w:rPr>
        <w:t xml:space="preserve">. </w:t>
      </w:r>
    </w:p>
    <w:p w:rsidR="00000000" w:rsidDel="00000000" w:rsidP="00000000" w:rsidRDefault="00000000" w:rsidRPr="00000000" w14:paraId="0000002A">
      <w:pPr>
        <w:spacing w:line="240" w:lineRule="auto"/>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sectPr>
      <w:pgSz w:h="15840" w:w="12240" w:orient="portrait"/>
      <w:pgMar w:bottom="1440" w:top="1035"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duardo Hernández Garay" w:id="0" w:date="2022-03-07T22:24:48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Ojo, pongo este párrafo a manera de draft temporal. Hay que ajustar cuando tengamos más detalles sobre beneficios concretos de lo que implica como tal la alianza.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konfiomx" TargetMode="External"/><Relationship Id="rId22" Type="http://schemas.openxmlformats.org/officeDocument/2006/relationships/hyperlink" Target="http://napse.global/" TargetMode="External"/><Relationship Id="rId21" Type="http://schemas.openxmlformats.org/officeDocument/2006/relationships/hyperlink" Target="mailto:diana.guillen@another.co" TargetMode="External"/><Relationship Id="rId24" Type="http://schemas.openxmlformats.org/officeDocument/2006/relationships/hyperlink" Target="http://www.napse.global" TargetMode="External"/><Relationship Id="rId23" Type="http://schemas.openxmlformats.org/officeDocument/2006/relationships/hyperlink" Target="http://www.napse.globa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konfio.mx/" TargetMode="External"/><Relationship Id="rId26" Type="http://schemas.openxmlformats.org/officeDocument/2006/relationships/hyperlink" Target="https://www.instagram.com/napse.global/" TargetMode="External"/><Relationship Id="rId25" Type="http://schemas.openxmlformats.org/officeDocument/2006/relationships/hyperlink" Target="https://www.facebook.com/napse.global/" TargetMode="External"/><Relationship Id="rId28" Type="http://schemas.openxmlformats.org/officeDocument/2006/relationships/hyperlink" Target="https://www.linkedin.com/company/napseglobal/" TargetMode="External"/><Relationship Id="rId27" Type="http://schemas.openxmlformats.org/officeDocument/2006/relationships/hyperlink" Target="https://www.instagram.com/napse.globa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linkedin.com/company/napseglobal/"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www.youtube.com/channel/UCiV4IBbI6FlKCC7MJ1lPrFg?disable_polymer=true" TargetMode="External"/><Relationship Id="rId30" Type="http://schemas.openxmlformats.org/officeDocument/2006/relationships/hyperlink" Target="https://www.youtube.com/channel/UCiV4IBbI6FlKCC7MJ1lPrFg?disable_polymer=true" TargetMode="External"/><Relationship Id="rId11" Type="http://schemas.openxmlformats.org/officeDocument/2006/relationships/hyperlink" Target="https://www.amvo.org.mx/estudios/estudio-sobre-venta-online-en-mexico-2021/" TargetMode="External"/><Relationship Id="rId10" Type="http://schemas.openxmlformats.org/officeDocument/2006/relationships/hyperlink" Target="https://deliveryapp.napse.global/" TargetMode="External"/><Relationship Id="rId13" Type="http://schemas.openxmlformats.org/officeDocument/2006/relationships/hyperlink" Target="https://konfio.mx/konfio-pay/" TargetMode="External"/><Relationship Id="rId12" Type="http://schemas.openxmlformats.org/officeDocument/2006/relationships/hyperlink" Target="https://www.canirac.org.mx/" TargetMode="External"/><Relationship Id="rId15" Type="http://schemas.openxmlformats.org/officeDocument/2006/relationships/hyperlink" Target="https://konfio.mx/" TargetMode="External"/><Relationship Id="rId14" Type="http://schemas.openxmlformats.org/officeDocument/2006/relationships/hyperlink" Target="https://www.senorpago.com/cobroexpress" TargetMode="External"/><Relationship Id="rId17" Type="http://schemas.openxmlformats.org/officeDocument/2006/relationships/hyperlink" Target="https://www.facebook.com/konfio" TargetMode="External"/><Relationship Id="rId16" Type="http://schemas.openxmlformats.org/officeDocument/2006/relationships/hyperlink" Target="https://www.linkedin.com/company/konfio/" TargetMode="External"/><Relationship Id="rId19" Type="http://schemas.openxmlformats.org/officeDocument/2006/relationships/hyperlink" Target="https://www.youtube.com/user/konfio" TargetMode="External"/><Relationship Id="rId18" Type="http://schemas.openxmlformats.org/officeDocument/2006/relationships/hyperlink" Target="https://www.instagram.com/konfio.mx/?hl=es-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