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D141" w14:textId="2F9C8BB5" w:rsidR="003D5B8D" w:rsidRPr="00BB0632" w:rsidRDefault="0040670E" w:rsidP="00CC49F1">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da"/>
        </w:rPr>
        <w:t>EVOLTA-batterier viser høj ydeevne og stabilitet i børns foretrukne batteridrevne legetøj</w:t>
      </w:r>
    </w:p>
    <w:p w14:paraId="1BDA0F18" w14:textId="0761B967" w:rsidR="006F166B" w:rsidRDefault="00CB2094" w:rsidP="006F166B">
      <w:pPr>
        <w:spacing w:after="120"/>
        <w:rPr>
          <w:rFonts w:ascii="Calibri" w:eastAsiaTheme="minorEastAsia" w:hAnsi="Calibri" w:cstheme="minorBidi"/>
          <w:b/>
          <w:bCs/>
          <w:i/>
          <w:iCs/>
          <w:color w:val="000000" w:themeColor="text1"/>
          <w:sz w:val="22"/>
          <w:szCs w:val="22"/>
        </w:rPr>
      </w:pPr>
      <w:r>
        <w:rPr>
          <w:rFonts w:ascii="Calibri" w:eastAsiaTheme="minorEastAsia" w:hAnsi="Calibri" w:cstheme="minorBidi"/>
          <w:b/>
          <w:bCs/>
          <w:i/>
          <w:iCs/>
          <w:color w:val="000000" w:themeColor="text1"/>
          <w:sz w:val="22"/>
          <w:szCs w:val="22"/>
          <w:lang w:val="da"/>
        </w:rPr>
        <w:t>Zellik, 7. november 2019 – Børn får på mange måder noget ud af at interagere med batteridrevet legetøj. Dette legetøj giver læringsoplevelser og optimerer både den fysiske og den kognitive udvikling hos børn. Sådanne stykker legetøj kræver højtydende batterier for at kunne virke pålideligt og sikkert, og EVOLTA-batterier har vist sig at være de bedste, når de sættes på prøve.</w:t>
      </w:r>
    </w:p>
    <w:p w14:paraId="2EDB88B2" w14:textId="1781CE68" w:rsidR="00192382" w:rsidRPr="00BB0632" w:rsidRDefault="00F0192E" w:rsidP="00941A05">
      <w:pPr>
        <w:spacing w:after="120"/>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a"/>
        </w:rPr>
        <w:t>Batteridrevet legetøj bliver mere populært</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a"/>
        </w:rPr>
        <w:t xml:space="preserve">I dag er næsten ét ud af fem stykker legetøj batteridrevet. Det brede udvalg af legetøj, som dækker alt fra walkie-talkies og robotter, til tablets og computere, til kameraer og tog, er mere sofistikeret og spændende end nogensinde før. Batteridrevet legetøj giver børn mulighed for at forbedre deres lærings- og udviklingsoplevelser, herunder af forbedre deres fingerfærdighed, sprogfærdigheder og udvide deres fantasi.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a"/>
        </w:rPr>
        <w:t>Dette legetøj varierer med hensyn til hvor meget batterienergi der kræves for at betjene det, men alligevel kræver de mest krævende stykker legetøj kraftfulde alkaliske batterier for at maksimere deres læringsfordele.</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a"/>
        </w:rPr>
        <w:t>Meningerne betyder noget – en forbrugerundersøgelse</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a"/>
        </w:rPr>
        <w:t xml:space="preserve">Når det kommer til at købe batterier, prioriterer forældre en høj ydeevne. Dette blev afsløret i en tysk undersøgelse </w:t>
      </w:r>
      <w:r>
        <w:rPr>
          <w:rFonts w:ascii="Calibri" w:eastAsiaTheme="minorEastAsia" w:hAnsi="Calibri" w:cstheme="minorBidi"/>
          <w:sz w:val="22"/>
          <w:szCs w:val="22"/>
          <w:lang w:val="da"/>
        </w:rPr>
        <w:t xml:space="preserve">blandt </w:t>
      </w:r>
      <w:r>
        <w:rPr>
          <w:rFonts w:ascii="Calibri" w:eastAsiaTheme="minorEastAsia" w:hAnsi="Calibri" w:cstheme="minorBidi"/>
          <w:color w:val="000000" w:themeColor="text1"/>
          <w:sz w:val="22"/>
          <w:szCs w:val="22"/>
          <w:lang w:val="da"/>
        </w:rPr>
        <w:t>976 forældre med børn på op til 14 år. Hovedformålet var at få indsigt i adfærden, når det kommer til køb af batterier til børns legetøj, samt viden om batterimærker. Ifølge resultaterne bruger 42 % af forældrene i gennemsnit mellem 750 og 1900 kr. på legetøj hvert år. Det er sikkert at sige, at langvarige og stabile batterier til legetøjet er en høj prioritet for mange forældre.</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a"/>
        </w:rPr>
        <w:t>Passer perfekt til legetøj</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a"/>
        </w:rPr>
        <w:t xml:space="preserve">Panasonic EVOLTA-batteriserien, der er helt alkalisk, er velegnet til apparater med middel til høj dræning, især legetøj. Den ultimative, langvarige energi varer længere end dine børn, selv efter adskillige timers leg.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rPr>
      </w:pPr>
    </w:p>
    <w:p w14:paraId="090BC761" w14:textId="4F40CD3C" w:rsidR="0051679F" w:rsidRPr="00BB0632" w:rsidRDefault="00DF79AE" w:rsidP="0051679F">
      <w:pPr>
        <w:snapToGrid w:val="0"/>
        <w:contextualSpacing/>
        <w:rPr>
          <w:rFonts w:asciiTheme="minorHAnsi" w:eastAsiaTheme="minorEastAsia" w:hAnsiTheme="minorHAnsi" w:cstheme="minorHAnsi"/>
          <w:b/>
          <w:bCs/>
          <w:i/>
          <w:iCs/>
          <w:sz w:val="22"/>
          <w:szCs w:val="22"/>
        </w:rPr>
      </w:pPr>
      <w:r>
        <w:rPr>
          <w:rFonts w:ascii="Calibri" w:hAnsi="Calibri"/>
          <w:color w:val="000000" w:themeColor="text1"/>
          <w:sz w:val="22"/>
          <w:szCs w:val="22"/>
          <w:lang w:val="da"/>
        </w:rPr>
        <w:t xml:space="preserve">Og selvom batterilækage er det største problem, som forbrugerne rapporterer, er skade på dyrt, batteridrevet legetøj også en potentiel hovedpine. </w:t>
      </w:r>
      <w:r>
        <w:rPr>
          <w:rFonts w:asciiTheme="minorHAnsi" w:hAnsiTheme="minorHAnsi"/>
          <w:sz w:val="22"/>
          <w:szCs w:val="22"/>
          <w:shd w:val="clear" w:color="auto" w:fill="FFFFFF"/>
          <w:lang w:val="da"/>
        </w:rPr>
        <w:t>Takket være EVOLTAs avancerede design og teknologi er risikoen for batterilækage mindst en tredjedel mindre end før.</w:t>
      </w:r>
    </w:p>
    <w:p w14:paraId="53DA6653" w14:textId="77777777" w:rsidR="00AE16CA" w:rsidRPr="00BB0632" w:rsidRDefault="00AE16CA" w:rsidP="001E054E">
      <w:pPr>
        <w:snapToGrid w:val="0"/>
        <w:contextualSpacing/>
        <w:rPr>
          <w:rFonts w:asciiTheme="minorHAnsi" w:hAnsiTheme="minorHAnsi" w:cstheme="minorHAnsi"/>
          <w:sz w:val="22"/>
          <w:szCs w:val="22"/>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a"/>
        </w:rPr>
        <w:t>Bedre end resten</w:t>
      </w:r>
    </w:p>
    <w:p w14:paraId="0A08E1C5" w14:textId="4250E10B" w:rsidR="00E52AC8" w:rsidRDefault="00043B13"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a"/>
        </w:rPr>
        <w:t>EVOLTA-batterisortimentet blev sat på prøve, og resultaterne taler for sig selv. LEGO®-togudfordringen testede forskellige batterimærker for at se, hvilket tog der kunne køre længst, og dermed kunne tilbyde den længste legetid. EVOLTA var den klare vinder og udviste mindst 25 procent mere strøm sammenlignet med konkurrenterne.</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olor w:val="000000" w:themeColor="text1"/>
          <w:sz w:val="22"/>
          <w:szCs w:val="22"/>
          <w:lang w:val="da"/>
        </w:rPr>
        <w:t>Dette er et bevis på, at EVOLTA-batterier er bedre end resten. De har et avanceret design, som er unikt for Panasonic, der giver mere plads til de aktive ingredienser og dermed maksimerer ydeevnen. Derudover bevarer batterierne deres højtydende kapacitet</w:t>
      </w:r>
      <w:r>
        <w:rPr>
          <w:rFonts w:asciiTheme="minorHAnsi" w:eastAsiaTheme="minorEastAsia" w:hAnsiTheme="minorHAnsi"/>
          <w:sz w:val="22"/>
          <w:szCs w:val="22"/>
          <w:lang w:val="da"/>
        </w:rPr>
        <w:t xml:space="preserve">, selv efter ekstremt lange opbevaringsperioder. Dette er relevant i betragtning af, at </w:t>
      </w:r>
      <w:r>
        <w:rPr>
          <w:rFonts w:ascii="Calibri" w:eastAsiaTheme="minorEastAsia" w:hAnsi="Calibri"/>
          <w:color w:val="000000" w:themeColor="text1"/>
          <w:sz w:val="22"/>
          <w:szCs w:val="22"/>
          <w:lang w:val="da"/>
        </w:rPr>
        <w:t>62 % af de adspurgte var helt enige i udsagnet, "Jeg køber batterier, uanset om jeg har brug for dem eller ej".</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rPr>
      </w:pPr>
    </w:p>
    <w:p w14:paraId="5D01FB13" w14:textId="020E28B4" w:rsidR="001746AF" w:rsidRPr="00BB0632" w:rsidRDefault="001746AF" w:rsidP="001E054E">
      <w:pPr>
        <w:snapToGrid w:val="0"/>
        <w:spacing w:after="120"/>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lang w:val="da"/>
        </w:rPr>
        <w:t>Det bliver bedre og bedre</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da"/>
        </w:rPr>
        <w:t xml:space="preserve">Panasonic har løbende bestræbt sig på at forbedre batterisortimentet for at tackle udfordringerne ved alkaliske batterier og har udviklet EVOLTA NEO, som er designet til at være endnu mere </w:t>
      </w:r>
      <w:r>
        <w:rPr>
          <w:rFonts w:asciiTheme="minorHAnsi" w:eastAsiaTheme="minorEastAsia" w:hAnsiTheme="minorHAnsi" w:cstheme="minorHAnsi"/>
          <w:sz w:val="22"/>
          <w:szCs w:val="22"/>
          <w:lang w:val="da"/>
        </w:rPr>
        <w:lastRenderedPageBreak/>
        <w:t>kraftfuldt. Det har faktisk vist sig at være det længstvarende alkaliske batteri, der er udviklet i Panasonics historie.</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da"/>
        </w:rPr>
        <w:t>EVOLTA NEO bruger en sølvsammensætning til at absorbere gas i tilfælde af overopladning og forhindrer gasudledning under opbevaring. Sådanne egenskaber gør dette nye batteri endnu mere stabilt end dets forgænger.</w:t>
      </w:r>
    </w:p>
    <w:p w14:paraId="571203C5" w14:textId="4850EEBA" w:rsidR="005629E0" w:rsidRPr="00BB0632" w:rsidRDefault="005629E0" w:rsidP="001E054E">
      <w:pPr>
        <w:snapToGrid w:val="0"/>
        <w:contextualSpacing/>
        <w:rPr>
          <w:rFonts w:asciiTheme="minorHAnsi" w:hAnsiTheme="minorHAnsi" w:cstheme="minorHAnsi"/>
          <w:sz w:val="22"/>
          <w:szCs w:val="22"/>
        </w:rPr>
      </w:pPr>
    </w:p>
    <w:p w14:paraId="1FEBAF2C" w14:textId="579A01EC" w:rsidR="007D0223" w:rsidRDefault="008F3E4A" w:rsidP="00EF05AE">
      <w:pPr>
        <w:snapToGrid w:val="0"/>
        <w:spacing w:after="120"/>
        <w:contextualSpacing/>
        <w:rPr>
          <w:rStyle w:val="Hyperlink"/>
          <w:rFonts w:asciiTheme="minorHAnsi" w:eastAsiaTheme="minorEastAsia" w:hAnsiTheme="minorHAnsi" w:cstheme="minorHAnsi"/>
          <w:sz w:val="22"/>
          <w:szCs w:val="22"/>
          <w:lang w:val="da"/>
        </w:rPr>
      </w:pPr>
      <w:r>
        <w:rPr>
          <w:rFonts w:asciiTheme="minorHAnsi" w:eastAsiaTheme="minorEastAsia" w:hAnsiTheme="minorHAnsi" w:cstheme="minorHAnsi"/>
          <w:sz w:val="22"/>
          <w:szCs w:val="22"/>
          <w:lang w:val="da"/>
        </w:rPr>
        <w:t xml:space="preserve">EVOLTA NEO er i øjeblikket kun tilgængeligt online. Find ud af mere </w:t>
      </w:r>
      <w:hyperlink r:id="rId8" w:history="1">
        <w:r>
          <w:rPr>
            <w:rStyle w:val="Hyperlink"/>
            <w:rFonts w:asciiTheme="minorHAnsi" w:eastAsiaTheme="minorEastAsia" w:hAnsiTheme="minorHAnsi" w:cstheme="minorHAnsi"/>
            <w:sz w:val="22"/>
            <w:szCs w:val="22"/>
            <w:lang w:val="da"/>
          </w:rPr>
          <w:t xml:space="preserve">ved at </w:t>
        </w:r>
        <w:r>
          <w:rPr>
            <w:rStyle w:val="Hyperlink"/>
            <w:rFonts w:asciiTheme="minorHAnsi" w:eastAsiaTheme="minorEastAsia" w:hAnsiTheme="minorHAnsi" w:cstheme="minorHAnsi"/>
            <w:sz w:val="22"/>
            <w:szCs w:val="22"/>
            <w:lang w:val="da"/>
          </w:rPr>
          <w:t>b</w:t>
        </w:r>
        <w:r>
          <w:rPr>
            <w:rStyle w:val="Hyperlink"/>
            <w:rFonts w:asciiTheme="minorHAnsi" w:eastAsiaTheme="minorEastAsia" w:hAnsiTheme="minorHAnsi" w:cstheme="minorHAnsi"/>
            <w:sz w:val="22"/>
            <w:szCs w:val="22"/>
            <w:lang w:val="da"/>
          </w:rPr>
          <w:t>esøge hjemmesiden.</w:t>
        </w:r>
      </w:hyperlink>
    </w:p>
    <w:p w14:paraId="4A48A86E" w14:textId="60725ACD" w:rsidR="00073172" w:rsidRDefault="00073172" w:rsidP="00EF05AE">
      <w:pPr>
        <w:snapToGrid w:val="0"/>
        <w:spacing w:after="120"/>
        <w:contextualSpacing/>
        <w:rPr>
          <w:rStyle w:val="Hyperlink"/>
          <w:rFonts w:asciiTheme="minorHAnsi" w:eastAsiaTheme="minorEastAsia" w:hAnsiTheme="minorHAnsi" w:cstheme="minorHAnsi"/>
          <w:sz w:val="22"/>
          <w:szCs w:val="22"/>
          <w:lang w:val="da"/>
        </w:rPr>
      </w:pPr>
    </w:p>
    <w:p w14:paraId="2F53698D" w14:textId="77777777" w:rsidR="00073172" w:rsidRDefault="00073172" w:rsidP="00073172">
      <w:pPr>
        <w:widowControl w:val="0"/>
        <w:autoSpaceDE w:val="0"/>
        <w:autoSpaceDN w:val="0"/>
        <w:adjustRightInd w:val="0"/>
        <w:spacing w:line="360" w:lineRule="auto"/>
        <w:rPr>
          <w:rFonts w:ascii="Arial" w:eastAsia="DengXian" w:hAnsi="Arial" w:cs="Arial"/>
          <w:b/>
          <w:color w:val="000000"/>
          <w:sz w:val="20"/>
          <w:szCs w:val="20"/>
          <w:lang w:eastAsia="zh-CN"/>
        </w:rPr>
      </w:pPr>
    </w:p>
    <w:p w14:paraId="502403CB" w14:textId="36427A1D" w:rsidR="00073172" w:rsidRPr="00073172" w:rsidRDefault="00073172" w:rsidP="00073172">
      <w:pPr>
        <w:widowControl w:val="0"/>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 xml:space="preserve">OM PANASONIC ENERGY EUROPE </w:t>
      </w:r>
    </w:p>
    <w:p w14:paraId="10B25745" w14:textId="77777777" w:rsidR="00073172" w:rsidRPr="00073172" w:rsidRDefault="00073172" w:rsidP="00073172">
      <w:pPr>
        <w:rPr>
          <w:rFonts w:asciiTheme="minorHAnsi" w:hAnsiTheme="minorHAnsi" w:cstheme="minorHAnsi"/>
          <w:sz w:val="22"/>
          <w:szCs w:val="22"/>
          <w:shd w:val="clear" w:color="auto" w:fill="FFFFFF"/>
          <w:lang w:val="da"/>
        </w:rPr>
      </w:pPr>
      <w:r w:rsidRPr="00073172">
        <w:rPr>
          <w:rFonts w:asciiTheme="minorHAnsi" w:hAnsiTheme="minorHAnsi" w:cstheme="minorHAnsi"/>
          <w:sz w:val="22"/>
          <w:szCs w:val="22"/>
          <w:shd w:val="clear" w:color="auto" w:fill="FFFFFF"/>
          <w:lang w:val="da"/>
        </w:rPr>
        <w:t xml:space="preserve">Panasonic Energy Europe har hovedkvarter i </w:t>
      </w:r>
      <w:proofErr w:type="spellStart"/>
      <w:r w:rsidRPr="00073172">
        <w:rPr>
          <w:rFonts w:asciiTheme="minorHAnsi" w:hAnsiTheme="minorHAnsi" w:cstheme="minorHAnsi"/>
          <w:sz w:val="22"/>
          <w:szCs w:val="22"/>
          <w:shd w:val="clear" w:color="auto" w:fill="FFFFFF"/>
          <w:lang w:val="da"/>
        </w:rPr>
        <w:t>Zellik</w:t>
      </w:r>
      <w:proofErr w:type="spellEnd"/>
      <w:r w:rsidRPr="00073172">
        <w:rPr>
          <w:rFonts w:asciiTheme="minorHAnsi" w:hAnsiTheme="minorHAnsi" w:cstheme="minorHAnsi"/>
          <w:sz w:val="22"/>
          <w:szCs w:val="22"/>
          <w:shd w:val="clear" w:color="auto" w:fill="FFFFFF"/>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073172">
        <w:rPr>
          <w:rFonts w:asciiTheme="minorHAnsi" w:hAnsiTheme="minorHAnsi" w:cstheme="minorHAnsi"/>
          <w:sz w:val="22"/>
          <w:szCs w:val="22"/>
          <w:shd w:val="clear" w:color="auto" w:fill="FFFFFF"/>
          <w:lang w:val="da"/>
        </w:rPr>
        <w:t>Tessenderlo</w:t>
      </w:r>
      <w:proofErr w:type="spellEnd"/>
      <w:r w:rsidRPr="00073172">
        <w:rPr>
          <w:rFonts w:asciiTheme="minorHAnsi" w:hAnsiTheme="minorHAnsi" w:cstheme="minorHAnsi"/>
          <w:sz w:val="22"/>
          <w:szCs w:val="22"/>
          <w:shd w:val="clear" w:color="auto" w:fill="FFFFFF"/>
          <w:lang w:val="da"/>
        </w:rPr>
        <w:t xml:space="preserve">, Belgien, og </w:t>
      </w:r>
      <w:proofErr w:type="spellStart"/>
      <w:r w:rsidRPr="00073172">
        <w:rPr>
          <w:rFonts w:asciiTheme="minorHAnsi" w:hAnsiTheme="minorHAnsi" w:cstheme="minorHAnsi"/>
          <w:sz w:val="22"/>
          <w:szCs w:val="22"/>
          <w:shd w:val="clear" w:color="auto" w:fill="FFFFFF"/>
          <w:lang w:val="da"/>
        </w:rPr>
        <w:t>Gniezno</w:t>
      </w:r>
      <w:proofErr w:type="spellEnd"/>
      <w:r w:rsidRPr="00073172">
        <w:rPr>
          <w:rFonts w:asciiTheme="minorHAnsi" w:hAnsiTheme="minorHAnsi" w:cstheme="minorHAnsi"/>
          <w:sz w:val="22"/>
          <w:szCs w:val="22"/>
          <w:shd w:val="clear" w:color="auto" w:fill="FFFFFF"/>
          <w:lang w:val="da"/>
        </w:rPr>
        <w:t>, Polen. Panasonic Energy Europe leverer "mobile" energiløsninger til mere end 30 europæiske lande. Selskabets forskelligartede produktprogram omfatter genopladelige batterier, opladere, zink-</w:t>
      </w:r>
      <w:proofErr w:type="spellStart"/>
      <w:r w:rsidRPr="00073172">
        <w:rPr>
          <w:rFonts w:asciiTheme="minorHAnsi" w:hAnsiTheme="minorHAnsi" w:cstheme="minorHAnsi"/>
          <w:sz w:val="22"/>
          <w:szCs w:val="22"/>
          <w:shd w:val="clear" w:color="auto" w:fill="FFFFFF"/>
          <w:lang w:val="da"/>
        </w:rPr>
        <w:t>carbon</w:t>
      </w:r>
      <w:proofErr w:type="spellEnd"/>
      <w:r w:rsidRPr="00073172">
        <w:rPr>
          <w:rFonts w:asciiTheme="minorHAnsi" w:hAnsiTheme="minorHAnsi" w:cstheme="minorHAnsi"/>
          <w:sz w:val="22"/>
          <w:szCs w:val="22"/>
          <w:shd w:val="clear" w:color="auto" w:fill="FFFFFF"/>
          <w:lang w:val="da"/>
        </w:rPr>
        <w:t xml:space="preserve">, alkaliske og specialbatterier (såsom zink-luft-, </w:t>
      </w:r>
      <w:proofErr w:type="spellStart"/>
      <w:r w:rsidRPr="00073172">
        <w:rPr>
          <w:rFonts w:asciiTheme="minorHAnsi" w:hAnsiTheme="minorHAnsi" w:cstheme="minorHAnsi"/>
          <w:sz w:val="22"/>
          <w:szCs w:val="22"/>
          <w:shd w:val="clear" w:color="auto" w:fill="FFFFFF"/>
          <w:lang w:val="da"/>
        </w:rPr>
        <w:t>fotolithium</w:t>
      </w:r>
      <w:proofErr w:type="spellEnd"/>
      <w:r w:rsidRPr="00073172">
        <w:rPr>
          <w:rFonts w:asciiTheme="minorHAnsi" w:hAnsiTheme="minorHAnsi" w:cstheme="minorHAnsi"/>
          <w:sz w:val="22"/>
          <w:szCs w:val="22"/>
          <w:shd w:val="clear" w:color="auto" w:fill="FFFFFF"/>
          <w:lang w:val="da"/>
        </w:rPr>
        <w:t xml:space="preserve">-, </w:t>
      </w:r>
      <w:proofErr w:type="spellStart"/>
      <w:r w:rsidRPr="00073172">
        <w:rPr>
          <w:rFonts w:asciiTheme="minorHAnsi" w:hAnsiTheme="minorHAnsi" w:cstheme="minorHAnsi"/>
          <w:sz w:val="22"/>
          <w:szCs w:val="22"/>
          <w:shd w:val="clear" w:color="auto" w:fill="FFFFFF"/>
          <w:lang w:val="da"/>
        </w:rPr>
        <w:t>lithiummønt</w:t>
      </w:r>
      <w:proofErr w:type="spellEnd"/>
      <w:r w:rsidRPr="00073172">
        <w:rPr>
          <w:rFonts w:asciiTheme="minorHAnsi" w:hAnsiTheme="minorHAnsi" w:cstheme="minorHAnsi"/>
          <w:sz w:val="22"/>
          <w:szCs w:val="22"/>
          <w:shd w:val="clear" w:color="auto" w:fill="FFFFFF"/>
          <w:lang w:val="da"/>
        </w:rPr>
        <w:t xml:space="preserve">-, </w:t>
      </w:r>
      <w:proofErr w:type="spellStart"/>
      <w:r w:rsidRPr="00073172">
        <w:rPr>
          <w:rFonts w:asciiTheme="minorHAnsi" w:hAnsiTheme="minorHAnsi" w:cstheme="minorHAnsi"/>
          <w:sz w:val="22"/>
          <w:szCs w:val="22"/>
          <w:shd w:val="clear" w:color="auto" w:fill="FFFFFF"/>
          <w:lang w:val="da"/>
        </w:rPr>
        <w:t>mikroalkaliske</w:t>
      </w:r>
      <w:proofErr w:type="spellEnd"/>
      <w:r w:rsidRPr="00073172">
        <w:rPr>
          <w:rFonts w:asciiTheme="minorHAnsi" w:hAnsiTheme="minorHAnsi" w:cstheme="minorHAnsi"/>
          <w:sz w:val="22"/>
          <w:szCs w:val="22"/>
          <w:shd w:val="clear" w:color="auto" w:fill="FFFFFF"/>
          <w:lang w:val="da"/>
        </w:rPr>
        <w:t xml:space="preserve"> og sølvoxidbatterier). Få mere at vide på </w:t>
      </w:r>
      <w:hyperlink r:id="rId9" w:history="1">
        <w:r w:rsidRPr="00073172">
          <w:rPr>
            <w:rFonts w:asciiTheme="minorHAnsi" w:hAnsiTheme="minorHAnsi" w:cstheme="minorHAnsi"/>
            <w:sz w:val="22"/>
            <w:szCs w:val="22"/>
            <w:shd w:val="clear" w:color="auto" w:fill="FFFFFF"/>
            <w:lang w:val="da"/>
          </w:rPr>
          <w:t>http://www.panasonic-batteries.com/</w:t>
        </w:r>
      </w:hyperlink>
      <w:r w:rsidRPr="00073172">
        <w:rPr>
          <w:rFonts w:asciiTheme="minorHAnsi" w:hAnsiTheme="minorHAnsi" w:cstheme="minorHAnsi"/>
          <w:sz w:val="22"/>
          <w:szCs w:val="22"/>
          <w:shd w:val="clear" w:color="auto" w:fill="FFFFFF"/>
          <w:lang w:val="da"/>
        </w:rPr>
        <w:t>.</w:t>
      </w:r>
    </w:p>
    <w:p w14:paraId="24CAB85A" w14:textId="77777777" w:rsidR="00073172" w:rsidRPr="00073172" w:rsidRDefault="00073172" w:rsidP="00073172">
      <w:pPr>
        <w:widowControl w:val="0"/>
        <w:tabs>
          <w:tab w:val="left" w:pos="8120"/>
        </w:tabs>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ab/>
      </w:r>
    </w:p>
    <w:p w14:paraId="100F16B6" w14:textId="77777777" w:rsidR="00073172" w:rsidRPr="00073172" w:rsidRDefault="00073172" w:rsidP="00073172">
      <w:pPr>
        <w:widowControl w:val="0"/>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OM PANASONIC</w:t>
      </w:r>
    </w:p>
    <w:p w14:paraId="2DE6F892" w14:textId="77777777" w:rsidR="00073172" w:rsidRPr="00073172" w:rsidRDefault="00073172" w:rsidP="00073172">
      <w:pPr>
        <w:widowControl w:val="0"/>
        <w:autoSpaceDE w:val="0"/>
        <w:autoSpaceDN w:val="0"/>
        <w:adjustRightInd w:val="0"/>
        <w:rPr>
          <w:rFonts w:ascii="Calibri" w:eastAsia="DengXian" w:hAnsi="Calibri" w:cs="Calibri"/>
          <w:sz w:val="22"/>
          <w:szCs w:val="22"/>
          <w:lang w:val="da" w:eastAsia="zh-CN"/>
        </w:rPr>
      </w:pPr>
      <w:r w:rsidRPr="00073172">
        <w:rPr>
          <w:rFonts w:ascii="Calibri" w:eastAsia="DengXian" w:hAnsi="Calibri" w:cs="Calibri"/>
          <w:sz w:val="22"/>
          <w:szCs w:val="22"/>
          <w:lang w:val="da" w:eastAsia="zh-CN"/>
        </w:rPr>
        <w:t>Panasonic Corporation er en af verdens førende aktører inden for udvikling og fremstilling af elektroniske produkter til en lang række anvendelsesområder inden for bolig, erhverv og industri.</w:t>
      </w:r>
    </w:p>
    <w:p w14:paraId="10DAB236" w14:textId="77777777" w:rsidR="00073172" w:rsidRPr="00073172" w:rsidRDefault="00073172" w:rsidP="00073172">
      <w:pPr>
        <w:rPr>
          <w:rFonts w:ascii="Calibri" w:eastAsia="DengXian" w:hAnsi="Calibri" w:cs="Arial"/>
          <w:color w:val="000000"/>
          <w:lang w:eastAsia="zh-CN"/>
        </w:rPr>
      </w:pPr>
      <w:r w:rsidRPr="00073172">
        <w:rPr>
          <w:rFonts w:ascii="Calibri" w:eastAsia="DengXian" w:hAnsi="Calibri" w:cs="Calibri"/>
          <w:sz w:val="22"/>
          <w:szCs w:val="22"/>
          <w:lang w:val="da" w:eastAsia="zh-CN"/>
        </w:rPr>
        <w:t xml:space="preserve">Panasonic, der er baseret i Osaka, Japan opnåede i regnskabsåret der sluttede 31. marts 2018, en samlet nettoomsætning på ca. 61,4 milliarder Euro. Panasonic fokuserer på at skabe et bedre liv og en bedre verden ved at bidrage til den løbende udvikling af samfundet og menneskers lykke over hele kloden. Panasonic fejrede sit </w:t>
      </w:r>
      <w:proofErr w:type="gramStart"/>
      <w:r w:rsidRPr="00073172">
        <w:rPr>
          <w:rFonts w:ascii="Calibri" w:eastAsia="DengXian" w:hAnsi="Calibri" w:cs="Calibri"/>
          <w:sz w:val="22"/>
          <w:szCs w:val="22"/>
          <w:lang w:val="da" w:eastAsia="zh-CN"/>
        </w:rPr>
        <w:t>100 års</w:t>
      </w:r>
      <w:proofErr w:type="gramEnd"/>
      <w:r w:rsidRPr="00073172">
        <w:rPr>
          <w:rFonts w:ascii="Calibri" w:eastAsia="DengXian" w:hAnsi="Calibri" w:cs="Calibri"/>
          <w:sz w:val="22"/>
          <w:szCs w:val="22"/>
          <w:lang w:val="da" w:eastAsia="zh-CN"/>
        </w:rPr>
        <w:t xml:space="preserve"> jubilæum i 2018. Få mere at vide om koncernen og Panasonic brandet på</w:t>
      </w:r>
      <w:r w:rsidRPr="00073172">
        <w:rPr>
          <w:rFonts w:ascii="Arial" w:eastAsia="DengXian" w:hAnsi="Arial" w:cs="Arial"/>
          <w:color w:val="000000"/>
          <w:sz w:val="20"/>
          <w:szCs w:val="20"/>
          <w:lang w:eastAsia="zh-CN"/>
        </w:rPr>
        <w:t xml:space="preserve"> </w:t>
      </w:r>
      <w:hyperlink r:id="rId10" w:history="1">
        <w:r w:rsidRPr="00073172">
          <w:rPr>
            <w:rFonts w:ascii="Arial" w:eastAsia="DengXian" w:hAnsi="Arial" w:cs="Arial"/>
            <w:color w:val="000000"/>
            <w:sz w:val="20"/>
            <w:szCs w:val="20"/>
            <w:u w:val="single"/>
            <w:lang w:eastAsia="zh-CN"/>
          </w:rPr>
          <w:t>www.panasonic.com</w:t>
        </w:r>
      </w:hyperlink>
      <w:r w:rsidRPr="00073172">
        <w:rPr>
          <w:rFonts w:ascii="Arial" w:eastAsia="DengXian" w:hAnsi="Arial" w:cs="Arial"/>
          <w:color w:val="000000"/>
          <w:sz w:val="20"/>
          <w:szCs w:val="20"/>
          <w:lang w:eastAsia="zh-CN"/>
        </w:rPr>
        <w:t>.</w:t>
      </w:r>
    </w:p>
    <w:p w14:paraId="30F38BCC" w14:textId="01B643EC" w:rsidR="00073172" w:rsidRDefault="00073172" w:rsidP="00073172">
      <w:pPr>
        <w:pBdr>
          <w:bottom w:val="single" w:sz="6" w:space="1" w:color="auto"/>
        </w:pBdr>
        <w:rPr>
          <w:rFonts w:ascii="Calibri" w:eastAsia="DengXian" w:hAnsi="Calibri" w:cs="Calibri"/>
          <w:color w:val="000000"/>
          <w:sz w:val="22"/>
          <w:szCs w:val="22"/>
          <w:lang w:eastAsia="zh-CN"/>
        </w:rPr>
      </w:pPr>
    </w:p>
    <w:p w14:paraId="48585554" w14:textId="77777777" w:rsidR="0058511E" w:rsidRPr="00073172" w:rsidRDefault="0058511E" w:rsidP="00073172">
      <w:pPr>
        <w:pBdr>
          <w:bottom w:val="single" w:sz="6" w:space="1" w:color="auto"/>
        </w:pBdr>
        <w:rPr>
          <w:rFonts w:ascii="Calibri" w:eastAsia="DengXian" w:hAnsi="Calibri" w:cs="Calibri"/>
          <w:color w:val="000000"/>
          <w:sz w:val="22"/>
          <w:szCs w:val="22"/>
          <w:lang w:eastAsia="zh-CN"/>
        </w:rPr>
      </w:pPr>
    </w:p>
    <w:p w14:paraId="08843283" w14:textId="77777777" w:rsidR="00073172" w:rsidRPr="00073172" w:rsidRDefault="00073172" w:rsidP="00073172">
      <w:pPr>
        <w:widowControl w:val="0"/>
        <w:pBdr>
          <w:bottom w:val="single" w:sz="6" w:space="1" w:color="auto"/>
        </w:pBdr>
        <w:suppressAutoHyphens/>
        <w:autoSpaceDE w:val="0"/>
        <w:autoSpaceDN w:val="0"/>
        <w:adjustRightInd w:val="0"/>
        <w:spacing w:line="276" w:lineRule="auto"/>
        <w:textAlignment w:val="center"/>
        <w:rPr>
          <w:rFonts w:ascii="Arial" w:eastAsia="DengXian" w:hAnsi="Arial" w:cs="Arial"/>
          <w:b/>
          <w:bCs/>
          <w:caps/>
          <w:color w:val="000000"/>
          <w:sz w:val="20"/>
          <w:szCs w:val="20"/>
          <w:lang w:eastAsia="zh-CN"/>
        </w:rPr>
        <w:sectPr w:rsidR="00073172" w:rsidRPr="00073172" w:rsidSect="00073172">
          <w:headerReference w:type="even" r:id="rId11"/>
          <w:headerReference w:type="first" r:id="rId12"/>
          <w:pgSz w:w="11900" w:h="16840"/>
          <w:pgMar w:top="1417" w:right="1417" w:bottom="1134" w:left="1417" w:header="708" w:footer="708" w:gutter="0"/>
          <w:cols w:space="708"/>
          <w:titlePg/>
          <w:docGrid w:linePitch="360"/>
        </w:sectPr>
      </w:pPr>
    </w:p>
    <w:p w14:paraId="50356BCB" w14:textId="77777777" w:rsid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b/>
          <w:bCs/>
          <w:caps/>
          <w:color w:val="000000"/>
          <w:sz w:val="20"/>
          <w:szCs w:val="20"/>
          <w:lang w:val="da" w:eastAsia="zh-CN"/>
        </w:rPr>
      </w:pPr>
    </w:p>
    <w:p w14:paraId="70B242B6" w14:textId="77777777" w:rsidR="0058511E" w:rsidRDefault="0058511E" w:rsidP="00073172">
      <w:pPr>
        <w:widowControl w:val="0"/>
        <w:suppressAutoHyphens/>
        <w:autoSpaceDE w:val="0"/>
        <w:autoSpaceDN w:val="0"/>
        <w:adjustRightInd w:val="0"/>
        <w:spacing w:line="360" w:lineRule="auto"/>
        <w:jc w:val="both"/>
        <w:textAlignment w:val="center"/>
        <w:rPr>
          <w:rFonts w:ascii="Arial" w:eastAsia="DengXian" w:hAnsi="Arial" w:cs="Arial"/>
          <w:b/>
          <w:bCs/>
          <w:caps/>
          <w:color w:val="000000"/>
          <w:sz w:val="20"/>
          <w:szCs w:val="20"/>
          <w:lang w:val="da" w:eastAsia="zh-CN"/>
        </w:rPr>
      </w:pPr>
    </w:p>
    <w:p w14:paraId="58162CE0" w14:textId="7D459000" w:rsidR="00073172" w:rsidRP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b/>
          <w:bCs/>
          <w:caps/>
          <w:color w:val="000000"/>
          <w:sz w:val="20"/>
          <w:szCs w:val="20"/>
          <w:lang w:val="da" w:eastAsia="zh-CN"/>
        </w:rPr>
      </w:pPr>
      <w:r w:rsidRPr="00073172">
        <w:rPr>
          <w:rFonts w:ascii="Arial" w:eastAsia="DengXian" w:hAnsi="Arial" w:cs="Arial"/>
          <w:b/>
          <w:bCs/>
          <w:caps/>
          <w:color w:val="000000"/>
          <w:sz w:val="20"/>
          <w:szCs w:val="20"/>
          <w:lang w:val="da" w:eastAsia="zh-CN"/>
        </w:rPr>
        <w:t>PRESSEKONTAKT</w:t>
      </w:r>
    </w:p>
    <w:p w14:paraId="65C46663" w14:textId="77777777" w:rsidR="00073172" w:rsidRP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b/>
          <w:color w:val="000000"/>
          <w:sz w:val="20"/>
          <w:szCs w:val="20"/>
          <w:lang w:val="da" w:eastAsia="zh-CN"/>
        </w:rPr>
      </w:pPr>
      <w:r w:rsidRPr="00073172">
        <w:rPr>
          <w:rFonts w:ascii="Arial" w:eastAsia="DengXian" w:hAnsi="Arial" w:cs="Arial"/>
          <w:b/>
          <w:bCs/>
          <w:color w:val="000000"/>
          <w:sz w:val="20"/>
          <w:szCs w:val="20"/>
          <w:lang w:val="da" w:eastAsia="zh-CN"/>
        </w:rPr>
        <w:br/>
        <w:t>ARK BBN</w:t>
      </w:r>
      <w:bookmarkStart w:id="0" w:name="_GoBack"/>
      <w:bookmarkEnd w:id="0"/>
    </w:p>
    <w:p w14:paraId="3A98DC13" w14:textId="77777777" w:rsidR="00073172" w:rsidRP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en-GB" w:eastAsia="zh-CN"/>
        </w:rPr>
      </w:pPr>
      <w:r w:rsidRPr="00073172">
        <w:rPr>
          <w:rFonts w:ascii="Arial" w:eastAsia="DengXian" w:hAnsi="Arial" w:cs="Arial"/>
          <w:color w:val="000000"/>
          <w:sz w:val="20"/>
          <w:szCs w:val="20"/>
          <w:lang w:val="en-GB" w:eastAsia="zh-CN"/>
        </w:rPr>
        <w:t xml:space="preserve">Tine </w:t>
      </w:r>
      <w:proofErr w:type="spellStart"/>
      <w:r w:rsidRPr="00073172">
        <w:rPr>
          <w:rFonts w:ascii="Arial" w:eastAsia="DengXian" w:hAnsi="Arial" w:cs="Arial"/>
          <w:color w:val="000000"/>
          <w:sz w:val="20"/>
          <w:szCs w:val="20"/>
          <w:lang w:val="en-GB" w:eastAsia="zh-CN"/>
        </w:rPr>
        <w:t>Noens</w:t>
      </w:r>
      <w:proofErr w:type="spellEnd"/>
    </w:p>
    <w:p w14:paraId="153FA543" w14:textId="77777777" w:rsidR="00073172" w:rsidRP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nl-NL" w:eastAsia="zh-CN"/>
        </w:rPr>
      </w:pPr>
      <w:r w:rsidRPr="00073172">
        <w:rPr>
          <w:rFonts w:ascii="Arial" w:eastAsia="DengXian" w:hAnsi="Arial" w:cs="Arial"/>
          <w:color w:val="000000"/>
          <w:sz w:val="20"/>
          <w:szCs w:val="20"/>
          <w:lang w:val="nl-NL" w:eastAsia="zh-CN"/>
        </w:rPr>
        <w:t>Project Manager</w:t>
      </w:r>
    </w:p>
    <w:p w14:paraId="45B3C572" w14:textId="77777777" w:rsidR="00073172" w:rsidRPr="00073172" w:rsidRDefault="00073172" w:rsidP="00073172">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nl-NL" w:eastAsia="zh-CN"/>
        </w:rPr>
      </w:pPr>
      <w:r w:rsidRPr="00073172">
        <w:rPr>
          <w:rFonts w:ascii="Arial" w:eastAsia="DengXian" w:hAnsi="Arial" w:cs="Arial"/>
          <w:color w:val="000000"/>
          <w:sz w:val="20"/>
          <w:szCs w:val="20"/>
          <w:lang w:val="da" w:eastAsia="zh-CN"/>
        </w:rPr>
        <w:t>Tlf.</w:t>
      </w:r>
      <w:r w:rsidRPr="00073172">
        <w:rPr>
          <w:rFonts w:ascii="Arial" w:eastAsia="DengXian" w:hAnsi="Arial" w:cs="Arial"/>
          <w:color w:val="000000"/>
          <w:sz w:val="20"/>
          <w:szCs w:val="20"/>
          <w:lang w:val="nl-NL" w:eastAsia="zh-CN"/>
        </w:rPr>
        <w:t xml:space="preserve"> +32 3 780 96 96</w:t>
      </w:r>
    </w:p>
    <w:p w14:paraId="1CAA728B" w14:textId="77777777" w:rsidR="00073172" w:rsidRPr="00073172" w:rsidRDefault="00073172" w:rsidP="00073172">
      <w:pPr>
        <w:spacing w:line="360" w:lineRule="auto"/>
        <w:jc w:val="both"/>
        <w:rPr>
          <w:rFonts w:ascii="Arial" w:eastAsia="DengXian" w:hAnsi="Arial" w:cs="Arial"/>
          <w:color w:val="000000"/>
          <w:sz w:val="20"/>
          <w:szCs w:val="20"/>
          <w:u w:val="single"/>
          <w:lang w:val="nl-NL" w:eastAsia="zh-CN"/>
        </w:rPr>
      </w:pPr>
      <w:proofErr w:type="gramStart"/>
      <w:r w:rsidRPr="00073172">
        <w:rPr>
          <w:rFonts w:ascii="Arial" w:eastAsia="DengXian" w:hAnsi="Arial" w:cs="Arial"/>
          <w:color w:val="000000"/>
          <w:sz w:val="20"/>
          <w:szCs w:val="20"/>
          <w:u w:val="single"/>
          <w:lang w:val="nl-NL" w:eastAsia="zh-CN"/>
        </w:rPr>
        <w:t>tine@arkbbn.be</w:t>
      </w:r>
      <w:proofErr w:type="gramEnd"/>
      <w:r w:rsidRPr="00073172">
        <w:rPr>
          <w:rFonts w:ascii="Arial" w:eastAsia="DengXian" w:hAnsi="Arial" w:cs="Arial"/>
          <w:color w:val="000000"/>
          <w:sz w:val="20"/>
          <w:szCs w:val="20"/>
          <w:u w:val="single"/>
          <w:lang w:val="nl-NL" w:eastAsia="zh-CN"/>
        </w:rPr>
        <w:t xml:space="preserve"> </w:t>
      </w:r>
    </w:p>
    <w:p w14:paraId="51F906F3" w14:textId="77777777" w:rsidR="00073172" w:rsidRPr="00073172" w:rsidRDefault="00073172" w:rsidP="00073172">
      <w:pPr>
        <w:spacing w:line="360" w:lineRule="auto"/>
        <w:jc w:val="both"/>
        <w:rPr>
          <w:rFonts w:ascii="Arial" w:eastAsia="DengXian" w:hAnsi="Arial" w:cs="Arial"/>
          <w:color w:val="000000"/>
          <w:sz w:val="20"/>
          <w:szCs w:val="20"/>
          <w:u w:val="single"/>
          <w:lang w:val="nl-NL" w:eastAsia="zh-CN"/>
        </w:rPr>
      </w:pPr>
      <w:hyperlink r:id="rId13" w:history="1">
        <w:r w:rsidRPr="00073172">
          <w:rPr>
            <w:rFonts w:ascii="Arial" w:eastAsia="DengXian" w:hAnsi="Arial" w:cs="Arial"/>
            <w:color w:val="000000"/>
            <w:sz w:val="20"/>
            <w:szCs w:val="20"/>
            <w:u w:val="single"/>
            <w:lang w:val="nl-NL" w:eastAsia="zh-CN"/>
          </w:rPr>
          <w:t>www.arkbbn.be</w:t>
        </w:r>
      </w:hyperlink>
    </w:p>
    <w:p w14:paraId="598C8AEB" w14:textId="77777777" w:rsidR="00073172" w:rsidRPr="00073172" w:rsidRDefault="00073172" w:rsidP="00073172">
      <w:pPr>
        <w:spacing w:line="360" w:lineRule="auto"/>
        <w:jc w:val="both"/>
        <w:rPr>
          <w:rFonts w:ascii="Arial" w:eastAsia="DengXian" w:hAnsi="Arial" w:cs="Arial"/>
          <w:b/>
          <w:bCs/>
          <w:caps/>
          <w:color w:val="000000"/>
          <w:sz w:val="20"/>
          <w:szCs w:val="20"/>
          <w:lang w:val="nl-NL" w:eastAsia="zh-CN"/>
        </w:rPr>
      </w:pPr>
    </w:p>
    <w:p w14:paraId="7FBA2FC3" w14:textId="77777777" w:rsidR="00073172" w:rsidRPr="00073172" w:rsidRDefault="00073172" w:rsidP="00073172">
      <w:pPr>
        <w:spacing w:line="360" w:lineRule="auto"/>
        <w:jc w:val="both"/>
        <w:rPr>
          <w:rFonts w:ascii="Arial" w:eastAsia="DengXian" w:hAnsi="Arial" w:cs="Arial"/>
          <w:b/>
          <w:bCs/>
          <w:caps/>
          <w:color w:val="000000"/>
          <w:sz w:val="20"/>
          <w:szCs w:val="20"/>
          <w:lang w:val="nl-NL" w:eastAsia="zh-CN"/>
        </w:rPr>
      </w:pPr>
    </w:p>
    <w:p w14:paraId="24C7363D" w14:textId="77777777" w:rsidR="00073172" w:rsidRPr="00073172" w:rsidRDefault="00073172" w:rsidP="00073172">
      <w:pPr>
        <w:spacing w:line="360" w:lineRule="auto"/>
        <w:outlineLvl w:val="0"/>
        <w:rPr>
          <w:rFonts w:ascii="Arial" w:eastAsia="DengXian" w:hAnsi="Arial" w:cs="Arial"/>
          <w:b/>
          <w:color w:val="000000"/>
          <w:sz w:val="20"/>
          <w:szCs w:val="20"/>
          <w:lang w:val="nl-NL" w:eastAsia="zh-CN"/>
        </w:rPr>
      </w:pPr>
    </w:p>
    <w:p w14:paraId="00B58321" w14:textId="77777777" w:rsidR="00073172" w:rsidRDefault="00073172" w:rsidP="00073172">
      <w:pPr>
        <w:spacing w:line="360" w:lineRule="auto"/>
        <w:outlineLvl w:val="0"/>
        <w:rPr>
          <w:rFonts w:ascii="Arial" w:eastAsia="DengXian" w:hAnsi="Arial" w:cs="Arial"/>
          <w:b/>
          <w:bCs/>
          <w:color w:val="000000"/>
          <w:sz w:val="20"/>
          <w:szCs w:val="20"/>
          <w:lang w:val="en-GB" w:eastAsia="zh-CN"/>
        </w:rPr>
      </w:pPr>
    </w:p>
    <w:p w14:paraId="1D7913B2" w14:textId="348590F6" w:rsidR="00073172" w:rsidRDefault="00073172" w:rsidP="00073172">
      <w:pPr>
        <w:spacing w:line="360" w:lineRule="auto"/>
        <w:outlineLvl w:val="0"/>
        <w:rPr>
          <w:rFonts w:ascii="Arial" w:eastAsia="DengXian" w:hAnsi="Arial" w:cs="Arial"/>
          <w:b/>
          <w:bCs/>
          <w:color w:val="000000"/>
          <w:sz w:val="20"/>
          <w:szCs w:val="20"/>
          <w:lang w:val="en-GB" w:eastAsia="zh-CN"/>
        </w:rPr>
      </w:pPr>
    </w:p>
    <w:p w14:paraId="0316EC76" w14:textId="217A1C19" w:rsidR="00073172" w:rsidRDefault="00073172" w:rsidP="00073172">
      <w:pPr>
        <w:spacing w:line="360" w:lineRule="auto"/>
        <w:outlineLvl w:val="0"/>
        <w:rPr>
          <w:rFonts w:ascii="Arial" w:eastAsia="DengXian" w:hAnsi="Arial" w:cs="Arial"/>
          <w:b/>
          <w:bCs/>
          <w:color w:val="000000"/>
          <w:sz w:val="20"/>
          <w:szCs w:val="20"/>
          <w:lang w:val="en-GB" w:eastAsia="zh-CN"/>
        </w:rPr>
      </w:pPr>
    </w:p>
    <w:p w14:paraId="6494AB85" w14:textId="77777777" w:rsidR="00073172" w:rsidRDefault="00073172" w:rsidP="00073172">
      <w:pPr>
        <w:spacing w:line="360" w:lineRule="auto"/>
        <w:outlineLvl w:val="0"/>
        <w:rPr>
          <w:rFonts w:ascii="Arial" w:eastAsia="DengXian" w:hAnsi="Arial" w:cs="Arial"/>
          <w:b/>
          <w:bCs/>
          <w:color w:val="000000"/>
          <w:sz w:val="20"/>
          <w:szCs w:val="20"/>
          <w:lang w:val="en-GB" w:eastAsia="zh-CN"/>
        </w:rPr>
      </w:pPr>
    </w:p>
    <w:p w14:paraId="06C50A16" w14:textId="77777777" w:rsidR="00073172" w:rsidRDefault="00073172" w:rsidP="00073172">
      <w:pPr>
        <w:spacing w:line="360" w:lineRule="auto"/>
        <w:outlineLvl w:val="0"/>
        <w:rPr>
          <w:rFonts w:ascii="Arial" w:eastAsia="DengXian" w:hAnsi="Arial" w:cs="Arial"/>
          <w:b/>
          <w:bCs/>
          <w:color w:val="000000"/>
          <w:sz w:val="20"/>
          <w:szCs w:val="20"/>
          <w:lang w:val="en-GB" w:eastAsia="zh-CN"/>
        </w:rPr>
      </w:pPr>
    </w:p>
    <w:p w14:paraId="10C5146A" w14:textId="77777777" w:rsidR="00073172" w:rsidRDefault="00073172" w:rsidP="00073172">
      <w:pPr>
        <w:spacing w:line="360" w:lineRule="auto"/>
        <w:outlineLvl w:val="0"/>
        <w:rPr>
          <w:rFonts w:ascii="Arial" w:eastAsia="DengXian" w:hAnsi="Arial" w:cs="Arial"/>
          <w:b/>
          <w:bCs/>
          <w:color w:val="000000"/>
          <w:sz w:val="20"/>
          <w:szCs w:val="20"/>
          <w:lang w:val="en-GB" w:eastAsia="zh-CN"/>
        </w:rPr>
      </w:pPr>
    </w:p>
    <w:p w14:paraId="483F1536" w14:textId="77777777" w:rsidR="00073172" w:rsidRDefault="00073172" w:rsidP="00073172">
      <w:pPr>
        <w:spacing w:line="360" w:lineRule="auto"/>
        <w:outlineLvl w:val="0"/>
        <w:rPr>
          <w:rFonts w:ascii="Arial" w:eastAsia="DengXian" w:hAnsi="Arial" w:cs="Arial"/>
          <w:b/>
          <w:bCs/>
          <w:color w:val="000000"/>
          <w:sz w:val="20"/>
          <w:szCs w:val="20"/>
          <w:lang w:val="en-GB" w:eastAsia="zh-CN"/>
        </w:rPr>
      </w:pPr>
    </w:p>
    <w:p w14:paraId="729E0253" w14:textId="371D971A" w:rsidR="00073172" w:rsidRPr="00073172" w:rsidRDefault="00073172" w:rsidP="00073172">
      <w:pPr>
        <w:spacing w:line="360" w:lineRule="auto"/>
        <w:outlineLvl w:val="0"/>
        <w:rPr>
          <w:rFonts w:ascii="Arial" w:eastAsia="DengXian" w:hAnsi="Arial" w:cs="Arial"/>
          <w:b/>
          <w:color w:val="000000"/>
          <w:sz w:val="20"/>
          <w:szCs w:val="20"/>
          <w:lang w:val="en-GB" w:eastAsia="zh-CN"/>
        </w:rPr>
      </w:pPr>
      <w:r w:rsidRPr="00073172">
        <w:rPr>
          <w:rFonts w:ascii="Arial" w:eastAsia="DengXian" w:hAnsi="Arial" w:cs="Arial"/>
          <w:b/>
          <w:bCs/>
          <w:color w:val="000000"/>
          <w:sz w:val="20"/>
          <w:szCs w:val="20"/>
          <w:lang w:val="en-GB" w:eastAsia="zh-CN"/>
        </w:rPr>
        <w:t>Panasonic Energy Europe NV</w:t>
      </w:r>
    </w:p>
    <w:p w14:paraId="32CC24D0" w14:textId="77777777" w:rsidR="00073172" w:rsidRPr="00073172" w:rsidRDefault="00073172" w:rsidP="00073172">
      <w:pPr>
        <w:widowControl w:val="0"/>
        <w:suppressAutoHyphens/>
        <w:autoSpaceDE w:val="0"/>
        <w:autoSpaceDN w:val="0"/>
        <w:adjustRightInd w:val="0"/>
        <w:spacing w:line="360" w:lineRule="auto"/>
        <w:textAlignment w:val="center"/>
        <w:outlineLvl w:val="0"/>
        <w:rPr>
          <w:rFonts w:ascii="Arial" w:eastAsia="DengXian" w:hAnsi="Arial" w:cs="Arial"/>
          <w:color w:val="000000"/>
          <w:sz w:val="20"/>
          <w:szCs w:val="20"/>
          <w:lang w:val="en-GB" w:eastAsia="zh-CN"/>
        </w:rPr>
      </w:pPr>
      <w:r w:rsidRPr="00073172">
        <w:rPr>
          <w:rFonts w:ascii="Arial" w:eastAsia="DengXian" w:hAnsi="Arial" w:cs="Arial"/>
          <w:color w:val="000000"/>
          <w:sz w:val="20"/>
          <w:szCs w:val="20"/>
          <w:lang w:val="en-GB" w:eastAsia="zh-CN"/>
        </w:rPr>
        <w:t>Vicky Raman</w:t>
      </w:r>
    </w:p>
    <w:p w14:paraId="5CAD0060" w14:textId="77777777" w:rsidR="00073172" w:rsidRPr="00073172" w:rsidRDefault="00073172" w:rsidP="00073172">
      <w:pPr>
        <w:widowControl w:val="0"/>
        <w:suppressAutoHyphens/>
        <w:autoSpaceDE w:val="0"/>
        <w:autoSpaceDN w:val="0"/>
        <w:adjustRightInd w:val="0"/>
        <w:spacing w:line="360" w:lineRule="auto"/>
        <w:textAlignment w:val="center"/>
        <w:rPr>
          <w:rFonts w:ascii="Arial" w:eastAsia="DengXian" w:hAnsi="Arial" w:cs="Arial"/>
          <w:color w:val="000000"/>
          <w:sz w:val="20"/>
          <w:szCs w:val="20"/>
          <w:lang w:val="en-US" w:eastAsia="zh-CN"/>
        </w:rPr>
      </w:pPr>
      <w:r w:rsidRPr="00073172">
        <w:rPr>
          <w:rFonts w:ascii="Arial" w:eastAsia="DengXian" w:hAnsi="Arial" w:cs="Arial"/>
          <w:color w:val="000000"/>
          <w:sz w:val="20"/>
          <w:szCs w:val="20"/>
          <w:lang w:val="en-US" w:eastAsia="zh-CN"/>
        </w:rPr>
        <w:t>Brand Marketing Manager</w:t>
      </w:r>
    </w:p>
    <w:p w14:paraId="73F44148" w14:textId="77777777" w:rsidR="00073172" w:rsidRPr="00073172" w:rsidRDefault="00073172" w:rsidP="00073172">
      <w:pPr>
        <w:widowControl w:val="0"/>
        <w:suppressAutoHyphens/>
        <w:autoSpaceDE w:val="0"/>
        <w:autoSpaceDN w:val="0"/>
        <w:adjustRightInd w:val="0"/>
        <w:spacing w:line="360" w:lineRule="auto"/>
        <w:textAlignment w:val="center"/>
        <w:rPr>
          <w:rFonts w:ascii="Arial" w:eastAsia="DengXian" w:hAnsi="Arial" w:cs="Arial"/>
          <w:color w:val="000000"/>
          <w:sz w:val="20"/>
          <w:szCs w:val="20"/>
          <w:lang w:val="en-US" w:eastAsia="zh-CN"/>
        </w:rPr>
      </w:pPr>
      <w:r w:rsidRPr="00073172">
        <w:rPr>
          <w:rFonts w:ascii="Arial" w:eastAsia="DengXian" w:hAnsi="Arial" w:cs="Arial"/>
          <w:color w:val="000000"/>
          <w:sz w:val="20"/>
          <w:szCs w:val="20"/>
          <w:lang w:val="da" w:eastAsia="zh-CN"/>
        </w:rPr>
        <w:t>Tlf.</w:t>
      </w:r>
      <w:r w:rsidRPr="00073172">
        <w:rPr>
          <w:rFonts w:ascii="Arial" w:eastAsia="DengXian" w:hAnsi="Arial" w:cs="Arial"/>
          <w:color w:val="000000"/>
          <w:sz w:val="20"/>
          <w:szCs w:val="20"/>
          <w:lang w:val="en-US" w:eastAsia="zh-CN"/>
        </w:rPr>
        <w:t xml:space="preserve"> +32 2 467 84 35</w:t>
      </w:r>
    </w:p>
    <w:p w14:paraId="7C796243" w14:textId="524D4C79" w:rsidR="00073172" w:rsidRPr="00073172" w:rsidRDefault="00073172" w:rsidP="00073172">
      <w:pPr>
        <w:spacing w:line="360" w:lineRule="auto"/>
        <w:rPr>
          <w:rFonts w:ascii="Arial" w:eastAsia="DengXian" w:hAnsi="Arial" w:cs="Arial"/>
          <w:color w:val="000000"/>
          <w:sz w:val="20"/>
          <w:szCs w:val="20"/>
          <w:u w:val="single"/>
          <w:lang w:val="en-US" w:eastAsia="zh-CN"/>
        </w:rPr>
        <w:sectPr w:rsidR="00073172" w:rsidRPr="00073172"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073172">
        <w:rPr>
          <w:rFonts w:ascii="Arial" w:eastAsia="DengXian" w:hAnsi="Arial" w:cs="Arial"/>
          <w:color w:val="000000"/>
          <w:sz w:val="20"/>
          <w:szCs w:val="20"/>
          <w:u w:val="single"/>
          <w:lang w:val="en-US" w:eastAsia="zh-CN"/>
        </w:rPr>
        <w:t>vicky.raman@eu.panasonic.com www.panasonic-batteries.c</w:t>
      </w:r>
      <w:r w:rsidR="0058511E">
        <w:rPr>
          <w:rFonts w:ascii="Arial" w:eastAsia="DengXian" w:hAnsi="Arial" w:cs="Arial"/>
          <w:color w:val="000000"/>
          <w:sz w:val="20"/>
          <w:szCs w:val="20"/>
          <w:u w:val="single"/>
          <w:lang w:val="en-US" w:eastAsia="zh-CN"/>
        </w:rPr>
        <w:t>om</w:t>
      </w:r>
    </w:p>
    <w:p w14:paraId="1E125852" w14:textId="28566DF9" w:rsidR="00073172" w:rsidRPr="00EF05AE" w:rsidRDefault="00073172" w:rsidP="0058511E">
      <w:pPr>
        <w:snapToGrid w:val="0"/>
        <w:spacing w:after="120"/>
        <w:contextualSpacing/>
        <w:rPr>
          <w:rFonts w:asciiTheme="minorHAnsi" w:eastAsiaTheme="minorEastAsia" w:hAnsiTheme="minorHAnsi" w:cstheme="minorHAnsi"/>
          <w:sz w:val="22"/>
          <w:szCs w:val="22"/>
        </w:rPr>
      </w:pPr>
    </w:p>
    <w:sectPr w:rsidR="00073172" w:rsidRPr="00EF05AE" w:rsidSect="002A71FA">
      <w:head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C2CD" w14:textId="77777777" w:rsidR="004907A4" w:rsidRDefault="004907A4" w:rsidP="00905D49">
      <w:r>
        <w:separator/>
      </w:r>
    </w:p>
  </w:endnote>
  <w:endnote w:type="continuationSeparator" w:id="0">
    <w:p w14:paraId="23B3C636" w14:textId="77777777" w:rsidR="004907A4" w:rsidRDefault="004907A4"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DFDD" w14:textId="77777777" w:rsidR="004907A4" w:rsidRDefault="004907A4" w:rsidP="00905D49">
      <w:r>
        <w:separator/>
      </w:r>
    </w:p>
  </w:footnote>
  <w:footnote w:type="continuationSeparator" w:id="0">
    <w:p w14:paraId="4234F6C6" w14:textId="77777777" w:rsidR="004907A4" w:rsidRDefault="004907A4"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8EF6" w14:textId="77777777" w:rsidR="00073172" w:rsidRDefault="00073172">
    <w:pPr>
      <w:pStyle w:val="Koptekst"/>
    </w:pPr>
    <w:sdt>
      <w:sdtPr>
        <w:id w:val="-382253959"/>
        <w:temporary/>
        <w:showingPlcHdr/>
      </w:sdtPr>
      <w:sdtContent>
        <w:r>
          <w:rPr>
            <w:lang w:val="da"/>
          </w:rPr>
          <w:t>[Geef de tekst op]</w:t>
        </w:r>
      </w:sdtContent>
    </w:sdt>
    <w:r>
      <w:rPr>
        <w:lang w:val="da"/>
      </w:rPr>
      <w:ptab w:relativeTo="margin" w:alignment="center" w:leader="none"/>
    </w:r>
    <w:sdt>
      <w:sdtPr>
        <w:id w:val="770909025"/>
        <w:temporary/>
        <w:showingPlcHdr/>
      </w:sdtPr>
      <w:sdtContent>
        <w:r>
          <w:rPr>
            <w:lang w:val="da"/>
          </w:rPr>
          <w:t>[Geef de tekst op]</w:t>
        </w:r>
      </w:sdtContent>
    </w:sdt>
    <w:r>
      <w:rPr>
        <w:lang w:val="da"/>
      </w:rPr>
      <w:ptab w:relativeTo="margin" w:alignment="right" w:leader="none"/>
    </w:r>
    <w:sdt>
      <w:sdtPr>
        <w:id w:val="-1923009712"/>
        <w:temporary/>
        <w:showingPlcHdr/>
      </w:sdtPr>
      <w:sdtContent>
        <w:r>
          <w:rPr>
            <w:lang w:val="da"/>
          </w:rPr>
          <w:t>[Geef de tekst op]</w:t>
        </w:r>
      </w:sdtContent>
    </w:sdt>
  </w:p>
  <w:p w14:paraId="51685F7D" w14:textId="77777777" w:rsidR="00073172" w:rsidRDefault="000731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39D0" w14:textId="77777777" w:rsidR="00073172" w:rsidRPr="00041BDF" w:rsidRDefault="0007317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41BDF">
      <w:rPr>
        <w:rFonts w:ascii="Arial" w:hAnsi="Arial" w:cs="Arial"/>
        <w:b/>
        <w:bCs/>
        <w:caps/>
        <w:noProof/>
        <w:sz w:val="30"/>
        <w:szCs w:val="30"/>
      </w:rPr>
      <w:drawing>
        <wp:inline distT="0" distB="0" distL="0" distR="0" wp14:anchorId="1C0E3A15" wp14:editId="68D6FE49">
          <wp:extent cx="1941965" cy="674740"/>
          <wp:effectExtent l="0" t="0" r="0" b="1143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41BDF">
      <w:rPr>
        <w:rFonts w:ascii="Arial" w:hAnsi="Arial" w:cs="Arial"/>
        <w:b/>
        <w:bCs/>
        <w:caps/>
        <w:sz w:val="30"/>
        <w:szCs w:val="30"/>
      </w:rPr>
      <w:tab/>
      <w:t xml:space="preserve"> </w:t>
    </w:r>
    <w:r w:rsidRPr="00041BDF">
      <w:rPr>
        <w:rFonts w:ascii="Arial" w:hAnsi="Arial" w:cs="Arial"/>
        <w:b/>
        <w:bCs/>
        <w:caps/>
        <w:sz w:val="30"/>
        <w:szCs w:val="30"/>
      </w:rPr>
      <w:tab/>
    </w:r>
    <w:r>
      <w:rPr>
        <w:rFonts w:ascii="Arial" w:eastAsia="Arial" w:hAnsi="Arial" w:cs="Arial"/>
        <w:b/>
        <w:bCs/>
        <w:smallCaps/>
        <w:sz w:val="30"/>
        <w:szCs w:val="30"/>
        <w:lang w:val="da"/>
      </w:rPr>
      <w:t>PRESSEMEDDELELSE</w:t>
    </w:r>
  </w:p>
  <w:p w14:paraId="2CF3971D" w14:textId="77777777" w:rsidR="00073172" w:rsidRPr="00041BDF" w:rsidRDefault="000731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2EA1" w14:textId="77777777" w:rsidR="00073172" w:rsidRDefault="00073172">
    <w:pPr>
      <w:pStyle w:val="Koptekst"/>
    </w:pPr>
    <w:sdt>
      <w:sdtPr>
        <w:id w:val="-185147002"/>
        <w:temporary/>
        <w:showingPlcHdr/>
      </w:sdtPr>
      <w:sdtContent>
        <w:r>
          <w:rPr>
            <w:lang w:val="da"/>
          </w:rPr>
          <w:t>[Geef de tekst op]</w:t>
        </w:r>
      </w:sdtContent>
    </w:sdt>
    <w:r>
      <w:rPr>
        <w:lang w:val="da"/>
      </w:rPr>
      <w:ptab w:relativeTo="margin" w:alignment="center" w:leader="none"/>
    </w:r>
    <w:sdt>
      <w:sdtPr>
        <w:id w:val="706607986"/>
        <w:temporary/>
        <w:showingPlcHdr/>
      </w:sdtPr>
      <w:sdtContent>
        <w:r>
          <w:rPr>
            <w:lang w:val="da"/>
          </w:rPr>
          <w:t>[Geef de tekst op]</w:t>
        </w:r>
      </w:sdtContent>
    </w:sdt>
    <w:r>
      <w:rPr>
        <w:lang w:val="da"/>
      </w:rPr>
      <w:ptab w:relativeTo="margin" w:alignment="right" w:leader="none"/>
    </w:r>
    <w:sdt>
      <w:sdtPr>
        <w:id w:val="-1578281797"/>
        <w:temporary/>
        <w:showingPlcHdr/>
      </w:sdtPr>
      <w:sdtContent>
        <w:r>
          <w:rPr>
            <w:lang w:val="da"/>
          </w:rPr>
          <w:t>[Geef de tekst op]</w:t>
        </w:r>
      </w:sdtContent>
    </w:sdt>
  </w:p>
  <w:p w14:paraId="0835AF48" w14:textId="77777777" w:rsidR="00073172" w:rsidRDefault="0007317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385C" w14:textId="77777777" w:rsidR="00073172" w:rsidRDefault="0007317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1AE61B60" wp14:editId="08B4F816">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PERSBERICHT</w:t>
    </w:r>
  </w:p>
  <w:p w14:paraId="080AEA68" w14:textId="77777777" w:rsidR="00073172" w:rsidRDefault="0007317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PRESSEMEDDELELSE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3172"/>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2D54"/>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75A31"/>
    <w:rsid w:val="00380F4C"/>
    <w:rsid w:val="00381C4A"/>
    <w:rsid w:val="00385FA7"/>
    <w:rsid w:val="003974D8"/>
    <w:rsid w:val="003B09AB"/>
    <w:rsid w:val="003B2BFB"/>
    <w:rsid w:val="003B68C5"/>
    <w:rsid w:val="003D5B8D"/>
    <w:rsid w:val="0040670E"/>
    <w:rsid w:val="004105B9"/>
    <w:rsid w:val="00431D17"/>
    <w:rsid w:val="00436810"/>
    <w:rsid w:val="00447D7E"/>
    <w:rsid w:val="00477D44"/>
    <w:rsid w:val="00485EB5"/>
    <w:rsid w:val="0049020E"/>
    <w:rsid w:val="004907A4"/>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8511E"/>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531D4"/>
    <w:rsid w:val="00A56804"/>
    <w:rsid w:val="00AA3291"/>
    <w:rsid w:val="00AC1F72"/>
    <w:rsid w:val="00AE16CA"/>
    <w:rsid w:val="00AE3AD1"/>
    <w:rsid w:val="00AF4363"/>
    <w:rsid w:val="00B03501"/>
    <w:rsid w:val="00B16B9F"/>
    <w:rsid w:val="00B37281"/>
    <w:rsid w:val="00B37D30"/>
    <w:rsid w:val="00B40383"/>
    <w:rsid w:val="00B70895"/>
    <w:rsid w:val="00B917F6"/>
    <w:rsid w:val="00B94293"/>
    <w:rsid w:val="00B953D3"/>
    <w:rsid w:val="00BA66A9"/>
    <w:rsid w:val="00BB0632"/>
    <w:rsid w:val="00BB1A7A"/>
    <w:rsid w:val="00BB3E55"/>
    <w:rsid w:val="00BD0798"/>
    <w:rsid w:val="00BD7AB8"/>
    <w:rsid w:val="00BE251E"/>
    <w:rsid w:val="00BF759E"/>
    <w:rsid w:val="00C07C64"/>
    <w:rsid w:val="00C44751"/>
    <w:rsid w:val="00C46DB2"/>
    <w:rsid w:val="00C47A07"/>
    <w:rsid w:val="00C5180B"/>
    <w:rsid w:val="00C616BC"/>
    <w:rsid w:val="00C83C6E"/>
    <w:rsid w:val="00C92930"/>
    <w:rsid w:val="00CA54B1"/>
    <w:rsid w:val="00CA6C16"/>
    <w:rsid w:val="00CB2094"/>
    <w:rsid w:val="00CC49F1"/>
    <w:rsid w:val="00CD6D80"/>
    <w:rsid w:val="00CE113F"/>
    <w:rsid w:val="00CF4B55"/>
    <w:rsid w:val="00D07256"/>
    <w:rsid w:val="00D20121"/>
    <w:rsid w:val="00D31FE6"/>
    <w:rsid w:val="00D651B0"/>
    <w:rsid w:val="00DC6CFA"/>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05AE"/>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alkaline/evolta-neo/evolta-neo-lr6ng" TargetMode="External"/><Relationship Id="rId13" Type="http://schemas.openxmlformats.org/officeDocument/2006/relationships/hyperlink" Target="http://www.arkbb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30F6-1BBB-484F-AF8C-6B3D4DBF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7</cp:revision>
  <dcterms:created xsi:type="dcterms:W3CDTF">2019-11-04T15:26:00Z</dcterms:created>
  <dcterms:modified xsi:type="dcterms:W3CDTF">2019-11-06T09:16:00Z</dcterms:modified>
</cp:coreProperties>
</file>