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color w:val="202124"/>
          <w:sz w:val="28"/>
          <w:szCs w:val="28"/>
          <w:highlight w:val="white"/>
        </w:rPr>
      </w:pPr>
      <w:r w:rsidDel="00000000" w:rsidR="00000000" w:rsidRPr="00000000">
        <w:rPr>
          <w:rFonts w:ascii="Proxima Nova" w:cs="Proxima Nova" w:eastAsia="Proxima Nova" w:hAnsi="Proxima Nova"/>
          <w:b w:val="1"/>
          <w:color w:val="202124"/>
          <w:sz w:val="28"/>
          <w:szCs w:val="28"/>
          <w:highlight w:val="white"/>
          <w:rtl w:val="0"/>
        </w:rPr>
        <w:t xml:space="preserve">60% de la inversión publicitaria se dirigirá al sector digital </w:t>
      </w:r>
    </w:p>
    <w:p w:rsidR="00000000" w:rsidDel="00000000" w:rsidP="00000000" w:rsidRDefault="00000000" w:rsidRPr="00000000" w14:paraId="00000002">
      <w:pPr>
        <w:jc w:val="center"/>
        <w:rPr>
          <w:rFonts w:ascii="Proxima Nova" w:cs="Proxima Nova" w:eastAsia="Proxima Nova" w:hAnsi="Proxima Nova"/>
          <w:b w:val="1"/>
        </w:rPr>
      </w:pPr>
      <w:r w:rsidDel="00000000" w:rsidR="00000000" w:rsidRPr="00000000">
        <w:rPr>
          <w:rFonts w:ascii="Proxima Nova" w:cs="Proxima Nova" w:eastAsia="Proxima Nova" w:hAnsi="Proxima Nova"/>
          <w:b w:val="1"/>
          <w:color w:val="202124"/>
          <w:sz w:val="28"/>
          <w:szCs w:val="28"/>
          <w:highlight w:val="white"/>
          <w:rtl w:val="0"/>
        </w:rPr>
        <w:t xml:space="preserve">durante el 2022 con el </w:t>
      </w:r>
      <w:r w:rsidDel="00000000" w:rsidR="00000000" w:rsidRPr="00000000">
        <w:rPr>
          <w:rFonts w:ascii="Proxima Nova" w:cs="Proxima Nova" w:eastAsia="Proxima Nova" w:hAnsi="Proxima Nova"/>
          <w:b w:val="1"/>
          <w:i w:val="1"/>
          <w:color w:val="202124"/>
          <w:sz w:val="28"/>
          <w:szCs w:val="28"/>
          <w:highlight w:val="white"/>
          <w:rtl w:val="0"/>
        </w:rPr>
        <w:t xml:space="preserve">retail media</w:t>
      </w:r>
      <w:r w:rsidDel="00000000" w:rsidR="00000000" w:rsidRPr="00000000">
        <w:rPr>
          <w:rFonts w:ascii="Proxima Nova" w:cs="Proxima Nova" w:eastAsia="Proxima Nova" w:hAnsi="Proxima Nova"/>
          <w:b w:val="1"/>
          <w:color w:val="202124"/>
          <w:sz w:val="28"/>
          <w:szCs w:val="28"/>
          <w:highlight w:val="white"/>
          <w:rtl w:val="0"/>
        </w:rPr>
        <w:t xml:space="preserve"> creciendo a triple dígito</w:t>
      </w:r>
      <w:r w:rsidDel="00000000" w:rsidR="00000000" w:rsidRPr="00000000">
        <w:rPr>
          <w:rtl w:val="0"/>
        </w:rPr>
      </w:r>
    </w:p>
    <w:p w:rsidR="00000000" w:rsidDel="00000000" w:rsidP="00000000" w:rsidRDefault="00000000" w:rsidRPr="00000000" w14:paraId="00000003">
      <w:pPr>
        <w:spacing w:after="40" w:lineRule="auto"/>
        <w:jc w:val="center"/>
        <w:rPr>
          <w:rFonts w:ascii="Proxima Nova" w:cs="Proxima Nova" w:eastAsia="Proxima Nova" w:hAnsi="Proxima Nova"/>
          <w:b w:val="1"/>
          <w:color w:val="202124"/>
          <w:sz w:val="28"/>
          <w:szCs w:val="28"/>
          <w:highlight w:val="white"/>
        </w:rPr>
      </w:pPr>
      <w:r w:rsidDel="00000000" w:rsidR="00000000" w:rsidRPr="00000000">
        <w:rPr>
          <w:rtl w:val="0"/>
        </w:rPr>
      </w:r>
    </w:p>
    <w:p w:rsidR="00000000" w:rsidDel="00000000" w:rsidP="00000000" w:rsidRDefault="00000000" w:rsidRPr="00000000" w14:paraId="00000004">
      <w:pPr>
        <w:numPr>
          <w:ilvl w:val="0"/>
          <w:numId w:val="1"/>
        </w:numPr>
        <w:spacing w:after="0" w:afterAutospacing="0" w:lineRule="auto"/>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eMarketer analiza el impacto del retail media en el mercado de la publicidad digital, y cómo los equipos de marketing responden al desafío.</w:t>
      </w:r>
    </w:p>
    <w:p w:rsidR="00000000" w:rsidDel="00000000" w:rsidP="00000000" w:rsidRDefault="00000000" w:rsidRPr="00000000" w14:paraId="00000005">
      <w:pPr>
        <w:numPr>
          <w:ilvl w:val="0"/>
          <w:numId w:val="1"/>
        </w:numPr>
        <w:spacing w:after="40" w:lineRule="auto"/>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Mercado Libre se posiciona como líder del retail media en la industria publicitaria con Mercado Ads</w:t>
      </w:r>
      <w:r w:rsidDel="00000000" w:rsidR="00000000" w:rsidRPr="00000000">
        <w:rPr>
          <w:rFonts w:ascii="Proxima Nova" w:cs="Proxima Nova" w:eastAsia="Proxima Nova" w:hAnsi="Proxima Nova"/>
          <w:i w:val="1"/>
          <w:rtl w:val="0"/>
        </w:rPr>
        <w:t xml:space="preserve">. </w:t>
      </w:r>
      <w:r w:rsidDel="00000000" w:rsidR="00000000" w:rsidRPr="00000000">
        <w:rPr>
          <w:rtl w:val="0"/>
        </w:rPr>
      </w:r>
    </w:p>
    <w:p w:rsidR="00000000" w:rsidDel="00000000" w:rsidP="00000000" w:rsidRDefault="00000000" w:rsidRPr="00000000" w14:paraId="00000006">
      <w:pPr>
        <w:spacing w:after="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7">
      <w:pPr>
        <w:spacing w:after="40"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25</w:t>
      </w:r>
      <w:r w:rsidDel="00000000" w:rsidR="00000000" w:rsidRPr="00000000">
        <w:rPr>
          <w:rFonts w:ascii="Proxima Nova" w:cs="Proxima Nova" w:eastAsia="Proxima Nova" w:hAnsi="Proxima Nova"/>
          <w:b w:val="1"/>
          <w:rtl w:val="0"/>
        </w:rPr>
        <w:t xml:space="preserve"> de mayo de 2022— </w:t>
      </w:r>
      <w:r w:rsidDel="00000000" w:rsidR="00000000" w:rsidRPr="00000000">
        <w:rPr>
          <w:rFonts w:ascii="Proxima Nova" w:cs="Proxima Nova" w:eastAsia="Proxima Nova" w:hAnsi="Proxima Nova"/>
          <w:rtl w:val="0"/>
        </w:rPr>
        <w:t xml:space="preserve">La evolución de la publicidad hacía el universo digital no ha parado, por el contrario, se han sumado cada vez más marcas, con mayor confianza, para desarrollar nuevas estrategias y oportunidades. Durante este 2022 se ha previsto que </w:t>
      </w:r>
      <w:r w:rsidDel="00000000" w:rsidR="00000000" w:rsidRPr="00000000">
        <w:rPr>
          <w:rFonts w:ascii="Proxima Nova Semibold" w:cs="Proxima Nova Semibold" w:eastAsia="Proxima Nova Semibold" w:hAnsi="Proxima Nova Semibold"/>
          <w:rtl w:val="0"/>
        </w:rPr>
        <w:t xml:space="preserve">casi el 60% de la inversión publicitaria se dirigirá al sector digital</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8">
      <w:pPr>
        <w:spacing w:after="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spacing w:after="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entender la dinámica que está adquiriendo el escenario regional, eMarketer elaboró el </w:t>
      </w:r>
      <w:hyperlink r:id="rId6">
        <w:r w:rsidDel="00000000" w:rsidR="00000000" w:rsidRPr="00000000">
          <w:rPr>
            <w:rFonts w:ascii="Proxima Nova" w:cs="Proxima Nova" w:eastAsia="Proxima Nova" w:hAnsi="Proxima Nova"/>
            <w:color w:val="1155cc"/>
            <w:u w:val="single"/>
            <w:rtl w:val="0"/>
          </w:rPr>
          <w:t xml:space="preserve">reporte </w:t>
        </w:r>
      </w:hyperlink>
      <w:hyperlink r:id="rId7">
        <w:r w:rsidDel="00000000" w:rsidR="00000000" w:rsidRPr="00000000">
          <w:rPr>
            <w:rFonts w:ascii="Proxima Nova" w:cs="Proxima Nova" w:eastAsia="Proxima Nova" w:hAnsi="Proxima Nova"/>
            <w:i w:val="1"/>
            <w:color w:val="1155cc"/>
            <w:u w:val="single"/>
            <w:rtl w:val="0"/>
          </w:rPr>
          <w:t xml:space="preserve">Latin America Retail Media Advertising 2022</w:t>
        </w:r>
      </w:hyperlink>
      <w:r w:rsidDel="00000000" w:rsidR="00000000" w:rsidRPr="00000000">
        <w:rPr>
          <w:rFonts w:ascii="Proxima Nova" w:cs="Proxima Nova" w:eastAsia="Proxima Nova" w:hAnsi="Proxima Nova"/>
          <w:i w:val="1"/>
          <w:rtl w:val="0"/>
        </w:rPr>
        <w:t xml:space="preserve">,</w:t>
      </w:r>
      <w:r w:rsidDel="00000000" w:rsidR="00000000" w:rsidRPr="00000000">
        <w:rPr>
          <w:rFonts w:ascii="Proxima Nova" w:cs="Proxima Nova" w:eastAsia="Proxima Nova" w:hAnsi="Proxima Nova"/>
          <w:rtl w:val="0"/>
        </w:rPr>
        <w:t xml:space="preserve"> con datos actualizados del sector. El informe revela que los mercadólogos están siendo motivados a cambiar sus decisiones de inversión -casi </w:t>
      </w:r>
      <w:r w:rsidDel="00000000" w:rsidR="00000000" w:rsidRPr="00000000">
        <w:rPr>
          <w:rFonts w:ascii="Proxima Nova Semibold" w:cs="Proxima Nova Semibold" w:eastAsia="Proxima Nova Semibold" w:hAnsi="Proxima Nova Semibold"/>
          <w:rtl w:val="0"/>
        </w:rPr>
        <w:t xml:space="preserve">el 50% reconoce que su mix de medios se ha transformado “completamente”</w:t>
      </w:r>
      <w:r w:rsidDel="00000000" w:rsidR="00000000" w:rsidRPr="00000000">
        <w:rPr>
          <w:rFonts w:ascii="Proxima Nova" w:cs="Proxima Nova" w:eastAsia="Proxima Nova" w:hAnsi="Proxima Nova"/>
          <w:rtl w:val="0"/>
        </w:rPr>
        <w:t xml:space="preserve"> en los últimos años-, y que el </w:t>
      </w:r>
      <w:r w:rsidDel="00000000" w:rsidR="00000000" w:rsidRPr="00000000">
        <w:rPr>
          <w:rFonts w:ascii="Proxima Nova" w:cs="Proxima Nova" w:eastAsia="Proxima Nova" w:hAnsi="Proxima Nova"/>
          <w:i w:val="1"/>
          <w:rtl w:val="0"/>
        </w:rPr>
        <w:t xml:space="preserve">retail media</w:t>
      </w:r>
      <w:r w:rsidDel="00000000" w:rsidR="00000000" w:rsidRPr="00000000">
        <w:rPr>
          <w:rFonts w:ascii="Proxima Nova" w:cs="Proxima Nova" w:eastAsia="Proxima Nova" w:hAnsi="Proxima Nova"/>
          <w:rtl w:val="0"/>
        </w:rPr>
        <w:t xml:space="preserve"> no solo convoca millones de personas a comprar, sino previamente a descubrir y comparar, desplazando a los motores de búsqueda tradicionales y creciendo más de 102% vs el inicio de la pandemia. </w:t>
      </w:r>
    </w:p>
    <w:p w:rsidR="00000000" w:rsidDel="00000000" w:rsidP="00000000" w:rsidRDefault="00000000" w:rsidRPr="00000000" w14:paraId="0000000A">
      <w:pPr>
        <w:spacing w:after="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spacing w:after="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Este contexto consolida el ascenso de un nuevo medio de comunicación: el </w:t>
      </w:r>
      <w:r w:rsidDel="00000000" w:rsidR="00000000" w:rsidRPr="00000000">
        <w:rPr>
          <w:rFonts w:ascii="Proxima Nova" w:cs="Proxima Nova" w:eastAsia="Proxima Nova" w:hAnsi="Proxima Nova"/>
          <w:i w:val="1"/>
          <w:rtl w:val="0"/>
        </w:rPr>
        <w:t xml:space="preserve">retail media</w:t>
      </w:r>
      <w:r w:rsidDel="00000000" w:rsidR="00000000" w:rsidRPr="00000000">
        <w:rPr>
          <w:rFonts w:ascii="Proxima Nova" w:cs="Proxima Nova" w:eastAsia="Proxima Nova" w:hAnsi="Proxima Nova"/>
          <w:rtl w:val="0"/>
        </w:rPr>
        <w:t xml:space="preserve">, en el que </w:t>
      </w:r>
      <w:hyperlink r:id="rId8">
        <w:r w:rsidDel="00000000" w:rsidR="00000000" w:rsidRPr="00000000">
          <w:rPr>
            <w:rFonts w:ascii="Proxima Nova" w:cs="Proxima Nova" w:eastAsia="Proxima Nova" w:hAnsi="Proxima Nova"/>
            <w:color w:val="1155cc"/>
            <w:u w:val="single"/>
            <w:rtl w:val="0"/>
          </w:rPr>
          <w:t xml:space="preserve">Mercado Ads </w:t>
        </w:r>
      </w:hyperlink>
      <w:r w:rsidDel="00000000" w:rsidR="00000000" w:rsidRPr="00000000">
        <w:rPr>
          <w:rFonts w:ascii="Proxima Nova" w:cs="Proxima Nova" w:eastAsia="Proxima Nova" w:hAnsi="Proxima Nova"/>
          <w:rtl w:val="0"/>
        </w:rPr>
        <w:t xml:space="preserve">se posiciona como líder en Latinoamérica, d</w:t>
      </w:r>
      <w:r w:rsidDel="00000000" w:rsidR="00000000" w:rsidRPr="00000000">
        <w:rPr>
          <w:rFonts w:ascii="Proxima Nova" w:cs="Proxima Nova" w:eastAsia="Proxima Nova" w:hAnsi="Proxima Nova"/>
          <w:rtl w:val="0"/>
        </w:rPr>
        <w:t xml:space="preserve">e acuerdo con el </w:t>
      </w:r>
      <w:r w:rsidDel="00000000" w:rsidR="00000000" w:rsidRPr="00000000">
        <w:rPr>
          <w:rFonts w:ascii="Proxima Nova" w:cs="Proxima Nova" w:eastAsia="Proxima Nova" w:hAnsi="Proxima Nova"/>
          <w:i w:val="1"/>
          <w:rtl w:val="0"/>
        </w:rPr>
        <w:t xml:space="preserve">Latin America Retail Media Advertising 2022</w:t>
      </w:r>
      <w:r w:rsidDel="00000000" w:rsidR="00000000" w:rsidRPr="00000000">
        <w:rPr>
          <w:rFonts w:ascii="Proxima Nova" w:cs="Proxima Nova" w:eastAsia="Proxima Nova" w:hAnsi="Proxima Nova"/>
          <w:rtl w:val="0"/>
        </w:rPr>
        <w:t xml:space="preserve">, de eMarketer. </w:t>
      </w:r>
    </w:p>
    <w:p w:rsidR="00000000" w:rsidDel="00000000" w:rsidP="00000000" w:rsidRDefault="00000000" w:rsidRPr="00000000" w14:paraId="0000000C">
      <w:pPr>
        <w:spacing w:after="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spacing w:after="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w:t>
      </w:r>
      <w:r w:rsidDel="00000000" w:rsidR="00000000" w:rsidRPr="00000000">
        <w:rPr>
          <w:rFonts w:ascii="Proxima Nova" w:cs="Proxima Nova" w:eastAsia="Proxima Nova" w:hAnsi="Proxima Nova"/>
          <w:i w:val="1"/>
          <w:rtl w:val="0"/>
        </w:rPr>
        <w:t xml:space="preserve">retailers </w:t>
      </w:r>
      <w:r w:rsidDel="00000000" w:rsidR="00000000" w:rsidRPr="00000000">
        <w:rPr>
          <w:rFonts w:ascii="Proxima Nova" w:cs="Proxima Nova" w:eastAsia="Proxima Nova" w:hAnsi="Proxima Nova"/>
          <w:rtl w:val="0"/>
        </w:rPr>
        <w:t xml:space="preserve">están impulsando cambios significativos en el ecosistema de los medios, aportando más valor para los consumidores y mejores resultados para las marcas. Lo más importante ahora es analizar cuáles son los siguientes pasos que deben darse para potenciar estos canales de comunicación y llegar a más personas con mensajes concisos”, señaló Fernando Rubio, vicepresidente de Mercado Ads. </w:t>
      </w:r>
    </w:p>
    <w:p w:rsidR="00000000" w:rsidDel="00000000" w:rsidP="00000000" w:rsidRDefault="00000000" w:rsidRPr="00000000" w14:paraId="0000000E">
      <w:pPr>
        <w:spacing w:after="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spacing w:after="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reporte </w:t>
      </w:r>
      <w:r w:rsidDel="00000000" w:rsidR="00000000" w:rsidRPr="00000000">
        <w:rPr>
          <w:rFonts w:ascii="Proxima Nova" w:cs="Proxima Nova" w:eastAsia="Proxima Nova" w:hAnsi="Proxima Nova"/>
          <w:i w:val="1"/>
          <w:rtl w:val="0"/>
        </w:rPr>
        <w:t xml:space="preserve">Latin America Retail Media Advertising 2022</w:t>
      </w:r>
      <w:r w:rsidDel="00000000" w:rsidR="00000000" w:rsidRPr="00000000">
        <w:rPr>
          <w:rFonts w:ascii="Proxima Nova" w:cs="Proxima Nova" w:eastAsia="Proxima Nova" w:hAnsi="Proxima Nova"/>
          <w:rtl w:val="0"/>
        </w:rPr>
        <w:t xml:space="preserve"> contiene valiosas conclusiones para anticiparse a las tendencias que se vienen: hacer del </w:t>
      </w:r>
      <w:r w:rsidDel="00000000" w:rsidR="00000000" w:rsidRPr="00000000">
        <w:rPr>
          <w:rFonts w:ascii="Proxima Nova" w:cs="Proxima Nova" w:eastAsia="Proxima Nova" w:hAnsi="Proxima Nova"/>
          <w:i w:val="1"/>
          <w:rtl w:val="0"/>
        </w:rPr>
        <w:t xml:space="preserve">retail media</w:t>
      </w:r>
      <w:r w:rsidDel="00000000" w:rsidR="00000000" w:rsidRPr="00000000">
        <w:rPr>
          <w:rFonts w:ascii="Proxima Nova" w:cs="Proxima Nova" w:eastAsia="Proxima Nova" w:hAnsi="Proxima Nova"/>
          <w:rtl w:val="0"/>
        </w:rPr>
        <w:t xml:space="preserve"> una parte integral del </w:t>
      </w:r>
      <w:r w:rsidDel="00000000" w:rsidR="00000000" w:rsidRPr="00000000">
        <w:rPr>
          <w:rFonts w:ascii="Proxima Nova" w:cs="Proxima Nova" w:eastAsia="Proxima Nova" w:hAnsi="Proxima Nova"/>
          <w:i w:val="1"/>
          <w:rtl w:val="0"/>
        </w:rPr>
        <w:t xml:space="preserve">mix </w:t>
      </w:r>
      <w:r w:rsidDel="00000000" w:rsidR="00000000" w:rsidRPr="00000000">
        <w:rPr>
          <w:rFonts w:ascii="Proxima Nova" w:cs="Proxima Nova" w:eastAsia="Proxima Nova" w:hAnsi="Proxima Nova"/>
          <w:rtl w:val="0"/>
        </w:rPr>
        <w:t xml:space="preserve">de inversión, diseñar una estrategia que acompañe el ciclo de compra, es decir, desde que el consumidor busca, decide, hasta cuando toma la decisión de compra; y finalmente, potenciar los datos de primera mano para ofrecer experiencias cada vez más personalizadas.</w:t>
      </w:r>
    </w:p>
    <w:p w:rsidR="00000000" w:rsidDel="00000000" w:rsidP="00000000" w:rsidRDefault="00000000" w:rsidRPr="00000000" w14:paraId="00000010">
      <w:pPr>
        <w:spacing w:after="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spacing w:after="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w:t>
      </w:r>
      <w:r w:rsidDel="00000000" w:rsidR="00000000" w:rsidRPr="00000000">
        <w:rPr>
          <w:rFonts w:ascii="Proxima Nova" w:cs="Proxima Nova" w:eastAsia="Proxima Nova" w:hAnsi="Proxima Nova"/>
          <w:i w:val="1"/>
          <w:rtl w:val="0"/>
        </w:rPr>
        <w:t xml:space="preserve">retail media</w:t>
      </w:r>
      <w:r w:rsidDel="00000000" w:rsidR="00000000" w:rsidRPr="00000000">
        <w:rPr>
          <w:rFonts w:ascii="Proxima Nova" w:cs="Proxima Nova" w:eastAsia="Proxima Nova" w:hAnsi="Proxima Nova"/>
          <w:rtl w:val="0"/>
        </w:rPr>
        <w:t xml:space="preserve"> no solo desafía el dónde, sino también cómo hacer mejor publicidad para (re)conectarse con las audiencias.</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4">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5">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rive.google.com/file/d/1T6rAS4z5yMzJExr0eeXLt2i6oP4igoIf/view?usp=sharing" TargetMode="External"/><Relationship Id="rId7" Type="http://schemas.openxmlformats.org/officeDocument/2006/relationships/hyperlink" Target="https://drive.google.com/file/d/1T6rAS4z5yMzJExr0eeXLt2i6oP4igoIf/view?usp=sharing" TargetMode="External"/><Relationship Id="rId8" Type="http://schemas.openxmlformats.org/officeDocument/2006/relationships/hyperlink" Target="https://ads.mercadolibre.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