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drawing>
          <wp:inline distB="114300" distT="114300" distL="114300" distR="114300">
            <wp:extent cx="1900238" cy="586924"/>
            <wp:effectExtent b="0" l="0" r="0" t="0"/>
            <wp:docPr descr="imgres-2.png" id="1" name="image2.png"/>
            <a:graphic>
              <a:graphicData uri="http://schemas.openxmlformats.org/drawingml/2006/picture">
                <pic:pic>
                  <pic:nvPicPr>
                    <pic:cNvPr descr="imgres-2.png" id="0" name="image2.png"/>
                    <pic:cNvPicPr preferRelativeResize="0"/>
                  </pic:nvPicPr>
                  <pic:blipFill>
                    <a:blip r:embed="rId6"/>
                    <a:srcRect b="0" l="0" r="0" t="0"/>
                    <a:stretch>
                      <a:fillRect/>
                    </a:stretch>
                  </pic:blipFill>
                  <pic:spPr>
                    <a:xfrm>
                      <a:off x="0" y="0"/>
                      <a:ext cx="1900238" cy="58692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sz w:val="24"/>
          <w:szCs w:val="24"/>
          <w:rtl w:val="0"/>
        </w:rPr>
        <w:t xml:space="preserve">Las principales causas de la ceguera de los mexicanos</w:t>
      </w:r>
      <w:r w:rsidDel="00000000" w:rsidR="00000000" w:rsidRPr="00000000">
        <w:rPr>
          <w:rtl w:val="0"/>
        </w:rPr>
      </w:r>
    </w:p>
    <w:p w:rsidR="00000000" w:rsidDel="00000000" w:rsidP="00000000" w:rsidRDefault="00000000" w:rsidRPr="00000000">
      <w:pPr>
        <w:contextualSpacing w:val="0"/>
        <w:jc w:val="both"/>
        <w:rPr>
          <w:i w:val="1"/>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i w:val="1"/>
        </w:rPr>
      </w:pPr>
      <w:r w:rsidDel="00000000" w:rsidR="00000000" w:rsidRPr="00000000">
        <w:rPr>
          <w:i w:val="1"/>
          <w:rtl w:val="0"/>
        </w:rPr>
        <w:t xml:space="preserve">Catarata, retinopatía diabética y glaucoma son las enfermedades oculares más prevalentes en México y las principales causantes de ceguera</w:t>
      </w:r>
      <w:r w:rsidDel="00000000" w:rsidR="00000000" w:rsidRPr="00000000">
        <w:rPr>
          <w:i w:val="1"/>
          <w:vertAlign w:val="superscript"/>
        </w:rPr>
        <w:footnoteReference w:customMarkFollows="0" w:id="0"/>
      </w:r>
      <w:r w:rsidDel="00000000" w:rsidR="00000000" w:rsidRPr="00000000">
        <w:rPr>
          <w:i w:val="1"/>
          <w:rtl w:val="0"/>
        </w:rPr>
        <w:t xml:space="preserve">.</w:t>
      </w:r>
    </w:p>
    <w:p w:rsidR="00000000" w:rsidDel="00000000" w:rsidP="00000000" w:rsidRDefault="00000000" w:rsidRPr="00000000">
      <w:pPr>
        <w:numPr>
          <w:ilvl w:val="0"/>
          <w:numId w:val="1"/>
        </w:numPr>
        <w:ind w:left="720" w:hanging="360"/>
        <w:contextualSpacing w:val="1"/>
        <w:jc w:val="both"/>
        <w:rPr>
          <w:i w:val="1"/>
        </w:rPr>
      </w:pPr>
      <w:r w:rsidDel="00000000" w:rsidR="00000000" w:rsidRPr="00000000">
        <w:rPr>
          <w:i w:val="1"/>
          <w:rtl w:val="0"/>
        </w:rPr>
        <w:t xml:space="preserve">En México los problemas visuales son la segunda causa de discapacidad</w:t>
      </w:r>
      <w:r w:rsidDel="00000000" w:rsidR="00000000" w:rsidRPr="00000000">
        <w:rPr>
          <w:i w:val="1"/>
          <w:vertAlign w:val="superscript"/>
        </w:rPr>
        <w:footnoteReference w:customMarkFollows="0" w:id="1"/>
      </w:r>
      <w:r w:rsidDel="00000000" w:rsidR="00000000" w:rsidRPr="00000000">
        <w:rPr>
          <w:i w:val="1"/>
          <w:rtl w:val="0"/>
        </w:rPr>
        <w:t xml:space="preserve">.</w:t>
      </w:r>
    </w:p>
    <w:p w:rsidR="00000000" w:rsidDel="00000000" w:rsidP="00000000" w:rsidRDefault="00000000" w:rsidRPr="00000000">
      <w:pPr>
        <w:contextualSpacing w:val="0"/>
        <w:jc w:val="both"/>
        <w:rPr>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Ciudad de México, a 12 de julio de 2017.-  </w:t>
      </w:r>
      <w:r w:rsidDel="00000000" w:rsidR="00000000" w:rsidRPr="00000000">
        <w:rPr>
          <w:rtl w:val="0"/>
        </w:rPr>
        <w:t xml:space="preserve">Las enfermedades oculares como la catarata, retinopatía diabética y el glaucoma, son las más prevalentes en el país y las principales causantes de ceguera entre los mexicanos.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i w:val="1"/>
          <w:color w:val="ff0000"/>
        </w:rPr>
      </w:pPr>
      <w:r w:rsidDel="00000000" w:rsidR="00000000" w:rsidRPr="00000000">
        <w:rPr>
          <w:i w:val="1"/>
          <w:rtl w:val="0"/>
        </w:rPr>
        <w:t xml:space="preserve">“La catarata es un padecimiento en el que se opaca el </w:t>
      </w:r>
      <w:r w:rsidDel="00000000" w:rsidR="00000000" w:rsidRPr="00000000">
        <w:rPr>
          <w:i w:val="1"/>
          <w:rtl w:val="0"/>
        </w:rPr>
        <w:t xml:space="preserve">cristalino del ojo, lo que impide focalizar la luz adecuadamente sobre la retina</w:t>
      </w:r>
      <w:r w:rsidDel="00000000" w:rsidR="00000000" w:rsidRPr="00000000">
        <w:rPr>
          <w:i w:val="1"/>
          <w:vertAlign w:val="superscript"/>
        </w:rPr>
        <w:footnoteReference w:customMarkFollows="0" w:id="2"/>
      </w:r>
      <w:r w:rsidDel="00000000" w:rsidR="00000000" w:rsidRPr="00000000">
        <w:rPr>
          <w:i w:val="1"/>
          <w:rtl w:val="0"/>
        </w:rPr>
        <w:t xml:space="preserve">. La retinopatía diabética es la enfermedad ocular diabética más común que ocurre cuando hay cambios en los vasos sanguíneos en la retina que pueden hincharse y dejar escapar fluidos, o inclusive taparse completamente</w:t>
      </w:r>
      <w:r w:rsidDel="00000000" w:rsidR="00000000" w:rsidRPr="00000000">
        <w:rPr>
          <w:i w:val="1"/>
          <w:vertAlign w:val="superscript"/>
        </w:rPr>
        <w:footnoteReference w:customMarkFollows="0" w:id="3"/>
      </w:r>
      <w:r w:rsidDel="00000000" w:rsidR="00000000" w:rsidRPr="00000000">
        <w:rPr>
          <w:i w:val="1"/>
          <w:rtl w:val="0"/>
        </w:rPr>
        <w:t xml:space="preserve">. El Glaucoma </w:t>
      </w:r>
      <w:r w:rsidDel="00000000" w:rsidR="00000000" w:rsidRPr="00000000">
        <w:rPr>
          <w:i w:val="1"/>
          <w:color w:val="333333"/>
          <w:sz w:val="23"/>
          <w:szCs w:val="23"/>
          <w:highlight w:val="white"/>
          <w:rtl w:val="0"/>
        </w:rPr>
        <w:t xml:space="preserve">se genera por una falla en el flujo del humor acuoso del ojo, mismo que impide regular la presión intraocular, que a lo largo del tiempo daña significativamente el nervio óptico”</w:t>
      </w:r>
      <w:r w:rsidDel="00000000" w:rsidR="00000000" w:rsidRPr="00000000">
        <w:rPr>
          <w:i w:val="1"/>
          <w:rtl w:val="0"/>
        </w:rPr>
        <w:t xml:space="preserve"> </w:t>
      </w:r>
      <w:r w:rsidDel="00000000" w:rsidR="00000000" w:rsidRPr="00000000">
        <w:rPr>
          <w:i w:val="1"/>
          <w:vertAlign w:val="superscript"/>
        </w:rPr>
        <w:footnoteReference w:customMarkFollows="0" w:id="4"/>
      </w:r>
      <w:r w:rsidDel="00000000" w:rsidR="00000000" w:rsidRPr="00000000">
        <w:rPr>
          <w:i w:val="1"/>
          <w:rtl w:val="0"/>
        </w:rPr>
        <w:t xml:space="preserve">, explicó la </w:t>
      </w:r>
      <w:r w:rsidDel="00000000" w:rsidR="00000000" w:rsidRPr="00000000">
        <w:rPr>
          <w:i w:val="1"/>
          <w:rtl w:val="0"/>
        </w:rPr>
        <w:t xml:space="preserve">Doctora María José Sánchez, médico oftalmólogo de salauno,</w:t>
      </w:r>
      <w:r w:rsidDel="00000000" w:rsidR="00000000" w:rsidRPr="00000000">
        <w:rPr>
          <w:i w:val="1"/>
          <w:color w:val="333333"/>
          <w:sz w:val="23"/>
          <w:szCs w:val="23"/>
          <w:highlight w:val="white"/>
          <w:rtl w:val="0"/>
        </w:rPr>
        <w:t xml:space="preserve"> </w:t>
      </w:r>
      <w:r w:rsidDel="00000000" w:rsidR="00000000" w:rsidRPr="00000000">
        <w:rPr>
          <w:color w:val="333333"/>
          <w:sz w:val="23"/>
          <w:szCs w:val="23"/>
          <w:highlight w:val="white"/>
          <w:rtl w:val="0"/>
        </w:rPr>
        <w:t xml:space="preserve">quien añadió que, “</w:t>
      </w:r>
      <w:r w:rsidDel="00000000" w:rsidR="00000000" w:rsidRPr="00000000">
        <w:rPr>
          <w:i w:val="1"/>
          <w:color w:val="333333"/>
          <w:sz w:val="23"/>
          <w:szCs w:val="23"/>
          <w:highlight w:val="white"/>
          <w:rtl w:val="0"/>
        </w:rPr>
        <w:t xml:space="preserve">todos estos padecimientos de ser atendidos evitarían miles de casos de ceguera innecesaria”.</w:t>
      </w:r>
      <w:r w:rsidDel="00000000" w:rsidR="00000000" w:rsidRPr="00000000">
        <w:rPr>
          <w:rtl w:val="0"/>
        </w:rPr>
      </w:r>
    </w:p>
    <w:p w:rsidR="00000000" w:rsidDel="00000000" w:rsidP="00000000" w:rsidRDefault="00000000" w:rsidRPr="00000000">
      <w:pPr>
        <w:contextualSpacing w:val="0"/>
        <w:jc w:val="both"/>
        <w:rPr>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Adicionalmente, Javier Okhuysen, Co-fundador de salauno comentó que, “e</w:t>
      </w:r>
      <w:r w:rsidDel="00000000" w:rsidR="00000000" w:rsidRPr="00000000">
        <w:rPr>
          <w:i w:val="1"/>
          <w:rtl w:val="0"/>
        </w:rPr>
        <w:t xml:space="preserve">l envejecimiento de la población y la alta prevalencia de enfermedades crónicas como la diabetes, ofrecen las condiciones propicias para el desarrollo y agudización de los problemas oculares relacionados con la pérdida de la visión”</w:t>
      </w: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Con base en los resultados obtenidos en la Encuesta Intercensal del Instituto Nacional de Estadística y Geografía (INEGI), la entidad con estructura poblacional más envejecida es la Ciudad de México, en donde además el 30% de la población vive con diabetes (13%) o prediabetes (17%)</w:t>
      </w:r>
      <w:r w:rsidDel="00000000" w:rsidR="00000000" w:rsidRPr="00000000">
        <w:rPr>
          <w:vertAlign w:val="superscript"/>
        </w:rPr>
        <w:footnoteReference w:customMarkFollows="0" w:id="5"/>
      </w:r>
      <w:r w:rsidDel="00000000" w:rsidR="00000000" w:rsidRPr="00000000">
        <w:rPr>
          <w:rtl w:val="0"/>
        </w:rPr>
        <w:t xml:space="preserve">. De ahí que salauno -el innovador sistema de clínicas de salud visual- haya decidido implementar su esquema de atención en esta Ciudad, en donde </w:t>
      </w:r>
      <w:r w:rsidDel="00000000" w:rsidR="00000000" w:rsidRPr="00000000">
        <w:rPr>
          <w:rtl w:val="0"/>
        </w:rPr>
        <w:t xml:space="preserve">existen</w:t>
      </w:r>
      <w:r w:rsidDel="00000000" w:rsidR="00000000" w:rsidRPr="00000000">
        <w:rPr>
          <w:rtl w:val="0"/>
        </w:rPr>
        <w:t xml:space="preserve"> </w:t>
      </w:r>
      <w:r w:rsidDel="00000000" w:rsidR="00000000" w:rsidRPr="00000000">
        <w:rPr>
          <w:rtl w:val="0"/>
        </w:rPr>
        <w:t xml:space="preserve">11</w:t>
      </w:r>
      <w:r w:rsidDel="00000000" w:rsidR="00000000" w:rsidRPr="00000000">
        <w:rPr>
          <w:rtl w:val="0"/>
        </w:rPr>
        <w:t xml:space="preserve"> clínicas que atienden los problemas oftálmicos más prevalentes.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México, del total de la población que vive con discapacidad, se sabe que el 27.2% </w:t>
      </w:r>
      <w:r w:rsidDel="00000000" w:rsidR="00000000" w:rsidRPr="00000000">
        <w:rPr>
          <w:rtl w:val="0"/>
        </w:rPr>
        <w:t xml:space="preserve">ha perdido la vista de manera total en uno o ambos ojos, o bien, tiene una debilidad visual importante que incluso usando lentes no puede</w:t>
      </w:r>
      <w:r w:rsidDel="00000000" w:rsidR="00000000" w:rsidRPr="00000000">
        <w:rPr>
          <w:rtl w:val="0"/>
        </w:rPr>
        <w:t xml:space="preserve"> ver bien</w:t>
      </w:r>
      <w:r w:rsidDel="00000000" w:rsidR="00000000" w:rsidRPr="00000000">
        <w:rPr>
          <w:vertAlign w:val="superscript"/>
        </w:rPr>
        <w:footnoteReference w:customMarkFollows="0" w:id="6"/>
      </w:r>
      <w:r w:rsidDel="00000000" w:rsidR="00000000" w:rsidRPr="00000000">
        <w:rPr>
          <w:rtl w:val="0"/>
        </w:rPr>
        <w:t xml:space="preserve">, lo que coloca a esta problemática como la segunda causa de discapacidad en el país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pPr>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i w:val="1"/>
          <w:rtl w:val="0"/>
        </w:rPr>
        <w:t xml:space="preserve">“En salauno estamos comprometidos con la atención oportuna y de calidad de los principales padecimientos oftalmológicos, pues sabemos que la mayoría de éstos son reversibles, lo que nos permite coadyuvar en el mantenimiento de la calidad de vida de los pacientes y la preservación de la vista” , </w:t>
      </w:r>
      <w:r w:rsidDel="00000000" w:rsidR="00000000" w:rsidRPr="00000000">
        <w:rPr>
          <w:rtl w:val="0"/>
        </w:rPr>
        <w:t xml:space="preserve">explicó </w:t>
      </w:r>
      <w:r w:rsidDel="00000000" w:rsidR="00000000" w:rsidRPr="00000000">
        <w:rPr>
          <w:rtl w:val="0"/>
        </w:rPr>
        <w:t xml:space="preserve">Carlos Orellana,Co- fundador de salauno.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ff0000"/>
          <w:highlight w:val="white"/>
        </w:rPr>
      </w:pPr>
      <w:r w:rsidDel="00000000" w:rsidR="00000000" w:rsidRPr="00000000">
        <w:rPr>
          <w:rtl w:val="0"/>
        </w:rPr>
        <w:t xml:space="preserve">La ceguera y la enfermedad ocular imponen una reducción de la calidad de vida de las personas afectadas, pues debido a la discapacidad y la lesión, se genera un tipo de costo intangible</w:t>
      </w:r>
      <w:r w:rsidDel="00000000" w:rsidR="00000000" w:rsidRPr="00000000">
        <w:rPr>
          <w:vertAlign w:val="superscript"/>
        </w:rPr>
        <w:footnoteReference w:customMarkFollows="0" w:id="8"/>
      </w:r>
      <w:r w:rsidDel="00000000" w:rsidR="00000000" w:rsidRPr="00000000">
        <w:rPr>
          <w:rtl w:val="0"/>
        </w:rPr>
        <w:t xml:space="preserve">, además de los costos reconocidos por la atención, mismos que pueden ascender anualmente hasta a </w:t>
      </w:r>
      <w:r w:rsidDel="00000000" w:rsidR="00000000" w:rsidRPr="00000000">
        <w:rPr>
          <w:color w:val="212121"/>
          <w:highlight w:val="white"/>
          <w:rtl w:val="0"/>
        </w:rPr>
        <w:t xml:space="preserve">7,688.63 millones de pesos</w:t>
      </w:r>
      <w:r w:rsidDel="00000000" w:rsidR="00000000" w:rsidRPr="00000000">
        <w:rPr>
          <w:color w:val="212121"/>
          <w:highlight w:val="white"/>
          <w:vertAlign w:val="superscript"/>
        </w:rPr>
        <w:footnoteReference w:customMarkFollows="0" w:id="9"/>
      </w:r>
      <w:r w:rsidDel="00000000" w:rsidR="00000000" w:rsidRPr="00000000">
        <w:rPr>
          <w:color w:val="212121"/>
          <w:highlight w:val="white"/>
          <w:rtl w:val="0"/>
        </w:rPr>
        <w:t xml:space="preserv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reconocimiento de los servicios de salauno por la población le ha permitido crecer su infraestructura y servicios: 11 clínicas y tratamientos para cataratas, retina, glaucoma, córnea y, plástica ocular. El siguiente gran paso inminente será la apertura de un Nuevo Centro de Salud Visual Hamburgo de 4,000m</w:t>
      </w:r>
      <w:r w:rsidDel="00000000" w:rsidR="00000000" w:rsidRPr="00000000">
        <w:rPr>
          <w:vertAlign w:val="superscript"/>
          <w:rtl w:val="0"/>
        </w:rPr>
        <w:t xml:space="preserve">2</w:t>
      </w:r>
      <w:r w:rsidDel="00000000" w:rsidR="00000000" w:rsidRPr="00000000">
        <w:rPr>
          <w:rtl w:val="0"/>
        </w:rPr>
        <w:t xml:space="preserve"> en la Colonia Juárez donde además de tener capacidad de hacer hasta 10,000 procedimientos anuales, contará con un Centro Abierto de Capacitación para profesionistas de salud visual. </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jc w:val="left"/>
        <w:rPr>
          <w:i w:val="1"/>
        </w:rPr>
      </w:pPr>
      <w:r w:rsidDel="00000000" w:rsidR="00000000" w:rsidRPr="00000000">
        <w:rPr>
          <w:rtl w:val="0"/>
        </w:rPr>
      </w:r>
    </w:p>
    <w:p w:rsidR="00000000" w:rsidDel="00000000" w:rsidP="00000000" w:rsidRDefault="00000000" w:rsidRPr="00000000">
      <w:pPr>
        <w:shd w:fill="ffffff" w:val="clear"/>
        <w:contextualSpacing w:val="0"/>
        <w:jc w:val="both"/>
        <w:rPr>
          <w:b w:val="1"/>
          <w:i w:val="1"/>
          <w:sz w:val="20"/>
          <w:szCs w:val="20"/>
        </w:rPr>
      </w:pPr>
      <w:r w:rsidDel="00000000" w:rsidR="00000000" w:rsidRPr="00000000">
        <w:rPr>
          <w:b w:val="1"/>
          <w:i w:val="1"/>
          <w:sz w:val="20"/>
          <w:szCs w:val="20"/>
          <w:rtl w:val="0"/>
        </w:rPr>
        <w:t xml:space="preserve">Acerca de Oftalmología</w:t>
      </w:r>
      <w:r w:rsidDel="00000000" w:rsidR="00000000" w:rsidRPr="00000000">
        <w:rPr>
          <w:i w:val="1"/>
          <w:sz w:val="20"/>
          <w:szCs w:val="20"/>
          <w:rtl w:val="0"/>
        </w:rPr>
        <w:t xml:space="preserve"> </w:t>
      </w:r>
      <w:r w:rsidDel="00000000" w:rsidR="00000000" w:rsidRPr="00000000">
        <w:rPr>
          <w:b w:val="1"/>
          <w:i w:val="1"/>
          <w:sz w:val="20"/>
          <w:szCs w:val="20"/>
          <w:rtl w:val="0"/>
        </w:rPr>
        <w:t xml:space="preserve">salauno</w:t>
      </w:r>
    </w:p>
    <w:p w:rsidR="00000000" w:rsidDel="00000000" w:rsidP="00000000" w:rsidRDefault="00000000" w:rsidRPr="00000000">
      <w:pPr>
        <w:shd w:fill="ffffff" w:val="clear"/>
        <w:contextualSpacing w:val="0"/>
        <w:jc w:val="both"/>
        <w:rPr>
          <w:b w:val="1"/>
          <w:i w:val="1"/>
          <w:sz w:val="20"/>
          <w:szCs w:val="20"/>
        </w:rPr>
      </w:pPr>
      <w:r w:rsidDel="00000000" w:rsidR="00000000" w:rsidRPr="00000000">
        <w:rPr>
          <w:rtl w:val="0"/>
        </w:rPr>
      </w:r>
    </w:p>
    <w:p w:rsidR="00000000" w:rsidDel="00000000" w:rsidP="00000000" w:rsidRDefault="00000000" w:rsidRPr="00000000">
      <w:pPr>
        <w:shd w:fill="ffffff" w:val="clear"/>
        <w:contextualSpacing w:val="0"/>
        <w:rPr>
          <w:i w:val="1"/>
        </w:rPr>
      </w:pPr>
      <w:r w:rsidDel="00000000" w:rsidR="00000000" w:rsidRPr="00000000">
        <w:rPr>
          <w:i w:val="1"/>
          <w:sz w:val="20"/>
          <w:szCs w:val="20"/>
          <w:rtl w:val="0"/>
        </w:rPr>
        <w:t xml:space="preserve">Oftalmología sala</w:t>
      </w:r>
      <w:r w:rsidDel="00000000" w:rsidR="00000000" w:rsidRPr="00000000">
        <w:rPr>
          <w:b w:val="1"/>
          <w:i w:val="1"/>
          <w:sz w:val="20"/>
          <w:szCs w:val="20"/>
          <w:rtl w:val="0"/>
        </w:rPr>
        <w:t xml:space="preserve">uno </w:t>
      </w:r>
      <w:r w:rsidDel="00000000" w:rsidR="00000000" w:rsidRPr="00000000">
        <w:rPr>
          <w:i w:val="1"/>
          <w:sz w:val="20"/>
          <w:szCs w:val="20"/>
          <w:rtl w:val="0"/>
        </w:rPr>
        <w:t xml:space="preserve">fue creada en 2011, su misión es </w:t>
      </w:r>
      <w:r w:rsidDel="00000000" w:rsidR="00000000" w:rsidRPr="00000000">
        <w:rPr>
          <w:b w:val="1"/>
          <w:i w:val="1"/>
          <w:sz w:val="20"/>
          <w:szCs w:val="20"/>
          <w:rtl w:val="0"/>
        </w:rPr>
        <w:t xml:space="preserve">"eliminar la ceguera innecesaria en México".</w:t>
      </w:r>
      <w:r w:rsidDel="00000000" w:rsidR="00000000" w:rsidRPr="00000000">
        <w:rPr>
          <w:i w:val="1"/>
          <w:sz w:val="20"/>
          <w:szCs w:val="20"/>
          <w:rtl w:val="0"/>
        </w:rPr>
        <w:t xml:space="preserve"> Es una empresa comprometida con ofrecer tratamientos de salud visual de calidad y accesibles para toda la población, a través de un modelo innovador y de excelencia. En seis años, sala</w:t>
      </w:r>
      <w:r w:rsidDel="00000000" w:rsidR="00000000" w:rsidRPr="00000000">
        <w:rPr>
          <w:b w:val="1"/>
          <w:i w:val="1"/>
          <w:sz w:val="20"/>
          <w:szCs w:val="20"/>
          <w:rtl w:val="0"/>
        </w:rPr>
        <w:t xml:space="preserve">uno </w:t>
      </w:r>
      <w:r w:rsidDel="00000000" w:rsidR="00000000" w:rsidRPr="00000000">
        <w:rPr>
          <w:i w:val="1"/>
          <w:sz w:val="20"/>
          <w:szCs w:val="20"/>
          <w:rtl w:val="0"/>
        </w:rPr>
        <w:t xml:space="preserve">ha atendido a más de </w:t>
      </w:r>
      <w:r w:rsidDel="00000000" w:rsidR="00000000" w:rsidRPr="00000000">
        <w:rPr>
          <w:i w:val="1"/>
          <w:sz w:val="20"/>
          <w:szCs w:val="20"/>
          <w:rtl w:val="0"/>
        </w:rPr>
        <w:t xml:space="preserve">250,000</w:t>
      </w:r>
      <w:r w:rsidDel="00000000" w:rsidR="00000000" w:rsidRPr="00000000">
        <w:rPr>
          <w:i w:val="1"/>
          <w:sz w:val="20"/>
          <w:szCs w:val="20"/>
          <w:rtl w:val="0"/>
        </w:rPr>
        <w:t xml:space="preserve"> pacientes en </w:t>
      </w:r>
      <w:r w:rsidDel="00000000" w:rsidR="00000000" w:rsidRPr="00000000">
        <w:rPr>
          <w:i w:val="1"/>
          <w:sz w:val="20"/>
          <w:szCs w:val="20"/>
          <w:rtl w:val="0"/>
        </w:rPr>
        <w:t xml:space="preserve">11</w:t>
      </w:r>
      <w:r w:rsidDel="00000000" w:rsidR="00000000" w:rsidRPr="00000000">
        <w:rPr>
          <w:i w:val="1"/>
          <w:sz w:val="20"/>
          <w:szCs w:val="20"/>
          <w:rtl w:val="0"/>
        </w:rPr>
        <w:t xml:space="preserve"> clínicas y ha realizado más de </w:t>
      </w:r>
      <w:r w:rsidDel="00000000" w:rsidR="00000000" w:rsidRPr="00000000">
        <w:rPr>
          <w:i w:val="1"/>
          <w:sz w:val="20"/>
          <w:szCs w:val="20"/>
          <w:rtl w:val="0"/>
        </w:rPr>
        <w:t xml:space="preserve">24,000 </w:t>
      </w:r>
      <w:r w:rsidDel="00000000" w:rsidR="00000000" w:rsidRPr="00000000">
        <w:rPr>
          <w:i w:val="1"/>
          <w:sz w:val="20"/>
          <w:szCs w:val="20"/>
          <w:rtl w:val="0"/>
        </w:rPr>
        <w:t xml:space="preserve">cirugías que devolvieron la vista. sala</w:t>
      </w:r>
      <w:r w:rsidDel="00000000" w:rsidR="00000000" w:rsidRPr="00000000">
        <w:rPr>
          <w:b w:val="1"/>
          <w:i w:val="1"/>
          <w:sz w:val="20"/>
          <w:szCs w:val="20"/>
          <w:rtl w:val="0"/>
        </w:rPr>
        <w:t xml:space="preserve">uno</w:t>
      </w:r>
      <w:r w:rsidDel="00000000" w:rsidR="00000000" w:rsidRPr="00000000">
        <w:rPr>
          <w:i w:val="1"/>
          <w:sz w:val="20"/>
          <w:szCs w:val="20"/>
          <w:rtl w:val="0"/>
        </w:rPr>
        <w:t xml:space="preserve"> es acreedor del Premio Nacional del Emprendedor y Emprendedor Social del año 2015 por el Foro Económico Mundial.</w:t>
      </w: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INEGI. Censo de Población y Vivienda 2010, </w:t>
      </w:r>
      <w:r w:rsidDel="00000000" w:rsidR="00000000" w:rsidRPr="00000000">
        <w:rPr>
          <w:sz w:val="16"/>
          <w:szCs w:val="16"/>
          <w:rtl w:val="0"/>
        </w:rPr>
        <w:t xml:space="preserve">Cuestionario ampliado. </w:t>
      </w:r>
      <w:r w:rsidDel="00000000" w:rsidR="00000000" w:rsidRPr="00000000">
        <w:rPr>
          <w:sz w:val="16"/>
          <w:szCs w:val="16"/>
          <w:rtl w:val="0"/>
        </w:rPr>
        <w:t xml:space="preserve">Estados Unidos Mexicanos/Población con discapacidad. </w:t>
      </w:r>
      <w:r w:rsidDel="00000000" w:rsidR="00000000" w:rsidRPr="00000000">
        <w:rPr>
          <w:sz w:val="16"/>
          <w:szCs w:val="16"/>
          <w:rtl w:val="0"/>
        </w:rPr>
        <w:t xml:space="preserve">http://cuentame.inegi.org.mx/poblacion/discapacidad.aspx?tema=P</w:t>
      </w:r>
      <w:r w:rsidDel="00000000" w:rsidR="00000000" w:rsidRPr="00000000">
        <w:rPr>
          <w:rtl w:val="0"/>
        </w:rPr>
      </w:r>
    </w:p>
  </w:footnote>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Deloitte (2013). The economic cost and burden of eye diseases and preventable blindness in Mexico https://www2.deloitte.com/content/dam/Deloitte/au/Documents/Economics/deloitte-au-economics-cost-eye-diseases-280314.pdf</w:t>
      </w:r>
      <w:r w:rsidDel="00000000" w:rsidR="00000000" w:rsidRPr="00000000">
        <w:rPr>
          <w:rtl w:val="0"/>
        </w:rPr>
      </w:r>
    </w:p>
  </w:footnote>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SEDESA (2016) </w:t>
      </w:r>
      <w:r w:rsidDel="00000000" w:rsidR="00000000" w:rsidRPr="00000000">
        <w:rPr>
          <w:sz w:val="16"/>
          <w:szCs w:val="16"/>
          <w:rtl w:val="0"/>
        </w:rPr>
        <w:t xml:space="preserve">Inaugura Jefe de Gobierno centro especializado en el manejo integral de la diabetes en Iztapalapa. </w:t>
      </w:r>
      <w:r w:rsidDel="00000000" w:rsidR="00000000" w:rsidRPr="00000000">
        <w:rPr>
          <w:sz w:val="16"/>
          <w:szCs w:val="16"/>
          <w:rtl w:val="0"/>
        </w:rPr>
        <w:t xml:space="preserve">http://www.cdmx.gob.mx/comunicacion/nota/inaugura-jefe-de-gobierno-centro-especializado-en-el-manejo-integral-de-la-diabetes-en-iztapalapa</w:t>
      </w:r>
      <w:r w:rsidDel="00000000" w:rsidR="00000000" w:rsidRPr="00000000">
        <w:rPr>
          <w:rtl w:val="0"/>
        </w:rPr>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SEDESA (2016).</w:t>
      </w:r>
      <w:r w:rsidDel="00000000" w:rsidR="00000000" w:rsidRPr="00000000">
        <w:rPr>
          <w:sz w:val="16"/>
          <w:szCs w:val="16"/>
          <w:rtl w:val="0"/>
        </w:rPr>
        <w:t xml:space="preserve">Inaugura Jefe de Gobierno centro especializado en el manejo integral de la diabetes en Iztapalapa</w:t>
      </w:r>
      <w:r w:rsidDel="00000000" w:rsidR="00000000" w:rsidRPr="00000000">
        <w:rPr>
          <w:sz w:val="16"/>
          <w:szCs w:val="16"/>
          <w:rtl w:val="0"/>
        </w:rPr>
        <w:t xml:space="preserve"> http://www.cdmx.gob.mx/comunicacion/nota/inaugura-jefe-de-gobierno-centro-especializado-en-el-manejo-integral-de-la-diabetes-en-iztapalapa</w:t>
      </w:r>
      <w:r w:rsidDel="00000000" w:rsidR="00000000" w:rsidRPr="00000000">
        <w:rPr>
          <w:rtl w:val="0"/>
        </w:rPr>
      </w:r>
    </w:p>
  </w:footnote>
  <w:footnote w:id="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INEGI. Censo de Población y Vivienda 2010, Cuestionario ampliado. Estados Unidos Mexicanos/Población con discapacidad. http://cuentame.inegi.org.mx/poblacion/discapacidad.aspx?tema=P</w:t>
      </w:r>
      <w:r w:rsidDel="00000000" w:rsidR="00000000" w:rsidRPr="00000000">
        <w:rPr>
          <w:rtl w:val="0"/>
        </w:rPr>
      </w:r>
    </w:p>
  </w:footnote>
  <w:footnote w:id="8">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Deloitte (2013). The economic cost and burden of eye diseases and preventable blindness in Mexico https://www2.deloitte.com/content/dam/Deloitte/au/Documents/Economics/deloitte-au-economics-cost-eye-diseases-280314.pdf</w:t>
      </w:r>
      <w:r w:rsidDel="00000000" w:rsidR="00000000" w:rsidRPr="00000000">
        <w:rPr>
          <w:rtl w:val="0"/>
        </w:rPr>
      </w:r>
    </w:p>
  </w:footnote>
  <w:footnote w:id="9">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Deloitte (2013). The economic cost and burden of eye diseases and preventable blindness in Mexico https://www2.deloitte.com/content/dam/Deloitte/au/Documents/Economics/deloitte-au-economics-cost-eye-diseases-280314.pdf</w:t>
      </w: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footnote>
  <w:footnote w:id="2">
    <w:p w:rsidR="00000000" w:rsidDel="00000000" w:rsidP="00000000" w:rsidRDefault="00000000" w:rsidRPr="00000000">
      <w:pPr>
        <w:spacing w:line="240" w:lineRule="auto"/>
        <w:contextualSpacing w:val="0"/>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Jiménez, Elena. ¿Qué son las cataratas? American Study of Ophthalmology. https://www.aao.org/salud-ocular/enfermedades/que-son-las-cataratas</w:t>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Boyd, Kierstan. ¿Qué es la retinopatía diabética? American Study of Ophthalmology. https://www.aao.org/salud-ocular/enfermedades/retinopatia-diabetica</w:t>
      </w:r>
      <w:r w:rsidDel="00000000" w:rsidR="00000000" w:rsidRPr="00000000">
        <w:rPr>
          <w:rtl w:val="0"/>
        </w:rPr>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¿Qué es el glaucoma? American Study of Ophthalmology https://www.aao.org/salud-ocular/enfermedades/que-es-la-glaucoma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