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2882" w:rsidRDefault="00F16B41" w:rsidP="00B44FE6">
      <w:pPr>
        <w:pStyle w:val="BodyAudi"/>
        <w:ind w:right="-46"/>
        <w:jc w:val="right"/>
      </w:pPr>
      <w:r>
        <w:t>14</w:t>
      </w:r>
      <w:r w:rsidR="00B44FE6">
        <w:t xml:space="preserve"> </w:t>
      </w:r>
      <w:r>
        <w:t>januari</w:t>
      </w:r>
      <w:r w:rsidR="00B44FE6">
        <w:t xml:space="preserve"> 20</w:t>
      </w:r>
      <w:r w:rsidR="00395773">
        <w:t>2</w:t>
      </w:r>
      <w:r>
        <w:t>1</w:t>
      </w:r>
    </w:p>
    <w:p w:rsidR="00B44FE6" w:rsidRDefault="00B44FE6" w:rsidP="00B44FE6">
      <w:pPr>
        <w:pStyle w:val="BodyAudi"/>
        <w:ind w:right="-46"/>
        <w:jc w:val="right"/>
      </w:pPr>
      <w:r>
        <w:t>A</w:t>
      </w:r>
      <w:r w:rsidR="00395773">
        <w:t>2</w:t>
      </w:r>
      <w:r w:rsidR="00F16B41">
        <w:t>1</w:t>
      </w:r>
      <w:r>
        <w:t>/</w:t>
      </w:r>
      <w:r w:rsidR="00F16B41">
        <w:t>02</w:t>
      </w:r>
      <w:r w:rsidR="00AF6A2A">
        <w:t>N</w:t>
      </w:r>
    </w:p>
    <w:p w:rsidR="00B44FE6" w:rsidRDefault="00B44FE6" w:rsidP="00B44FE6">
      <w:pPr>
        <w:pStyle w:val="BodyAudi"/>
      </w:pPr>
    </w:p>
    <w:p w:rsidR="001045B8" w:rsidRPr="001E2F8F" w:rsidRDefault="001045B8" w:rsidP="001E2F8F">
      <w:pPr>
        <w:ind w:right="1655"/>
        <w:rPr>
          <w:rFonts w:ascii="Arial" w:hAnsi="Arial" w:cs="Arial"/>
          <w:b/>
          <w:bCs/>
          <w:sz w:val="28"/>
          <w:szCs w:val="28"/>
        </w:rPr>
      </w:pPr>
      <w:r w:rsidRPr="001E2F8F">
        <w:rPr>
          <w:rFonts w:ascii="Arial" w:hAnsi="Arial" w:cs="Arial"/>
          <w:b/>
          <w:bCs/>
          <w:sz w:val="28"/>
          <w:szCs w:val="28"/>
        </w:rPr>
        <w:t>Audi sluit 2020 af met het meest succesvolle kwartaal in de geschiedenis van het bedrijf</w:t>
      </w:r>
    </w:p>
    <w:p w:rsidR="001045B8" w:rsidRPr="008A0500" w:rsidRDefault="001045B8" w:rsidP="008A0500"/>
    <w:p w:rsidR="001045B8" w:rsidRPr="001E2F8F" w:rsidRDefault="001045B8" w:rsidP="001E2F8F">
      <w:pPr>
        <w:pStyle w:val="Paragraphedeliste"/>
        <w:numPr>
          <w:ilvl w:val="0"/>
          <w:numId w:val="3"/>
        </w:numPr>
        <w:ind w:left="425" w:right="1656" w:hanging="425"/>
        <w:contextualSpacing w:val="0"/>
        <w:rPr>
          <w:rFonts w:ascii="Arial" w:hAnsi="Arial" w:cs="Arial"/>
          <w:b/>
          <w:bCs/>
          <w:sz w:val="24"/>
          <w:szCs w:val="24"/>
        </w:rPr>
      </w:pPr>
      <w:r w:rsidRPr="001E2F8F">
        <w:rPr>
          <w:rFonts w:ascii="Arial" w:hAnsi="Arial" w:cs="Arial"/>
          <w:b/>
          <w:bCs/>
          <w:sz w:val="24"/>
          <w:szCs w:val="24"/>
        </w:rPr>
        <w:t>Meer dan 500.000 wagens geleverd tussen oktober en december</w:t>
      </w:r>
    </w:p>
    <w:p w:rsidR="001045B8" w:rsidRPr="001E2F8F" w:rsidRDefault="001045B8" w:rsidP="001E2F8F">
      <w:pPr>
        <w:pStyle w:val="Paragraphedeliste"/>
        <w:numPr>
          <w:ilvl w:val="0"/>
          <w:numId w:val="3"/>
        </w:numPr>
        <w:ind w:left="425" w:right="1656" w:hanging="425"/>
        <w:contextualSpacing w:val="0"/>
        <w:rPr>
          <w:rFonts w:ascii="Arial" w:hAnsi="Arial" w:cs="Arial"/>
          <w:b/>
          <w:bCs/>
          <w:sz w:val="24"/>
          <w:szCs w:val="24"/>
        </w:rPr>
      </w:pPr>
      <w:r w:rsidRPr="001E2F8F">
        <w:rPr>
          <w:rFonts w:ascii="Arial" w:hAnsi="Arial" w:cs="Arial"/>
          <w:b/>
          <w:bCs/>
          <w:sz w:val="24"/>
          <w:szCs w:val="24"/>
        </w:rPr>
        <w:t>Wereldwijd een totaal van 1,69 miljoen geleverde wagens in een uitdagend jaar</w:t>
      </w:r>
    </w:p>
    <w:p w:rsidR="001045B8" w:rsidRPr="001E2F8F" w:rsidRDefault="001045B8" w:rsidP="001E2F8F">
      <w:pPr>
        <w:pStyle w:val="Paragraphedeliste"/>
        <w:numPr>
          <w:ilvl w:val="0"/>
          <w:numId w:val="3"/>
        </w:numPr>
        <w:ind w:left="425" w:right="1656" w:hanging="425"/>
        <w:contextualSpacing w:val="0"/>
        <w:rPr>
          <w:rFonts w:ascii="Arial" w:hAnsi="Arial" w:cs="Arial"/>
          <w:b/>
          <w:bCs/>
          <w:sz w:val="24"/>
          <w:szCs w:val="24"/>
        </w:rPr>
      </w:pPr>
      <w:r w:rsidRPr="001E2F8F">
        <w:rPr>
          <w:rFonts w:ascii="Arial" w:hAnsi="Arial" w:cs="Arial"/>
          <w:b/>
          <w:bCs/>
          <w:sz w:val="24"/>
          <w:szCs w:val="24"/>
        </w:rPr>
        <w:t>Nieuwe beste cijfers in China: 727.358 wagens (+5,4%)</w:t>
      </w:r>
    </w:p>
    <w:p w:rsidR="001045B8" w:rsidRPr="001E2F8F" w:rsidRDefault="001045B8" w:rsidP="001E2F8F">
      <w:pPr>
        <w:spacing w:afterLines="160" w:after="384"/>
        <w:ind w:right="1656"/>
        <w:rPr>
          <w:rFonts w:ascii="Arial" w:hAnsi="Arial" w:cs="Arial"/>
          <w:sz w:val="20"/>
          <w:szCs w:val="20"/>
        </w:rPr>
      </w:pPr>
    </w:p>
    <w:p w:rsidR="001045B8" w:rsidRPr="001E2F8F" w:rsidRDefault="001045B8" w:rsidP="001E2F8F">
      <w:pPr>
        <w:spacing w:afterLines="160" w:after="384"/>
        <w:ind w:right="1656"/>
        <w:rPr>
          <w:rFonts w:ascii="Arial" w:hAnsi="Arial" w:cs="Arial"/>
          <w:sz w:val="20"/>
          <w:szCs w:val="20"/>
        </w:rPr>
      </w:pPr>
      <w:r w:rsidRPr="001E2F8F">
        <w:rPr>
          <w:rFonts w:ascii="Arial" w:hAnsi="Arial" w:cs="Arial"/>
          <w:sz w:val="20"/>
          <w:szCs w:val="20"/>
        </w:rPr>
        <w:t>AUDI AG heeft 2020 afgesloten met het meest succesvolle kwartaal in de geschiedenis van het bedrijf wat betreft geleverde wagens: tussen oktober en december voorzag het zijn klanten van 505.583 wagens, of voor het eerst meer dan een half miljoen wagens in één kwartaal ooit. In een uitdagend jaar dat wereldwijd gekenmerkt werd door beperkingen wegens de coronapandemie, leverde Audi een totaal van 1.692.773 exemplaren, een daling van 8,3 procent in vergelijking met het voorgaande jaar. In China echter haalde het bedrijf toch nieuwe beste cijfers met een totaal van 727.358 geleverde voertuigen (+5,4 procent).</w:t>
      </w:r>
    </w:p>
    <w:p w:rsidR="001045B8" w:rsidRPr="001E2F8F" w:rsidRDefault="001045B8" w:rsidP="001E2F8F">
      <w:pPr>
        <w:spacing w:afterLines="160" w:after="384"/>
        <w:ind w:right="1656"/>
        <w:rPr>
          <w:rFonts w:ascii="Arial" w:hAnsi="Arial" w:cs="Arial"/>
          <w:sz w:val="20"/>
          <w:szCs w:val="20"/>
        </w:rPr>
      </w:pPr>
      <w:r w:rsidRPr="001E2F8F">
        <w:rPr>
          <w:rFonts w:ascii="Arial" w:hAnsi="Arial" w:cs="Arial"/>
          <w:sz w:val="20"/>
          <w:szCs w:val="20"/>
        </w:rPr>
        <w:t>De verdere digitalisering van de verkoop en de ervaring die is opgedaan tijdens de eerste golf van het coronavirus in de lente, hebben er sterk toe bijgedragen dat Audi 2020 afsloot met het meest succesvolle kwartaal in de geschiedenis van het bedrijf.</w:t>
      </w:r>
    </w:p>
    <w:p w:rsidR="001045B8" w:rsidRPr="001E2F8F" w:rsidRDefault="001045B8" w:rsidP="001E2F8F">
      <w:pPr>
        <w:spacing w:afterLines="160" w:after="384"/>
        <w:ind w:right="1656"/>
        <w:rPr>
          <w:rFonts w:ascii="Arial" w:hAnsi="Arial" w:cs="Arial"/>
          <w:sz w:val="20"/>
          <w:szCs w:val="20"/>
        </w:rPr>
      </w:pPr>
      <w:r w:rsidRPr="001E2F8F">
        <w:rPr>
          <w:rFonts w:ascii="Arial" w:hAnsi="Arial" w:cs="Arial"/>
          <w:sz w:val="20"/>
          <w:szCs w:val="20"/>
        </w:rPr>
        <w:t xml:space="preserve">AUDI AG zet zijn transformatie naar provider van duurzame premiummobiliteit verder en is met enige afstand de grootste constructeur van elektrische voertuigen onder de drie Duitse </w:t>
      </w:r>
      <w:proofErr w:type="spellStart"/>
      <w:r w:rsidRPr="001E2F8F">
        <w:rPr>
          <w:rFonts w:ascii="Arial" w:hAnsi="Arial" w:cs="Arial"/>
          <w:sz w:val="20"/>
          <w:szCs w:val="20"/>
        </w:rPr>
        <w:t>premiumbrands</w:t>
      </w:r>
      <w:proofErr w:type="spellEnd"/>
      <w:r w:rsidRPr="001E2F8F">
        <w:rPr>
          <w:rFonts w:ascii="Arial" w:hAnsi="Arial" w:cs="Arial"/>
          <w:sz w:val="20"/>
          <w:szCs w:val="20"/>
        </w:rPr>
        <w:t>. Het succesvolle Audi e-</w:t>
      </w:r>
      <w:proofErr w:type="spellStart"/>
      <w:r w:rsidRPr="001E2F8F">
        <w:rPr>
          <w:rFonts w:ascii="Arial" w:hAnsi="Arial" w:cs="Arial"/>
          <w:sz w:val="20"/>
          <w:szCs w:val="20"/>
        </w:rPr>
        <w:t>tron</w:t>
      </w:r>
      <w:proofErr w:type="spellEnd"/>
      <w:r w:rsidRPr="001E2F8F">
        <w:rPr>
          <w:rFonts w:ascii="Arial" w:hAnsi="Arial" w:cs="Arial"/>
          <w:sz w:val="20"/>
          <w:szCs w:val="20"/>
        </w:rPr>
        <w:t>-model noteerde vorig jaar een significante stijging van de vraag met een groei van 79,5 procent (47.324 wagens) vergeleken met het voorgaande jaar. De Audi e-</w:t>
      </w:r>
      <w:proofErr w:type="spellStart"/>
      <w:r w:rsidRPr="001E2F8F">
        <w:rPr>
          <w:rFonts w:ascii="Arial" w:hAnsi="Arial" w:cs="Arial"/>
          <w:sz w:val="20"/>
          <w:szCs w:val="20"/>
        </w:rPr>
        <w:t>tron</w:t>
      </w:r>
      <w:proofErr w:type="spellEnd"/>
      <w:r w:rsidRPr="001E2F8F">
        <w:rPr>
          <w:rFonts w:ascii="Arial" w:hAnsi="Arial" w:cs="Arial"/>
          <w:sz w:val="20"/>
          <w:szCs w:val="20"/>
        </w:rPr>
        <w:t xml:space="preserve"> is de wereldwijde bestseller onder de elektrische voertuigen, gebouwd door Duitse premiumconstructeurs. In Noorwegen is hij zelfs de best verkopende wagen van alle modellen. In België is de Audi e-</w:t>
      </w:r>
      <w:proofErr w:type="spellStart"/>
      <w:r w:rsidRPr="001E2F8F">
        <w:rPr>
          <w:rFonts w:ascii="Arial" w:hAnsi="Arial" w:cs="Arial"/>
          <w:sz w:val="20"/>
          <w:szCs w:val="20"/>
        </w:rPr>
        <w:t>tron</w:t>
      </w:r>
      <w:proofErr w:type="spellEnd"/>
      <w:r w:rsidRPr="001E2F8F">
        <w:rPr>
          <w:rFonts w:ascii="Arial" w:hAnsi="Arial" w:cs="Arial"/>
          <w:sz w:val="20"/>
          <w:szCs w:val="20"/>
        </w:rPr>
        <w:t xml:space="preserve"> met 1.253 eenheden het tweede best verkochte elektrische model.</w:t>
      </w:r>
    </w:p>
    <w:p w:rsidR="001E2F8F" w:rsidRDefault="001E2F8F" w:rsidP="001E2F8F">
      <w:pPr>
        <w:spacing w:afterLines="160" w:after="384"/>
        <w:ind w:right="1656"/>
        <w:rPr>
          <w:rFonts w:ascii="Arial" w:hAnsi="Arial" w:cs="Arial"/>
          <w:sz w:val="20"/>
          <w:szCs w:val="20"/>
        </w:rPr>
      </w:pPr>
    </w:p>
    <w:p w:rsidR="001045B8" w:rsidRPr="001E2F8F" w:rsidRDefault="001045B8" w:rsidP="001E2F8F">
      <w:pPr>
        <w:spacing w:afterLines="160" w:after="384"/>
        <w:ind w:right="1656"/>
        <w:rPr>
          <w:rFonts w:ascii="Arial" w:hAnsi="Arial" w:cs="Arial"/>
          <w:sz w:val="20"/>
          <w:szCs w:val="20"/>
        </w:rPr>
      </w:pPr>
      <w:r w:rsidRPr="001E2F8F">
        <w:rPr>
          <w:rFonts w:ascii="Arial" w:hAnsi="Arial" w:cs="Arial"/>
          <w:sz w:val="20"/>
          <w:szCs w:val="20"/>
        </w:rPr>
        <w:lastRenderedPageBreak/>
        <w:t>Wat de andere modellen van het gamma betreft, gingen de leveringen van Audi omhoog in het bijzonder voor de Audi Q3 (+18,1% vergeleken met het voorgaande jaar) en de Audi A6 (+11,8%). De modellen met krachtige motoren van Audi Sport waren ook extreem in trek bij de klanten: de levering van meer dan 29.300 in 2020 zet een nieuwe beste en duidelijke stijging neer van 16,1 procent vergeleken met het voorgaande jaar.</w:t>
      </w:r>
    </w:p>
    <w:p w:rsidR="001045B8" w:rsidRPr="001E2F8F" w:rsidRDefault="001045B8" w:rsidP="001E2F8F">
      <w:pPr>
        <w:spacing w:afterLines="160" w:after="384"/>
        <w:ind w:right="1656"/>
        <w:rPr>
          <w:rFonts w:ascii="Arial" w:hAnsi="Arial" w:cs="Arial"/>
          <w:sz w:val="20"/>
          <w:szCs w:val="20"/>
        </w:rPr>
      </w:pPr>
      <w:r w:rsidRPr="001E2F8F">
        <w:rPr>
          <w:rFonts w:ascii="Arial" w:hAnsi="Arial" w:cs="Arial"/>
          <w:sz w:val="20"/>
          <w:szCs w:val="20"/>
        </w:rPr>
        <w:t>In China leverde Audi aan zijn klanten vorig jaar meer wagens dan ooit tevoren. Een totaal van 727.358 auto’s staat voor een stijging van 5,4 procent. In de grootste markt voor de Vier Ringen hebben het snelle economische herstel en de hoge vraag naar individuele mobiliteit tot nieuwe recordcijfers geleid. De ontwikkeling was bijzonder positief voor de Audi Q2 (+33,8%), de Audi A6 (+41,1%), de Audi A7 (+142,1%) en de Audi A8 (+13,8%).</w:t>
      </w:r>
    </w:p>
    <w:p w:rsidR="001045B8" w:rsidRPr="001E2F8F" w:rsidRDefault="001045B8" w:rsidP="001E2F8F">
      <w:pPr>
        <w:spacing w:afterLines="160" w:after="384"/>
        <w:ind w:right="1656"/>
        <w:rPr>
          <w:rFonts w:ascii="Arial" w:hAnsi="Arial" w:cs="Arial"/>
          <w:sz w:val="20"/>
          <w:szCs w:val="20"/>
        </w:rPr>
      </w:pPr>
      <w:r w:rsidRPr="001E2F8F">
        <w:rPr>
          <w:rFonts w:ascii="Arial" w:hAnsi="Arial" w:cs="Arial"/>
          <w:sz w:val="20"/>
          <w:szCs w:val="20"/>
        </w:rPr>
        <w:t>In de VS betekenden de 186.620 leveringen van nieuwe wagens een afname van 16,7 procent tegenover het voorgaande jaar. Een sterke consumentenvraag en de opwaartse trend naar het einde van het jaar toe wijzen erop dat de vooruitzichten voor 2021 toch gunstig zijn. Een stijgende vraag wordt vooral in het SUV-segment gezien: het SUV-aandeel bedroeg in 2020 66 procent. Belangrijke impulsen kwamen in het jaar over het geheel genomen van de Audi Q3 (+83,9%) en de Audi e-</w:t>
      </w:r>
      <w:proofErr w:type="spellStart"/>
      <w:r w:rsidRPr="001E2F8F">
        <w:rPr>
          <w:rFonts w:ascii="Arial" w:hAnsi="Arial" w:cs="Arial"/>
          <w:sz w:val="20"/>
          <w:szCs w:val="20"/>
        </w:rPr>
        <w:t>tron</w:t>
      </w:r>
      <w:proofErr w:type="spellEnd"/>
      <w:r w:rsidRPr="001E2F8F">
        <w:rPr>
          <w:rFonts w:ascii="Arial" w:hAnsi="Arial" w:cs="Arial"/>
          <w:sz w:val="20"/>
          <w:szCs w:val="20"/>
        </w:rPr>
        <w:t xml:space="preserve"> (+10%). In het laatste kwartaal waren de verkoopcijfers van de Audi Q5 (+15%) en de Audi Q8 (+11%) bijzonder sterk.</w:t>
      </w:r>
    </w:p>
    <w:p w:rsidR="001045B8" w:rsidRPr="001E2F8F" w:rsidRDefault="001045B8" w:rsidP="001E2F8F">
      <w:pPr>
        <w:spacing w:afterLines="160" w:after="384"/>
        <w:ind w:right="1656"/>
        <w:rPr>
          <w:rFonts w:ascii="Arial" w:hAnsi="Arial" w:cs="Arial"/>
          <w:sz w:val="20"/>
          <w:szCs w:val="20"/>
        </w:rPr>
      </w:pPr>
      <w:r w:rsidRPr="001E2F8F">
        <w:rPr>
          <w:rFonts w:ascii="Arial" w:hAnsi="Arial" w:cs="Arial"/>
          <w:sz w:val="20"/>
          <w:szCs w:val="20"/>
        </w:rPr>
        <w:t>In Europa liepen de leveringen van wagens in 2020 terug met 19,5 procent tot 619.723 eenheden. Toch was de trend positief voor de Audi e-</w:t>
      </w:r>
      <w:proofErr w:type="spellStart"/>
      <w:r w:rsidRPr="001E2F8F">
        <w:rPr>
          <w:rFonts w:ascii="Arial" w:hAnsi="Arial" w:cs="Arial"/>
          <w:sz w:val="20"/>
          <w:szCs w:val="20"/>
        </w:rPr>
        <w:t>tron</w:t>
      </w:r>
      <w:proofErr w:type="spellEnd"/>
      <w:r w:rsidRPr="001E2F8F">
        <w:rPr>
          <w:rFonts w:ascii="Arial" w:hAnsi="Arial" w:cs="Arial"/>
          <w:sz w:val="20"/>
          <w:szCs w:val="20"/>
        </w:rPr>
        <w:t xml:space="preserve"> (+80,6%) en de Audi Q7 (+6,3%). In het vierde kwartaal was een opwaartse trend al opnieuw zichtbaar, ondanks toenemende beperkingen die de coronapandemie met zich meebracht. De levering van 178.891 wagens tussen oktober en december betekende een stijging van 2,5 procent vergeleken met het voorgaande jaar.</w:t>
      </w:r>
    </w:p>
    <w:p w:rsidR="001045B8" w:rsidRPr="001E2F8F" w:rsidRDefault="001045B8" w:rsidP="001E2F8F">
      <w:pPr>
        <w:spacing w:afterLines="160" w:after="384"/>
        <w:ind w:right="1656"/>
        <w:rPr>
          <w:rFonts w:ascii="Arial" w:hAnsi="Arial" w:cs="Arial"/>
          <w:sz w:val="20"/>
          <w:szCs w:val="20"/>
        </w:rPr>
      </w:pPr>
      <w:r w:rsidRPr="001E2F8F">
        <w:rPr>
          <w:rFonts w:ascii="Arial" w:hAnsi="Arial" w:cs="Arial"/>
          <w:sz w:val="20"/>
          <w:szCs w:val="20"/>
        </w:rPr>
        <w:t>In België werd het jaar afgesloten met 28.053 inschrijvingen (-10,0% tegenover 2019) bij een totale markt die 21,5% daalt. Het populairste Audi-model in België is de Audi Q3 met 5.495 inschrijvingen, gevolgd door de Audi A3 (4.523) en de Audi Q2 (3.399). Het SUV-segment blijft bijzonder populair met een aandeel van 46,5% in de totale Audi-verkopen. De sterkste stijgers zijn de Q5 met in totaal 2.370 inschrijvingen (+77,1%) en de Audi A7 met 429 inschrijvingen (+34,9%). Deze stijgingen zijn vooral te wijten aan de introductie van de fiscaalvriendelijke plug-in hybrideversies. De Audi e-</w:t>
      </w:r>
      <w:proofErr w:type="spellStart"/>
      <w:r w:rsidRPr="001E2F8F">
        <w:rPr>
          <w:rFonts w:ascii="Arial" w:hAnsi="Arial" w:cs="Arial"/>
          <w:sz w:val="20"/>
          <w:szCs w:val="20"/>
        </w:rPr>
        <w:t>tron</w:t>
      </w:r>
      <w:proofErr w:type="spellEnd"/>
      <w:r w:rsidRPr="001E2F8F">
        <w:rPr>
          <w:rFonts w:ascii="Arial" w:hAnsi="Arial" w:cs="Arial"/>
          <w:sz w:val="20"/>
          <w:szCs w:val="20"/>
        </w:rPr>
        <w:t xml:space="preserve"> kende met 1.253 inschrijvingen een stijging van 26,6%.</w:t>
      </w:r>
    </w:p>
    <w:p w:rsidR="001045B8" w:rsidRPr="001E2F8F" w:rsidRDefault="001045B8" w:rsidP="001E2F8F">
      <w:pPr>
        <w:pStyle w:val="Corpsdetexte"/>
        <w:spacing w:afterLines="160" w:after="384" w:line="259" w:lineRule="auto"/>
        <w:ind w:right="1656"/>
        <w:rPr>
          <w:rFonts w:ascii="Arial" w:hAnsi="Arial" w:cs="Arial"/>
        </w:rPr>
      </w:pPr>
    </w:p>
    <w:p w:rsidR="001045B8" w:rsidRPr="001E2F8F" w:rsidRDefault="001045B8" w:rsidP="001E2F8F">
      <w:pPr>
        <w:pStyle w:val="Corpsdetexte"/>
        <w:spacing w:afterLines="160" w:after="384" w:line="259" w:lineRule="auto"/>
        <w:ind w:right="1656"/>
        <w:rPr>
          <w:rFonts w:ascii="Arial" w:hAnsi="Arial" w:cs="Arial"/>
        </w:rPr>
      </w:pPr>
    </w:p>
    <w:p w:rsidR="001045B8" w:rsidRPr="001E2F8F" w:rsidRDefault="001045B8" w:rsidP="001E2F8F">
      <w:pPr>
        <w:pStyle w:val="Corpsdetexte"/>
        <w:spacing w:before="2"/>
        <w:ind w:right="1656"/>
        <w:rPr>
          <w:rFonts w:ascii="Arial" w:hAnsi="Arial" w:cs="Arial"/>
        </w:rPr>
      </w:pPr>
    </w:p>
    <w:tbl>
      <w:tblPr>
        <w:tblW w:w="0" w:type="auto"/>
        <w:tblInd w:w="26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105"/>
        <w:gridCol w:w="1981"/>
        <w:gridCol w:w="1834"/>
        <w:gridCol w:w="2854"/>
      </w:tblGrid>
      <w:tr w:rsidR="001045B8" w:rsidRPr="001E2F8F">
        <w:trPr>
          <w:trHeight w:val="764"/>
        </w:trPr>
        <w:tc>
          <w:tcPr>
            <w:tcW w:w="2105" w:type="dxa"/>
          </w:tcPr>
          <w:p w:rsidR="001045B8" w:rsidRPr="001E2F8F" w:rsidRDefault="001045B8">
            <w:pPr>
              <w:pStyle w:val="TableParagraph"/>
              <w:spacing w:before="21" w:line="360" w:lineRule="atLeast"/>
              <w:ind w:left="71" w:right="71"/>
              <w:jc w:val="left"/>
              <w:rPr>
                <w:rFonts w:ascii="Arial" w:hAnsi="Arial" w:cs="Arial"/>
                <w:b/>
                <w:sz w:val="20"/>
                <w:szCs w:val="20"/>
              </w:rPr>
            </w:pPr>
            <w:proofErr w:type="spellStart"/>
            <w:r w:rsidRPr="001E2F8F">
              <w:rPr>
                <w:rFonts w:ascii="Arial" w:hAnsi="Arial" w:cs="Arial"/>
                <w:b/>
                <w:sz w:val="20"/>
                <w:szCs w:val="20"/>
              </w:rPr>
              <w:lastRenderedPageBreak/>
              <w:t>Vehicles</w:t>
            </w:r>
            <w:proofErr w:type="spellEnd"/>
            <w:r w:rsidRPr="001E2F8F">
              <w:rPr>
                <w:rFonts w:ascii="Arial" w:hAnsi="Arial" w:cs="Arial"/>
                <w:b/>
                <w:sz w:val="20"/>
                <w:szCs w:val="20"/>
              </w:rPr>
              <w:t xml:space="preserve"> </w:t>
            </w:r>
            <w:proofErr w:type="spellStart"/>
            <w:r w:rsidRPr="001E2F8F">
              <w:rPr>
                <w:rFonts w:ascii="Arial" w:hAnsi="Arial" w:cs="Arial"/>
                <w:b/>
                <w:sz w:val="20"/>
                <w:szCs w:val="20"/>
              </w:rPr>
              <w:t>delivered</w:t>
            </w:r>
            <w:proofErr w:type="spellEnd"/>
            <w:r w:rsidRPr="001E2F8F">
              <w:rPr>
                <w:rFonts w:ascii="Arial" w:hAnsi="Arial" w:cs="Arial"/>
                <w:b/>
                <w:sz w:val="20"/>
                <w:szCs w:val="20"/>
              </w:rPr>
              <w:t xml:space="preserve"> </w:t>
            </w:r>
            <w:proofErr w:type="spellStart"/>
            <w:r w:rsidRPr="001E2F8F">
              <w:rPr>
                <w:rFonts w:ascii="Arial" w:hAnsi="Arial" w:cs="Arial"/>
                <w:b/>
                <w:sz w:val="20"/>
                <w:szCs w:val="20"/>
              </w:rPr>
              <w:t>by</w:t>
            </w:r>
            <w:proofErr w:type="spellEnd"/>
            <w:r w:rsidRPr="001E2F8F">
              <w:rPr>
                <w:rFonts w:ascii="Arial" w:hAnsi="Arial" w:cs="Arial"/>
                <w:b/>
                <w:sz w:val="20"/>
                <w:szCs w:val="20"/>
              </w:rPr>
              <w:t xml:space="preserve"> AUDI AG</w:t>
            </w:r>
          </w:p>
        </w:tc>
        <w:tc>
          <w:tcPr>
            <w:tcW w:w="1981" w:type="dxa"/>
          </w:tcPr>
          <w:p w:rsidR="001045B8" w:rsidRPr="001E2F8F" w:rsidRDefault="001045B8">
            <w:pPr>
              <w:pStyle w:val="TableParagraph"/>
              <w:spacing w:before="137"/>
              <w:ind w:left="401" w:right="453"/>
              <w:rPr>
                <w:rFonts w:ascii="Arial" w:hAnsi="Arial" w:cs="Arial"/>
                <w:b/>
                <w:sz w:val="20"/>
                <w:szCs w:val="20"/>
              </w:rPr>
            </w:pPr>
            <w:r w:rsidRPr="001E2F8F">
              <w:rPr>
                <w:rFonts w:ascii="Arial" w:hAnsi="Arial" w:cs="Arial"/>
                <w:b/>
                <w:sz w:val="20"/>
                <w:szCs w:val="20"/>
              </w:rPr>
              <w:t>Total</w:t>
            </w:r>
          </w:p>
        </w:tc>
        <w:tc>
          <w:tcPr>
            <w:tcW w:w="1834" w:type="dxa"/>
          </w:tcPr>
          <w:p w:rsidR="001045B8" w:rsidRPr="001E2F8F" w:rsidRDefault="001045B8">
            <w:pPr>
              <w:pStyle w:val="TableParagraph"/>
              <w:spacing w:before="0"/>
              <w:ind w:left="0"/>
              <w:jc w:val="left"/>
              <w:rPr>
                <w:rFonts w:ascii="Arial" w:hAnsi="Arial" w:cs="Arial"/>
                <w:sz w:val="20"/>
                <w:szCs w:val="20"/>
              </w:rPr>
            </w:pPr>
          </w:p>
        </w:tc>
        <w:tc>
          <w:tcPr>
            <w:tcW w:w="2854" w:type="dxa"/>
          </w:tcPr>
          <w:p w:rsidR="001045B8" w:rsidRPr="001E2F8F" w:rsidRDefault="001045B8">
            <w:pPr>
              <w:pStyle w:val="TableParagraph"/>
              <w:spacing w:before="0"/>
              <w:ind w:left="0"/>
              <w:jc w:val="left"/>
              <w:rPr>
                <w:rFonts w:ascii="Arial" w:hAnsi="Arial" w:cs="Arial"/>
                <w:sz w:val="20"/>
                <w:szCs w:val="20"/>
              </w:rPr>
            </w:pPr>
          </w:p>
        </w:tc>
      </w:tr>
      <w:tr w:rsidR="001045B8" w:rsidRPr="001E2F8F">
        <w:trPr>
          <w:trHeight w:val="553"/>
        </w:trPr>
        <w:tc>
          <w:tcPr>
            <w:tcW w:w="2105" w:type="dxa"/>
          </w:tcPr>
          <w:p w:rsidR="001045B8" w:rsidRPr="001E2F8F" w:rsidRDefault="001045B8">
            <w:pPr>
              <w:pStyle w:val="TableParagraph"/>
              <w:spacing w:before="0"/>
              <w:ind w:left="0"/>
              <w:jc w:val="left"/>
              <w:rPr>
                <w:rFonts w:ascii="Arial" w:hAnsi="Arial" w:cs="Arial"/>
                <w:sz w:val="20"/>
                <w:szCs w:val="20"/>
              </w:rPr>
            </w:pPr>
          </w:p>
        </w:tc>
        <w:tc>
          <w:tcPr>
            <w:tcW w:w="1981" w:type="dxa"/>
          </w:tcPr>
          <w:p w:rsidR="001045B8" w:rsidRPr="001E2F8F" w:rsidRDefault="001045B8">
            <w:pPr>
              <w:pStyle w:val="TableParagraph"/>
              <w:spacing w:before="135"/>
              <w:ind w:right="348"/>
              <w:rPr>
                <w:rFonts w:ascii="Arial" w:hAnsi="Arial" w:cs="Arial"/>
                <w:b/>
                <w:sz w:val="20"/>
                <w:szCs w:val="20"/>
              </w:rPr>
            </w:pPr>
            <w:r w:rsidRPr="001E2F8F">
              <w:rPr>
                <w:rFonts w:ascii="Arial" w:hAnsi="Arial" w:cs="Arial"/>
                <w:b/>
                <w:sz w:val="20"/>
                <w:szCs w:val="20"/>
              </w:rPr>
              <w:t>2020</w:t>
            </w:r>
          </w:p>
        </w:tc>
        <w:tc>
          <w:tcPr>
            <w:tcW w:w="1834" w:type="dxa"/>
          </w:tcPr>
          <w:p w:rsidR="001045B8" w:rsidRPr="001E2F8F" w:rsidRDefault="001045B8">
            <w:pPr>
              <w:pStyle w:val="TableParagraph"/>
              <w:spacing w:before="135"/>
              <w:ind w:left="354" w:right="401"/>
              <w:rPr>
                <w:rFonts w:ascii="Arial" w:hAnsi="Arial" w:cs="Arial"/>
                <w:sz w:val="20"/>
                <w:szCs w:val="20"/>
              </w:rPr>
            </w:pPr>
            <w:r w:rsidRPr="001E2F8F">
              <w:rPr>
                <w:rFonts w:ascii="Arial" w:hAnsi="Arial" w:cs="Arial"/>
                <w:sz w:val="20"/>
                <w:szCs w:val="20"/>
              </w:rPr>
              <w:t>2019</w:t>
            </w:r>
          </w:p>
        </w:tc>
        <w:tc>
          <w:tcPr>
            <w:tcW w:w="2854" w:type="dxa"/>
          </w:tcPr>
          <w:p w:rsidR="001045B8" w:rsidRPr="001E2F8F" w:rsidRDefault="001045B8">
            <w:pPr>
              <w:pStyle w:val="TableParagraph"/>
              <w:spacing w:before="135"/>
              <w:ind w:left="609" w:right="659"/>
              <w:rPr>
                <w:rFonts w:ascii="Arial" w:hAnsi="Arial" w:cs="Arial"/>
                <w:b/>
                <w:sz w:val="20"/>
                <w:szCs w:val="20"/>
              </w:rPr>
            </w:pPr>
            <w:r w:rsidRPr="001E2F8F">
              <w:rPr>
                <w:rFonts w:ascii="Arial" w:hAnsi="Arial" w:cs="Arial"/>
                <w:b/>
                <w:sz w:val="20"/>
                <w:szCs w:val="20"/>
              </w:rPr>
              <w:t xml:space="preserve">change </w:t>
            </w:r>
            <w:proofErr w:type="spellStart"/>
            <w:r w:rsidRPr="001E2F8F">
              <w:rPr>
                <w:rFonts w:ascii="Arial" w:hAnsi="Arial" w:cs="Arial"/>
                <w:b/>
                <w:sz w:val="20"/>
                <w:szCs w:val="20"/>
              </w:rPr>
              <w:t>vs</w:t>
            </w:r>
            <w:proofErr w:type="spellEnd"/>
            <w:r w:rsidRPr="001E2F8F">
              <w:rPr>
                <w:rFonts w:ascii="Arial" w:hAnsi="Arial" w:cs="Arial"/>
                <w:b/>
                <w:sz w:val="20"/>
                <w:szCs w:val="20"/>
              </w:rPr>
              <w:t xml:space="preserve"> 2019</w:t>
            </w:r>
          </w:p>
        </w:tc>
      </w:tr>
      <w:tr w:rsidR="001045B8" w:rsidRPr="001E2F8F">
        <w:trPr>
          <w:trHeight w:val="531"/>
        </w:trPr>
        <w:tc>
          <w:tcPr>
            <w:tcW w:w="2105" w:type="dxa"/>
          </w:tcPr>
          <w:p w:rsidR="001045B8" w:rsidRPr="001E2F8F" w:rsidRDefault="001045B8">
            <w:pPr>
              <w:pStyle w:val="TableParagraph"/>
              <w:ind w:left="71"/>
              <w:jc w:val="left"/>
              <w:rPr>
                <w:rFonts w:ascii="Arial" w:hAnsi="Arial" w:cs="Arial"/>
                <w:b/>
                <w:sz w:val="20"/>
                <w:szCs w:val="20"/>
              </w:rPr>
            </w:pPr>
            <w:r w:rsidRPr="001E2F8F">
              <w:rPr>
                <w:rFonts w:ascii="Arial" w:hAnsi="Arial" w:cs="Arial"/>
                <w:b/>
                <w:sz w:val="20"/>
                <w:szCs w:val="20"/>
              </w:rPr>
              <w:t>World</w:t>
            </w:r>
          </w:p>
        </w:tc>
        <w:tc>
          <w:tcPr>
            <w:tcW w:w="1981" w:type="dxa"/>
          </w:tcPr>
          <w:p w:rsidR="001045B8" w:rsidRPr="001E2F8F" w:rsidRDefault="001045B8">
            <w:pPr>
              <w:pStyle w:val="TableParagraph"/>
              <w:ind w:right="453"/>
              <w:rPr>
                <w:rFonts w:ascii="Arial" w:hAnsi="Arial" w:cs="Arial"/>
                <w:b/>
                <w:sz w:val="20"/>
                <w:szCs w:val="20"/>
              </w:rPr>
            </w:pPr>
            <w:r w:rsidRPr="001E2F8F">
              <w:rPr>
                <w:rFonts w:ascii="Arial" w:hAnsi="Arial" w:cs="Arial"/>
                <w:b/>
                <w:sz w:val="20"/>
                <w:szCs w:val="20"/>
              </w:rPr>
              <w:t>1,692,773</w:t>
            </w:r>
          </w:p>
        </w:tc>
        <w:tc>
          <w:tcPr>
            <w:tcW w:w="1834" w:type="dxa"/>
          </w:tcPr>
          <w:p w:rsidR="001045B8" w:rsidRPr="001E2F8F" w:rsidRDefault="001045B8">
            <w:pPr>
              <w:pStyle w:val="TableParagraph"/>
              <w:ind w:left="354" w:right="404"/>
              <w:rPr>
                <w:rFonts w:ascii="Arial" w:hAnsi="Arial" w:cs="Arial"/>
                <w:sz w:val="20"/>
                <w:szCs w:val="20"/>
              </w:rPr>
            </w:pPr>
            <w:r w:rsidRPr="001E2F8F">
              <w:rPr>
                <w:rFonts w:ascii="Arial" w:hAnsi="Arial" w:cs="Arial"/>
                <w:sz w:val="20"/>
                <w:szCs w:val="20"/>
              </w:rPr>
              <w:t>1,845,573</w:t>
            </w:r>
          </w:p>
        </w:tc>
        <w:tc>
          <w:tcPr>
            <w:tcW w:w="2854" w:type="dxa"/>
          </w:tcPr>
          <w:p w:rsidR="001045B8" w:rsidRPr="001E2F8F" w:rsidRDefault="001045B8">
            <w:pPr>
              <w:pStyle w:val="TableParagraph"/>
              <w:ind w:left="609" w:right="654"/>
              <w:rPr>
                <w:rFonts w:ascii="Arial" w:hAnsi="Arial" w:cs="Arial"/>
                <w:b/>
                <w:sz w:val="20"/>
                <w:szCs w:val="20"/>
              </w:rPr>
            </w:pPr>
            <w:r w:rsidRPr="001E2F8F">
              <w:rPr>
                <w:rFonts w:ascii="Arial" w:hAnsi="Arial" w:cs="Arial"/>
                <w:b/>
                <w:sz w:val="20"/>
                <w:szCs w:val="20"/>
              </w:rPr>
              <w:t>-8.3%</w:t>
            </w:r>
          </w:p>
        </w:tc>
        <w:bookmarkStart w:id="0" w:name="_GoBack"/>
        <w:bookmarkEnd w:id="0"/>
      </w:tr>
      <w:tr w:rsidR="001045B8" w:rsidRPr="001E2F8F">
        <w:trPr>
          <w:trHeight w:val="535"/>
        </w:trPr>
        <w:tc>
          <w:tcPr>
            <w:tcW w:w="2105" w:type="dxa"/>
          </w:tcPr>
          <w:p w:rsidR="001045B8" w:rsidRPr="001E2F8F" w:rsidRDefault="001045B8">
            <w:pPr>
              <w:pStyle w:val="TableParagraph"/>
              <w:ind w:left="71"/>
              <w:jc w:val="left"/>
              <w:rPr>
                <w:rFonts w:ascii="Arial" w:hAnsi="Arial" w:cs="Arial"/>
                <w:b/>
                <w:sz w:val="20"/>
                <w:szCs w:val="20"/>
              </w:rPr>
            </w:pPr>
            <w:r w:rsidRPr="001E2F8F">
              <w:rPr>
                <w:rFonts w:ascii="Arial" w:hAnsi="Arial" w:cs="Arial"/>
                <w:b/>
                <w:sz w:val="20"/>
                <w:szCs w:val="20"/>
              </w:rPr>
              <w:t>Europe</w:t>
            </w:r>
          </w:p>
        </w:tc>
        <w:tc>
          <w:tcPr>
            <w:tcW w:w="1981" w:type="dxa"/>
          </w:tcPr>
          <w:p w:rsidR="001045B8" w:rsidRPr="001E2F8F" w:rsidRDefault="001045B8">
            <w:pPr>
              <w:pStyle w:val="TableParagraph"/>
              <w:ind w:right="453"/>
              <w:rPr>
                <w:rFonts w:ascii="Arial" w:hAnsi="Arial" w:cs="Arial"/>
                <w:b/>
                <w:sz w:val="20"/>
                <w:szCs w:val="20"/>
              </w:rPr>
            </w:pPr>
            <w:r w:rsidRPr="001E2F8F">
              <w:rPr>
                <w:rFonts w:ascii="Arial" w:hAnsi="Arial" w:cs="Arial"/>
                <w:b/>
                <w:sz w:val="20"/>
                <w:szCs w:val="20"/>
              </w:rPr>
              <w:t>619,723</w:t>
            </w:r>
          </w:p>
        </w:tc>
        <w:tc>
          <w:tcPr>
            <w:tcW w:w="1834" w:type="dxa"/>
          </w:tcPr>
          <w:p w:rsidR="001045B8" w:rsidRPr="001E2F8F" w:rsidRDefault="001045B8">
            <w:pPr>
              <w:pStyle w:val="TableParagraph"/>
              <w:ind w:left="354" w:right="401"/>
              <w:rPr>
                <w:rFonts w:ascii="Arial" w:hAnsi="Arial" w:cs="Arial"/>
                <w:sz w:val="20"/>
                <w:szCs w:val="20"/>
              </w:rPr>
            </w:pPr>
            <w:r w:rsidRPr="001E2F8F">
              <w:rPr>
                <w:rFonts w:ascii="Arial" w:hAnsi="Arial" w:cs="Arial"/>
                <w:sz w:val="20"/>
                <w:szCs w:val="20"/>
              </w:rPr>
              <w:t>769,585</w:t>
            </w:r>
          </w:p>
        </w:tc>
        <w:tc>
          <w:tcPr>
            <w:tcW w:w="2854" w:type="dxa"/>
          </w:tcPr>
          <w:p w:rsidR="001045B8" w:rsidRPr="001E2F8F" w:rsidRDefault="001045B8">
            <w:pPr>
              <w:pStyle w:val="TableParagraph"/>
              <w:ind w:left="609" w:right="656"/>
              <w:rPr>
                <w:rFonts w:ascii="Arial" w:hAnsi="Arial" w:cs="Arial"/>
                <w:b/>
                <w:sz w:val="20"/>
                <w:szCs w:val="20"/>
              </w:rPr>
            </w:pPr>
            <w:r w:rsidRPr="001E2F8F">
              <w:rPr>
                <w:rFonts w:ascii="Arial" w:hAnsi="Arial" w:cs="Arial"/>
                <w:b/>
                <w:sz w:val="20"/>
                <w:szCs w:val="20"/>
              </w:rPr>
              <w:t>-19.5%</w:t>
            </w:r>
          </w:p>
        </w:tc>
      </w:tr>
      <w:tr w:rsidR="001045B8" w:rsidRPr="001E2F8F">
        <w:trPr>
          <w:trHeight w:val="532"/>
        </w:trPr>
        <w:tc>
          <w:tcPr>
            <w:tcW w:w="2105" w:type="dxa"/>
          </w:tcPr>
          <w:p w:rsidR="001045B8" w:rsidRPr="001E2F8F" w:rsidRDefault="001045B8">
            <w:pPr>
              <w:pStyle w:val="TableParagraph"/>
              <w:ind w:left="213"/>
              <w:jc w:val="left"/>
              <w:rPr>
                <w:rFonts w:ascii="Arial" w:hAnsi="Arial" w:cs="Arial"/>
                <w:b/>
                <w:sz w:val="20"/>
                <w:szCs w:val="20"/>
              </w:rPr>
            </w:pPr>
            <w:r w:rsidRPr="001E2F8F">
              <w:rPr>
                <w:rFonts w:ascii="Arial" w:hAnsi="Arial" w:cs="Arial"/>
                <w:b/>
                <w:sz w:val="20"/>
                <w:szCs w:val="20"/>
              </w:rPr>
              <w:t>- Germany</w:t>
            </w:r>
          </w:p>
        </w:tc>
        <w:tc>
          <w:tcPr>
            <w:tcW w:w="1981" w:type="dxa"/>
          </w:tcPr>
          <w:p w:rsidR="001045B8" w:rsidRPr="001E2F8F" w:rsidRDefault="001045B8">
            <w:pPr>
              <w:pStyle w:val="TableParagraph"/>
              <w:ind w:right="453"/>
              <w:rPr>
                <w:rFonts w:ascii="Arial" w:hAnsi="Arial" w:cs="Arial"/>
                <w:b/>
                <w:sz w:val="20"/>
                <w:szCs w:val="20"/>
              </w:rPr>
            </w:pPr>
            <w:r w:rsidRPr="001E2F8F">
              <w:rPr>
                <w:rFonts w:ascii="Arial" w:hAnsi="Arial" w:cs="Arial"/>
                <w:b/>
                <w:sz w:val="20"/>
                <w:szCs w:val="20"/>
              </w:rPr>
              <w:t>214,427</w:t>
            </w:r>
          </w:p>
        </w:tc>
        <w:tc>
          <w:tcPr>
            <w:tcW w:w="1834" w:type="dxa"/>
          </w:tcPr>
          <w:p w:rsidR="001045B8" w:rsidRPr="001E2F8F" w:rsidRDefault="001045B8">
            <w:pPr>
              <w:pStyle w:val="TableParagraph"/>
              <w:ind w:left="354" w:right="401"/>
              <w:rPr>
                <w:rFonts w:ascii="Arial" w:hAnsi="Arial" w:cs="Arial"/>
                <w:sz w:val="20"/>
                <w:szCs w:val="20"/>
              </w:rPr>
            </w:pPr>
            <w:r w:rsidRPr="001E2F8F">
              <w:rPr>
                <w:rFonts w:ascii="Arial" w:hAnsi="Arial" w:cs="Arial"/>
                <w:sz w:val="20"/>
                <w:szCs w:val="20"/>
              </w:rPr>
              <w:t>271,613</w:t>
            </w:r>
          </w:p>
        </w:tc>
        <w:tc>
          <w:tcPr>
            <w:tcW w:w="2854" w:type="dxa"/>
          </w:tcPr>
          <w:p w:rsidR="001045B8" w:rsidRPr="001E2F8F" w:rsidRDefault="001045B8">
            <w:pPr>
              <w:pStyle w:val="TableParagraph"/>
              <w:ind w:left="609" w:right="656"/>
              <w:rPr>
                <w:rFonts w:ascii="Arial" w:hAnsi="Arial" w:cs="Arial"/>
                <w:b/>
                <w:sz w:val="20"/>
                <w:szCs w:val="20"/>
              </w:rPr>
            </w:pPr>
            <w:r w:rsidRPr="001E2F8F">
              <w:rPr>
                <w:rFonts w:ascii="Arial" w:hAnsi="Arial" w:cs="Arial"/>
                <w:b/>
                <w:sz w:val="20"/>
                <w:szCs w:val="20"/>
              </w:rPr>
              <w:t>-21.1%</w:t>
            </w:r>
          </w:p>
        </w:tc>
      </w:tr>
      <w:tr w:rsidR="001045B8" w:rsidRPr="001E2F8F">
        <w:trPr>
          <w:trHeight w:val="534"/>
        </w:trPr>
        <w:tc>
          <w:tcPr>
            <w:tcW w:w="2105" w:type="dxa"/>
          </w:tcPr>
          <w:p w:rsidR="001045B8" w:rsidRPr="001E2F8F" w:rsidRDefault="001045B8">
            <w:pPr>
              <w:pStyle w:val="TableParagraph"/>
              <w:ind w:left="213"/>
              <w:jc w:val="left"/>
              <w:rPr>
                <w:rFonts w:ascii="Arial" w:hAnsi="Arial" w:cs="Arial"/>
                <w:b/>
                <w:sz w:val="20"/>
                <w:szCs w:val="20"/>
              </w:rPr>
            </w:pPr>
            <w:r w:rsidRPr="001E2F8F">
              <w:rPr>
                <w:rFonts w:ascii="Arial" w:hAnsi="Arial" w:cs="Arial"/>
                <w:b/>
                <w:sz w:val="20"/>
                <w:szCs w:val="20"/>
              </w:rPr>
              <w:t xml:space="preserve">- United </w:t>
            </w:r>
            <w:proofErr w:type="spellStart"/>
            <w:r w:rsidRPr="001E2F8F">
              <w:rPr>
                <w:rFonts w:ascii="Arial" w:hAnsi="Arial" w:cs="Arial"/>
                <w:b/>
                <w:sz w:val="20"/>
                <w:szCs w:val="20"/>
              </w:rPr>
              <w:t>Kingdom</w:t>
            </w:r>
            <w:proofErr w:type="spellEnd"/>
          </w:p>
        </w:tc>
        <w:tc>
          <w:tcPr>
            <w:tcW w:w="1981" w:type="dxa"/>
          </w:tcPr>
          <w:p w:rsidR="001045B8" w:rsidRPr="001E2F8F" w:rsidRDefault="001045B8">
            <w:pPr>
              <w:pStyle w:val="TableParagraph"/>
              <w:ind w:right="453"/>
              <w:rPr>
                <w:rFonts w:ascii="Arial" w:hAnsi="Arial" w:cs="Arial"/>
                <w:b/>
                <w:sz w:val="20"/>
                <w:szCs w:val="20"/>
              </w:rPr>
            </w:pPr>
            <w:r w:rsidRPr="001E2F8F">
              <w:rPr>
                <w:rFonts w:ascii="Arial" w:hAnsi="Arial" w:cs="Arial"/>
                <w:b/>
                <w:sz w:val="20"/>
                <w:szCs w:val="20"/>
              </w:rPr>
              <w:t>107,892</w:t>
            </w:r>
          </w:p>
        </w:tc>
        <w:tc>
          <w:tcPr>
            <w:tcW w:w="1834" w:type="dxa"/>
          </w:tcPr>
          <w:p w:rsidR="001045B8" w:rsidRPr="001E2F8F" w:rsidRDefault="001045B8">
            <w:pPr>
              <w:pStyle w:val="TableParagraph"/>
              <w:ind w:left="354" w:right="401"/>
              <w:rPr>
                <w:rFonts w:ascii="Arial" w:hAnsi="Arial" w:cs="Arial"/>
                <w:sz w:val="20"/>
                <w:szCs w:val="20"/>
              </w:rPr>
            </w:pPr>
            <w:r w:rsidRPr="001E2F8F">
              <w:rPr>
                <w:rFonts w:ascii="Arial" w:hAnsi="Arial" w:cs="Arial"/>
                <w:sz w:val="20"/>
                <w:szCs w:val="20"/>
              </w:rPr>
              <w:t>139,026</w:t>
            </w:r>
          </w:p>
        </w:tc>
        <w:tc>
          <w:tcPr>
            <w:tcW w:w="2854" w:type="dxa"/>
          </w:tcPr>
          <w:p w:rsidR="001045B8" w:rsidRPr="001E2F8F" w:rsidRDefault="001045B8">
            <w:pPr>
              <w:pStyle w:val="TableParagraph"/>
              <w:ind w:left="609" w:right="656"/>
              <w:rPr>
                <w:rFonts w:ascii="Arial" w:hAnsi="Arial" w:cs="Arial"/>
                <w:b/>
                <w:sz w:val="20"/>
                <w:szCs w:val="20"/>
              </w:rPr>
            </w:pPr>
            <w:r w:rsidRPr="001E2F8F">
              <w:rPr>
                <w:rFonts w:ascii="Arial" w:hAnsi="Arial" w:cs="Arial"/>
                <w:b/>
                <w:sz w:val="20"/>
                <w:szCs w:val="20"/>
              </w:rPr>
              <w:t>-22.4%</w:t>
            </w:r>
          </w:p>
        </w:tc>
      </w:tr>
      <w:tr w:rsidR="001045B8" w:rsidRPr="001E2F8F">
        <w:trPr>
          <w:trHeight w:val="531"/>
        </w:trPr>
        <w:tc>
          <w:tcPr>
            <w:tcW w:w="2105" w:type="dxa"/>
          </w:tcPr>
          <w:p w:rsidR="001045B8" w:rsidRPr="001E2F8F" w:rsidRDefault="001045B8">
            <w:pPr>
              <w:pStyle w:val="TableParagraph"/>
              <w:ind w:left="213"/>
              <w:jc w:val="left"/>
              <w:rPr>
                <w:rFonts w:ascii="Arial" w:hAnsi="Arial" w:cs="Arial"/>
                <w:b/>
                <w:sz w:val="20"/>
                <w:szCs w:val="20"/>
              </w:rPr>
            </w:pPr>
            <w:r w:rsidRPr="001E2F8F">
              <w:rPr>
                <w:rFonts w:ascii="Arial" w:hAnsi="Arial" w:cs="Arial"/>
                <w:b/>
                <w:sz w:val="20"/>
                <w:szCs w:val="20"/>
              </w:rPr>
              <w:t>- France</w:t>
            </w:r>
          </w:p>
        </w:tc>
        <w:tc>
          <w:tcPr>
            <w:tcW w:w="1981" w:type="dxa"/>
          </w:tcPr>
          <w:p w:rsidR="001045B8" w:rsidRPr="001E2F8F" w:rsidRDefault="001045B8">
            <w:pPr>
              <w:pStyle w:val="TableParagraph"/>
              <w:ind w:right="450"/>
              <w:rPr>
                <w:rFonts w:ascii="Arial" w:hAnsi="Arial" w:cs="Arial"/>
                <w:b/>
                <w:sz w:val="20"/>
                <w:szCs w:val="20"/>
              </w:rPr>
            </w:pPr>
            <w:r w:rsidRPr="001E2F8F">
              <w:rPr>
                <w:rFonts w:ascii="Arial" w:hAnsi="Arial" w:cs="Arial"/>
                <w:b/>
                <w:sz w:val="20"/>
                <w:szCs w:val="20"/>
              </w:rPr>
              <w:t>45,728</w:t>
            </w:r>
          </w:p>
        </w:tc>
        <w:tc>
          <w:tcPr>
            <w:tcW w:w="1834" w:type="dxa"/>
          </w:tcPr>
          <w:p w:rsidR="001045B8" w:rsidRPr="001E2F8F" w:rsidRDefault="001045B8">
            <w:pPr>
              <w:pStyle w:val="TableParagraph"/>
              <w:ind w:left="354" w:right="404"/>
              <w:rPr>
                <w:rFonts w:ascii="Arial" w:hAnsi="Arial" w:cs="Arial"/>
                <w:sz w:val="20"/>
                <w:szCs w:val="20"/>
              </w:rPr>
            </w:pPr>
            <w:r w:rsidRPr="001E2F8F">
              <w:rPr>
                <w:rFonts w:ascii="Arial" w:hAnsi="Arial" w:cs="Arial"/>
                <w:sz w:val="20"/>
                <w:szCs w:val="20"/>
              </w:rPr>
              <w:t>58,241</w:t>
            </w:r>
          </w:p>
        </w:tc>
        <w:tc>
          <w:tcPr>
            <w:tcW w:w="2854" w:type="dxa"/>
          </w:tcPr>
          <w:p w:rsidR="001045B8" w:rsidRPr="001E2F8F" w:rsidRDefault="001045B8">
            <w:pPr>
              <w:pStyle w:val="TableParagraph"/>
              <w:ind w:left="609" w:right="656"/>
              <w:rPr>
                <w:rFonts w:ascii="Arial" w:hAnsi="Arial" w:cs="Arial"/>
                <w:b/>
                <w:sz w:val="20"/>
                <w:szCs w:val="20"/>
              </w:rPr>
            </w:pPr>
            <w:r w:rsidRPr="001E2F8F">
              <w:rPr>
                <w:rFonts w:ascii="Arial" w:hAnsi="Arial" w:cs="Arial"/>
                <w:b/>
                <w:sz w:val="20"/>
                <w:szCs w:val="20"/>
              </w:rPr>
              <w:t>-21.5%</w:t>
            </w:r>
          </w:p>
        </w:tc>
      </w:tr>
      <w:tr w:rsidR="001045B8" w:rsidRPr="001E2F8F">
        <w:trPr>
          <w:trHeight w:val="534"/>
        </w:trPr>
        <w:tc>
          <w:tcPr>
            <w:tcW w:w="2105" w:type="dxa"/>
          </w:tcPr>
          <w:p w:rsidR="001045B8" w:rsidRPr="001E2F8F" w:rsidRDefault="001045B8">
            <w:pPr>
              <w:pStyle w:val="TableParagraph"/>
              <w:ind w:left="213"/>
              <w:jc w:val="left"/>
              <w:rPr>
                <w:rFonts w:ascii="Arial" w:hAnsi="Arial" w:cs="Arial"/>
                <w:b/>
                <w:sz w:val="20"/>
                <w:szCs w:val="20"/>
              </w:rPr>
            </w:pPr>
            <w:r w:rsidRPr="001E2F8F">
              <w:rPr>
                <w:rFonts w:ascii="Arial" w:hAnsi="Arial" w:cs="Arial"/>
                <w:b/>
                <w:sz w:val="20"/>
                <w:szCs w:val="20"/>
              </w:rPr>
              <w:t>- Italy</w:t>
            </w:r>
          </w:p>
        </w:tc>
        <w:tc>
          <w:tcPr>
            <w:tcW w:w="1981" w:type="dxa"/>
          </w:tcPr>
          <w:p w:rsidR="001045B8" w:rsidRPr="001E2F8F" w:rsidRDefault="001045B8">
            <w:pPr>
              <w:pStyle w:val="TableParagraph"/>
              <w:ind w:right="450"/>
              <w:rPr>
                <w:rFonts w:ascii="Arial" w:hAnsi="Arial" w:cs="Arial"/>
                <w:b/>
                <w:sz w:val="20"/>
                <w:szCs w:val="20"/>
              </w:rPr>
            </w:pPr>
            <w:r w:rsidRPr="001E2F8F">
              <w:rPr>
                <w:rFonts w:ascii="Arial" w:hAnsi="Arial" w:cs="Arial"/>
                <w:b/>
                <w:sz w:val="20"/>
                <w:szCs w:val="20"/>
              </w:rPr>
              <w:t>50,060</w:t>
            </w:r>
          </w:p>
        </w:tc>
        <w:tc>
          <w:tcPr>
            <w:tcW w:w="1834" w:type="dxa"/>
          </w:tcPr>
          <w:p w:rsidR="001045B8" w:rsidRPr="001E2F8F" w:rsidRDefault="001045B8">
            <w:pPr>
              <w:pStyle w:val="TableParagraph"/>
              <w:ind w:left="354" w:right="404"/>
              <w:rPr>
                <w:rFonts w:ascii="Arial" w:hAnsi="Arial" w:cs="Arial"/>
                <w:sz w:val="20"/>
                <w:szCs w:val="20"/>
              </w:rPr>
            </w:pPr>
            <w:r w:rsidRPr="001E2F8F">
              <w:rPr>
                <w:rFonts w:ascii="Arial" w:hAnsi="Arial" w:cs="Arial"/>
                <w:sz w:val="20"/>
                <w:szCs w:val="20"/>
              </w:rPr>
              <w:t>64,056</w:t>
            </w:r>
          </w:p>
        </w:tc>
        <w:tc>
          <w:tcPr>
            <w:tcW w:w="2854" w:type="dxa"/>
          </w:tcPr>
          <w:p w:rsidR="001045B8" w:rsidRPr="001E2F8F" w:rsidRDefault="001045B8">
            <w:pPr>
              <w:pStyle w:val="TableParagraph"/>
              <w:ind w:left="609" w:right="656"/>
              <w:rPr>
                <w:rFonts w:ascii="Arial" w:hAnsi="Arial" w:cs="Arial"/>
                <w:b/>
                <w:sz w:val="20"/>
                <w:szCs w:val="20"/>
              </w:rPr>
            </w:pPr>
            <w:r w:rsidRPr="001E2F8F">
              <w:rPr>
                <w:rFonts w:ascii="Arial" w:hAnsi="Arial" w:cs="Arial"/>
                <w:b/>
                <w:sz w:val="20"/>
                <w:szCs w:val="20"/>
              </w:rPr>
              <w:t>-21.8%</w:t>
            </w:r>
          </w:p>
        </w:tc>
      </w:tr>
      <w:tr w:rsidR="001045B8" w:rsidRPr="001E2F8F">
        <w:trPr>
          <w:trHeight w:val="531"/>
        </w:trPr>
        <w:tc>
          <w:tcPr>
            <w:tcW w:w="2105" w:type="dxa"/>
          </w:tcPr>
          <w:p w:rsidR="001045B8" w:rsidRPr="001E2F8F" w:rsidRDefault="001045B8">
            <w:pPr>
              <w:pStyle w:val="TableParagraph"/>
              <w:ind w:left="213"/>
              <w:jc w:val="left"/>
              <w:rPr>
                <w:rFonts w:ascii="Arial" w:hAnsi="Arial" w:cs="Arial"/>
                <w:b/>
                <w:sz w:val="20"/>
                <w:szCs w:val="20"/>
              </w:rPr>
            </w:pPr>
            <w:r w:rsidRPr="001E2F8F">
              <w:rPr>
                <w:rFonts w:ascii="Arial" w:hAnsi="Arial" w:cs="Arial"/>
                <w:b/>
                <w:sz w:val="20"/>
                <w:szCs w:val="20"/>
              </w:rPr>
              <w:t>- Spain</w:t>
            </w:r>
          </w:p>
        </w:tc>
        <w:tc>
          <w:tcPr>
            <w:tcW w:w="1981" w:type="dxa"/>
          </w:tcPr>
          <w:p w:rsidR="001045B8" w:rsidRPr="001E2F8F" w:rsidRDefault="001045B8">
            <w:pPr>
              <w:pStyle w:val="TableParagraph"/>
              <w:ind w:right="450"/>
              <w:rPr>
                <w:rFonts w:ascii="Arial" w:hAnsi="Arial" w:cs="Arial"/>
                <w:b/>
                <w:sz w:val="20"/>
                <w:szCs w:val="20"/>
              </w:rPr>
            </w:pPr>
            <w:r w:rsidRPr="001E2F8F">
              <w:rPr>
                <w:rFonts w:ascii="Arial" w:hAnsi="Arial" w:cs="Arial"/>
                <w:b/>
                <w:sz w:val="20"/>
                <w:szCs w:val="20"/>
              </w:rPr>
              <w:t>37,284</w:t>
            </w:r>
          </w:p>
        </w:tc>
        <w:tc>
          <w:tcPr>
            <w:tcW w:w="1834" w:type="dxa"/>
          </w:tcPr>
          <w:p w:rsidR="001045B8" w:rsidRPr="001E2F8F" w:rsidRDefault="001045B8">
            <w:pPr>
              <w:pStyle w:val="TableParagraph"/>
              <w:ind w:left="354" w:right="404"/>
              <w:rPr>
                <w:rFonts w:ascii="Arial" w:hAnsi="Arial" w:cs="Arial"/>
                <w:sz w:val="20"/>
                <w:szCs w:val="20"/>
              </w:rPr>
            </w:pPr>
            <w:r w:rsidRPr="001E2F8F">
              <w:rPr>
                <w:rFonts w:ascii="Arial" w:hAnsi="Arial" w:cs="Arial"/>
                <w:sz w:val="20"/>
                <w:szCs w:val="20"/>
              </w:rPr>
              <w:t>50,904</w:t>
            </w:r>
          </w:p>
        </w:tc>
        <w:tc>
          <w:tcPr>
            <w:tcW w:w="2854" w:type="dxa"/>
          </w:tcPr>
          <w:p w:rsidR="001045B8" w:rsidRPr="001E2F8F" w:rsidRDefault="001045B8">
            <w:pPr>
              <w:pStyle w:val="TableParagraph"/>
              <w:ind w:left="609" w:right="656"/>
              <w:rPr>
                <w:rFonts w:ascii="Arial" w:hAnsi="Arial" w:cs="Arial"/>
                <w:b/>
                <w:sz w:val="20"/>
                <w:szCs w:val="20"/>
              </w:rPr>
            </w:pPr>
            <w:r w:rsidRPr="001E2F8F">
              <w:rPr>
                <w:rFonts w:ascii="Arial" w:hAnsi="Arial" w:cs="Arial"/>
                <w:b/>
                <w:sz w:val="20"/>
                <w:szCs w:val="20"/>
              </w:rPr>
              <w:t>-26.8%</w:t>
            </w:r>
          </w:p>
        </w:tc>
      </w:tr>
      <w:tr w:rsidR="001045B8" w:rsidRPr="001E2F8F">
        <w:trPr>
          <w:trHeight w:val="534"/>
        </w:trPr>
        <w:tc>
          <w:tcPr>
            <w:tcW w:w="2105" w:type="dxa"/>
          </w:tcPr>
          <w:p w:rsidR="001045B8" w:rsidRPr="001E2F8F" w:rsidRDefault="001045B8" w:rsidP="001045B8">
            <w:pPr>
              <w:pStyle w:val="TableParagraph"/>
              <w:numPr>
                <w:ilvl w:val="0"/>
                <w:numId w:val="2"/>
              </w:numPr>
              <w:ind w:left="312" w:hanging="141"/>
              <w:jc w:val="left"/>
              <w:rPr>
                <w:rFonts w:ascii="Arial" w:hAnsi="Arial" w:cs="Arial"/>
                <w:b/>
                <w:sz w:val="20"/>
                <w:szCs w:val="20"/>
              </w:rPr>
            </w:pPr>
            <w:r w:rsidRPr="001E2F8F">
              <w:rPr>
                <w:rFonts w:ascii="Arial" w:hAnsi="Arial" w:cs="Arial"/>
                <w:b/>
                <w:sz w:val="20"/>
                <w:szCs w:val="20"/>
              </w:rPr>
              <w:t>Belgium (</w:t>
            </w:r>
            <w:proofErr w:type="spellStart"/>
            <w:r w:rsidRPr="001E2F8F">
              <w:rPr>
                <w:rFonts w:ascii="Arial" w:hAnsi="Arial" w:cs="Arial"/>
                <w:b/>
                <w:sz w:val="20"/>
                <w:szCs w:val="20"/>
              </w:rPr>
              <w:t>registrations</w:t>
            </w:r>
            <w:proofErr w:type="spellEnd"/>
            <w:r w:rsidRPr="001E2F8F">
              <w:rPr>
                <w:rFonts w:ascii="Arial" w:hAnsi="Arial" w:cs="Arial"/>
                <w:b/>
                <w:sz w:val="20"/>
                <w:szCs w:val="20"/>
              </w:rPr>
              <w:t>)</w:t>
            </w:r>
          </w:p>
        </w:tc>
        <w:tc>
          <w:tcPr>
            <w:tcW w:w="1981" w:type="dxa"/>
          </w:tcPr>
          <w:p w:rsidR="001045B8" w:rsidRPr="001E2F8F" w:rsidRDefault="001045B8" w:rsidP="00487FCF">
            <w:pPr>
              <w:pStyle w:val="TableParagraph"/>
              <w:ind w:right="450"/>
              <w:rPr>
                <w:rFonts w:ascii="Arial" w:hAnsi="Arial" w:cs="Arial"/>
                <w:b/>
                <w:sz w:val="20"/>
                <w:szCs w:val="20"/>
              </w:rPr>
            </w:pPr>
            <w:r w:rsidRPr="001E2F8F">
              <w:rPr>
                <w:rFonts w:ascii="Arial" w:hAnsi="Arial" w:cs="Arial"/>
                <w:b/>
                <w:sz w:val="20"/>
                <w:szCs w:val="20"/>
              </w:rPr>
              <w:t>28,053</w:t>
            </w:r>
          </w:p>
        </w:tc>
        <w:tc>
          <w:tcPr>
            <w:tcW w:w="1834" w:type="dxa"/>
          </w:tcPr>
          <w:p w:rsidR="001045B8" w:rsidRPr="001E2F8F" w:rsidRDefault="001045B8" w:rsidP="00487FCF">
            <w:pPr>
              <w:pStyle w:val="TableParagraph"/>
              <w:ind w:left="354" w:right="404"/>
              <w:rPr>
                <w:rFonts w:ascii="Arial" w:hAnsi="Arial" w:cs="Arial"/>
                <w:sz w:val="20"/>
                <w:szCs w:val="20"/>
              </w:rPr>
            </w:pPr>
            <w:r w:rsidRPr="001E2F8F">
              <w:rPr>
                <w:rFonts w:ascii="Arial" w:hAnsi="Arial" w:cs="Arial"/>
                <w:sz w:val="20"/>
                <w:szCs w:val="20"/>
              </w:rPr>
              <w:t>31,183</w:t>
            </w:r>
          </w:p>
        </w:tc>
        <w:tc>
          <w:tcPr>
            <w:tcW w:w="2854" w:type="dxa"/>
          </w:tcPr>
          <w:p w:rsidR="001045B8" w:rsidRPr="001E2F8F" w:rsidRDefault="001045B8">
            <w:pPr>
              <w:pStyle w:val="TableParagraph"/>
              <w:ind w:left="609" w:right="656"/>
              <w:rPr>
                <w:rFonts w:ascii="Arial" w:hAnsi="Arial" w:cs="Arial"/>
                <w:b/>
                <w:sz w:val="20"/>
                <w:szCs w:val="20"/>
              </w:rPr>
            </w:pPr>
            <w:r w:rsidRPr="001E2F8F">
              <w:rPr>
                <w:rFonts w:ascii="Arial" w:hAnsi="Arial" w:cs="Arial"/>
                <w:b/>
                <w:sz w:val="20"/>
                <w:szCs w:val="20"/>
              </w:rPr>
              <w:t>-10,0%</w:t>
            </w:r>
          </w:p>
        </w:tc>
      </w:tr>
      <w:tr w:rsidR="001045B8" w:rsidRPr="001E2F8F">
        <w:trPr>
          <w:trHeight w:val="534"/>
        </w:trPr>
        <w:tc>
          <w:tcPr>
            <w:tcW w:w="2105" w:type="dxa"/>
          </w:tcPr>
          <w:p w:rsidR="001045B8" w:rsidRPr="001E2F8F" w:rsidRDefault="001045B8">
            <w:pPr>
              <w:pStyle w:val="TableParagraph"/>
              <w:ind w:left="71"/>
              <w:jc w:val="left"/>
              <w:rPr>
                <w:rFonts w:ascii="Arial" w:hAnsi="Arial" w:cs="Arial"/>
                <w:b/>
                <w:sz w:val="20"/>
                <w:szCs w:val="20"/>
              </w:rPr>
            </w:pPr>
            <w:r w:rsidRPr="001E2F8F">
              <w:rPr>
                <w:rFonts w:ascii="Arial" w:hAnsi="Arial" w:cs="Arial"/>
                <w:b/>
                <w:sz w:val="20"/>
                <w:szCs w:val="20"/>
              </w:rPr>
              <w:t>USA</w:t>
            </w:r>
          </w:p>
        </w:tc>
        <w:tc>
          <w:tcPr>
            <w:tcW w:w="1981" w:type="dxa"/>
          </w:tcPr>
          <w:p w:rsidR="001045B8" w:rsidRPr="001E2F8F" w:rsidRDefault="001045B8">
            <w:pPr>
              <w:pStyle w:val="TableParagraph"/>
              <w:ind w:right="453"/>
              <w:rPr>
                <w:rFonts w:ascii="Arial" w:hAnsi="Arial" w:cs="Arial"/>
                <w:b/>
                <w:sz w:val="20"/>
                <w:szCs w:val="20"/>
              </w:rPr>
            </w:pPr>
            <w:r w:rsidRPr="001E2F8F">
              <w:rPr>
                <w:rFonts w:ascii="Arial" w:hAnsi="Arial" w:cs="Arial"/>
                <w:b/>
                <w:sz w:val="20"/>
                <w:szCs w:val="20"/>
              </w:rPr>
              <w:t>186,620</w:t>
            </w:r>
          </w:p>
        </w:tc>
        <w:tc>
          <w:tcPr>
            <w:tcW w:w="1834" w:type="dxa"/>
          </w:tcPr>
          <w:p w:rsidR="001045B8" w:rsidRPr="001E2F8F" w:rsidRDefault="001045B8">
            <w:pPr>
              <w:pStyle w:val="TableParagraph"/>
              <w:ind w:left="354" w:right="401"/>
              <w:rPr>
                <w:rFonts w:ascii="Arial" w:hAnsi="Arial" w:cs="Arial"/>
                <w:sz w:val="20"/>
                <w:szCs w:val="20"/>
              </w:rPr>
            </w:pPr>
            <w:r w:rsidRPr="001E2F8F">
              <w:rPr>
                <w:rFonts w:ascii="Arial" w:hAnsi="Arial" w:cs="Arial"/>
                <w:sz w:val="20"/>
                <w:szCs w:val="20"/>
              </w:rPr>
              <w:t>224,111</w:t>
            </w:r>
          </w:p>
        </w:tc>
        <w:tc>
          <w:tcPr>
            <w:tcW w:w="2854" w:type="dxa"/>
          </w:tcPr>
          <w:p w:rsidR="001045B8" w:rsidRPr="001E2F8F" w:rsidRDefault="001045B8">
            <w:pPr>
              <w:pStyle w:val="TableParagraph"/>
              <w:ind w:left="609" w:right="656"/>
              <w:rPr>
                <w:rFonts w:ascii="Arial" w:hAnsi="Arial" w:cs="Arial"/>
                <w:b/>
                <w:sz w:val="20"/>
                <w:szCs w:val="20"/>
              </w:rPr>
            </w:pPr>
            <w:r w:rsidRPr="001E2F8F">
              <w:rPr>
                <w:rFonts w:ascii="Arial" w:hAnsi="Arial" w:cs="Arial"/>
                <w:b/>
                <w:sz w:val="20"/>
                <w:szCs w:val="20"/>
              </w:rPr>
              <w:t>-16.7%</w:t>
            </w:r>
          </w:p>
        </w:tc>
      </w:tr>
      <w:tr w:rsidR="001045B8" w:rsidRPr="001E2F8F">
        <w:trPr>
          <w:trHeight w:val="532"/>
        </w:trPr>
        <w:tc>
          <w:tcPr>
            <w:tcW w:w="2105" w:type="dxa"/>
          </w:tcPr>
          <w:p w:rsidR="001045B8" w:rsidRPr="001E2F8F" w:rsidRDefault="001045B8">
            <w:pPr>
              <w:pStyle w:val="TableParagraph"/>
              <w:spacing w:before="116"/>
              <w:ind w:left="71"/>
              <w:jc w:val="left"/>
              <w:rPr>
                <w:rFonts w:ascii="Arial" w:hAnsi="Arial" w:cs="Arial"/>
                <w:b/>
                <w:sz w:val="20"/>
                <w:szCs w:val="20"/>
              </w:rPr>
            </w:pPr>
            <w:r w:rsidRPr="001E2F8F">
              <w:rPr>
                <w:rFonts w:ascii="Arial" w:hAnsi="Arial" w:cs="Arial"/>
                <w:b/>
                <w:sz w:val="20"/>
                <w:szCs w:val="20"/>
              </w:rPr>
              <w:t>Mexico</w:t>
            </w:r>
          </w:p>
        </w:tc>
        <w:tc>
          <w:tcPr>
            <w:tcW w:w="1981" w:type="dxa"/>
          </w:tcPr>
          <w:p w:rsidR="001045B8" w:rsidRPr="001E2F8F" w:rsidRDefault="001045B8">
            <w:pPr>
              <w:pStyle w:val="TableParagraph"/>
              <w:spacing w:before="116"/>
              <w:ind w:right="450"/>
              <w:rPr>
                <w:rFonts w:ascii="Arial" w:hAnsi="Arial" w:cs="Arial"/>
                <w:b/>
                <w:sz w:val="20"/>
                <w:szCs w:val="20"/>
              </w:rPr>
            </w:pPr>
            <w:r w:rsidRPr="001E2F8F">
              <w:rPr>
                <w:rFonts w:ascii="Arial" w:hAnsi="Arial" w:cs="Arial"/>
                <w:b/>
                <w:sz w:val="20"/>
                <w:szCs w:val="20"/>
              </w:rPr>
              <w:t>9,834</w:t>
            </w:r>
          </w:p>
        </w:tc>
        <w:tc>
          <w:tcPr>
            <w:tcW w:w="1834" w:type="dxa"/>
          </w:tcPr>
          <w:p w:rsidR="001045B8" w:rsidRPr="001E2F8F" w:rsidRDefault="001045B8">
            <w:pPr>
              <w:pStyle w:val="TableParagraph"/>
              <w:spacing w:before="116"/>
              <w:ind w:left="354" w:right="404"/>
              <w:rPr>
                <w:rFonts w:ascii="Arial" w:hAnsi="Arial" w:cs="Arial"/>
                <w:sz w:val="20"/>
                <w:szCs w:val="20"/>
              </w:rPr>
            </w:pPr>
            <w:r w:rsidRPr="001E2F8F">
              <w:rPr>
                <w:rFonts w:ascii="Arial" w:hAnsi="Arial" w:cs="Arial"/>
                <w:sz w:val="20"/>
                <w:szCs w:val="20"/>
              </w:rPr>
              <w:t>12,458</w:t>
            </w:r>
          </w:p>
        </w:tc>
        <w:tc>
          <w:tcPr>
            <w:tcW w:w="2854" w:type="dxa"/>
          </w:tcPr>
          <w:p w:rsidR="001045B8" w:rsidRPr="001E2F8F" w:rsidRDefault="001045B8">
            <w:pPr>
              <w:pStyle w:val="TableParagraph"/>
              <w:spacing w:before="116"/>
              <w:ind w:left="609" w:right="656"/>
              <w:rPr>
                <w:rFonts w:ascii="Arial" w:hAnsi="Arial" w:cs="Arial"/>
                <w:b/>
                <w:sz w:val="20"/>
                <w:szCs w:val="20"/>
              </w:rPr>
            </w:pPr>
            <w:r w:rsidRPr="001E2F8F">
              <w:rPr>
                <w:rFonts w:ascii="Arial" w:hAnsi="Arial" w:cs="Arial"/>
                <w:b/>
                <w:sz w:val="20"/>
                <w:szCs w:val="20"/>
              </w:rPr>
              <w:t>-21.1%</w:t>
            </w:r>
          </w:p>
        </w:tc>
      </w:tr>
      <w:tr w:rsidR="001045B8" w:rsidRPr="001E2F8F">
        <w:trPr>
          <w:trHeight w:val="531"/>
        </w:trPr>
        <w:tc>
          <w:tcPr>
            <w:tcW w:w="2105" w:type="dxa"/>
          </w:tcPr>
          <w:p w:rsidR="001045B8" w:rsidRPr="001E2F8F" w:rsidRDefault="001045B8">
            <w:pPr>
              <w:pStyle w:val="TableParagraph"/>
              <w:ind w:left="71"/>
              <w:jc w:val="left"/>
              <w:rPr>
                <w:rFonts w:ascii="Arial" w:hAnsi="Arial" w:cs="Arial"/>
                <w:b/>
                <w:sz w:val="20"/>
                <w:szCs w:val="20"/>
              </w:rPr>
            </w:pPr>
            <w:r w:rsidRPr="001E2F8F">
              <w:rPr>
                <w:rFonts w:ascii="Arial" w:hAnsi="Arial" w:cs="Arial"/>
                <w:b/>
                <w:sz w:val="20"/>
                <w:szCs w:val="20"/>
              </w:rPr>
              <w:t>Brazil</w:t>
            </w:r>
          </w:p>
        </w:tc>
        <w:tc>
          <w:tcPr>
            <w:tcW w:w="1981" w:type="dxa"/>
          </w:tcPr>
          <w:p w:rsidR="001045B8" w:rsidRPr="001E2F8F" w:rsidRDefault="001045B8">
            <w:pPr>
              <w:pStyle w:val="TableParagraph"/>
              <w:ind w:right="450"/>
              <w:rPr>
                <w:rFonts w:ascii="Arial" w:hAnsi="Arial" w:cs="Arial"/>
                <w:b/>
                <w:sz w:val="20"/>
                <w:szCs w:val="20"/>
              </w:rPr>
            </w:pPr>
            <w:r w:rsidRPr="001E2F8F">
              <w:rPr>
                <w:rFonts w:ascii="Arial" w:hAnsi="Arial" w:cs="Arial"/>
                <w:b/>
                <w:sz w:val="20"/>
                <w:szCs w:val="20"/>
              </w:rPr>
              <w:t>6,680</w:t>
            </w:r>
          </w:p>
        </w:tc>
        <w:tc>
          <w:tcPr>
            <w:tcW w:w="1834" w:type="dxa"/>
          </w:tcPr>
          <w:p w:rsidR="001045B8" w:rsidRPr="001E2F8F" w:rsidRDefault="001045B8">
            <w:pPr>
              <w:pStyle w:val="TableParagraph"/>
              <w:ind w:left="354" w:right="401"/>
              <w:rPr>
                <w:rFonts w:ascii="Arial" w:hAnsi="Arial" w:cs="Arial"/>
                <w:sz w:val="20"/>
                <w:szCs w:val="20"/>
              </w:rPr>
            </w:pPr>
            <w:r w:rsidRPr="001E2F8F">
              <w:rPr>
                <w:rFonts w:ascii="Arial" w:hAnsi="Arial" w:cs="Arial"/>
                <w:sz w:val="20"/>
                <w:szCs w:val="20"/>
              </w:rPr>
              <w:t>8,269</w:t>
            </w:r>
          </w:p>
        </w:tc>
        <w:tc>
          <w:tcPr>
            <w:tcW w:w="2854" w:type="dxa"/>
          </w:tcPr>
          <w:p w:rsidR="001045B8" w:rsidRPr="001E2F8F" w:rsidRDefault="001045B8">
            <w:pPr>
              <w:pStyle w:val="TableParagraph"/>
              <w:ind w:left="609" w:right="656"/>
              <w:rPr>
                <w:rFonts w:ascii="Arial" w:hAnsi="Arial" w:cs="Arial"/>
                <w:b/>
                <w:sz w:val="20"/>
                <w:szCs w:val="20"/>
              </w:rPr>
            </w:pPr>
            <w:r w:rsidRPr="001E2F8F">
              <w:rPr>
                <w:rFonts w:ascii="Arial" w:hAnsi="Arial" w:cs="Arial"/>
                <w:b/>
                <w:sz w:val="20"/>
                <w:szCs w:val="20"/>
              </w:rPr>
              <w:t>-19.2%</w:t>
            </w:r>
          </w:p>
        </w:tc>
      </w:tr>
      <w:tr w:rsidR="001045B8" w:rsidRPr="001E2F8F">
        <w:trPr>
          <w:trHeight w:val="745"/>
        </w:trPr>
        <w:tc>
          <w:tcPr>
            <w:tcW w:w="2105" w:type="dxa"/>
          </w:tcPr>
          <w:p w:rsidR="001045B8" w:rsidRPr="001E2F8F" w:rsidRDefault="001045B8">
            <w:pPr>
              <w:pStyle w:val="TableParagraph"/>
              <w:spacing w:before="23" w:line="360" w:lineRule="exact"/>
              <w:ind w:left="71" w:right="71"/>
              <w:jc w:val="left"/>
              <w:rPr>
                <w:rFonts w:ascii="Arial" w:hAnsi="Arial" w:cs="Arial"/>
                <w:b/>
                <w:sz w:val="20"/>
                <w:szCs w:val="20"/>
              </w:rPr>
            </w:pPr>
            <w:r w:rsidRPr="001E2F8F">
              <w:rPr>
                <w:rFonts w:ascii="Arial" w:hAnsi="Arial" w:cs="Arial"/>
                <w:b/>
                <w:sz w:val="20"/>
                <w:szCs w:val="20"/>
              </w:rPr>
              <w:t>Chinese Mainland + Hong Kong</w:t>
            </w:r>
          </w:p>
        </w:tc>
        <w:tc>
          <w:tcPr>
            <w:tcW w:w="1981" w:type="dxa"/>
          </w:tcPr>
          <w:p w:rsidR="001045B8" w:rsidRPr="001E2F8F" w:rsidRDefault="001045B8">
            <w:pPr>
              <w:pStyle w:val="TableParagraph"/>
              <w:ind w:right="453"/>
              <w:rPr>
                <w:rFonts w:ascii="Arial" w:hAnsi="Arial" w:cs="Arial"/>
                <w:b/>
                <w:sz w:val="20"/>
                <w:szCs w:val="20"/>
              </w:rPr>
            </w:pPr>
            <w:r w:rsidRPr="001E2F8F">
              <w:rPr>
                <w:rFonts w:ascii="Arial" w:hAnsi="Arial" w:cs="Arial"/>
                <w:b/>
                <w:sz w:val="20"/>
                <w:szCs w:val="20"/>
              </w:rPr>
              <w:t>727,358</w:t>
            </w:r>
          </w:p>
        </w:tc>
        <w:tc>
          <w:tcPr>
            <w:tcW w:w="1834" w:type="dxa"/>
          </w:tcPr>
          <w:p w:rsidR="001045B8" w:rsidRPr="001E2F8F" w:rsidRDefault="001045B8">
            <w:pPr>
              <w:pStyle w:val="TableParagraph"/>
              <w:ind w:left="352" w:right="404"/>
              <w:rPr>
                <w:rFonts w:ascii="Arial" w:hAnsi="Arial" w:cs="Arial"/>
                <w:sz w:val="20"/>
                <w:szCs w:val="20"/>
              </w:rPr>
            </w:pPr>
            <w:r w:rsidRPr="001E2F8F">
              <w:rPr>
                <w:rFonts w:ascii="Arial" w:hAnsi="Arial" w:cs="Arial"/>
                <w:sz w:val="20"/>
                <w:szCs w:val="20"/>
              </w:rPr>
              <w:t>690,083</w:t>
            </w:r>
          </w:p>
        </w:tc>
        <w:tc>
          <w:tcPr>
            <w:tcW w:w="2854" w:type="dxa"/>
          </w:tcPr>
          <w:p w:rsidR="001045B8" w:rsidRPr="001E2F8F" w:rsidRDefault="001045B8">
            <w:pPr>
              <w:pStyle w:val="TableParagraph"/>
              <w:ind w:left="607" w:right="659"/>
              <w:rPr>
                <w:rFonts w:ascii="Arial" w:hAnsi="Arial" w:cs="Arial"/>
                <w:b/>
                <w:sz w:val="20"/>
                <w:szCs w:val="20"/>
              </w:rPr>
            </w:pPr>
            <w:r w:rsidRPr="001E2F8F">
              <w:rPr>
                <w:rFonts w:ascii="Arial" w:hAnsi="Arial" w:cs="Arial"/>
                <w:b/>
                <w:sz w:val="20"/>
                <w:szCs w:val="20"/>
              </w:rPr>
              <w:t>+5.4%</w:t>
            </w:r>
          </w:p>
        </w:tc>
      </w:tr>
    </w:tbl>
    <w:p w:rsidR="001045B8" w:rsidRPr="001E2F8F" w:rsidRDefault="001045B8">
      <w:pPr>
        <w:pStyle w:val="Corpsdetexte"/>
        <w:spacing w:before="12"/>
        <w:rPr>
          <w:rFonts w:ascii="Arial" w:hAnsi="Arial" w:cs="Arial"/>
        </w:rPr>
      </w:pPr>
    </w:p>
    <w:p w:rsidR="00EC7D82" w:rsidRPr="001E2F8F" w:rsidRDefault="00EC7D82" w:rsidP="00EC7D82">
      <w:pPr>
        <w:pStyle w:val="BodyAudi"/>
        <w:rPr>
          <w:rFonts w:cs="Arial"/>
          <w:szCs w:val="20"/>
        </w:rPr>
      </w:pPr>
    </w:p>
    <w:p w:rsidR="00B44FE6" w:rsidRPr="001E2F8F" w:rsidRDefault="00B44FE6" w:rsidP="00B44FE6">
      <w:pPr>
        <w:pStyle w:val="BodyAudi"/>
        <w:rPr>
          <w:rFonts w:cs="Arial"/>
          <w:szCs w:val="20"/>
        </w:rPr>
      </w:pPr>
    </w:p>
    <w:p w:rsidR="00B44FE6" w:rsidRDefault="00B44FE6" w:rsidP="00B44FE6">
      <w:pPr>
        <w:pStyle w:val="BodyAudi"/>
      </w:pPr>
      <w:r>
        <w:br w:type="page"/>
      </w:r>
    </w:p>
    <w:p w:rsidR="00B44FE6" w:rsidRDefault="00B44FE6" w:rsidP="00B44FE6">
      <w:pPr>
        <w:pStyle w:val="BodyAudi"/>
      </w:pPr>
    </w:p>
    <w:p w:rsidR="00E37A96" w:rsidRDefault="00E37A96" w:rsidP="00B44FE6">
      <w:pPr>
        <w:pStyle w:val="BodyAudi"/>
      </w:pPr>
    </w:p>
    <w:p w:rsidR="007470D0" w:rsidRDefault="00A27D90" w:rsidP="002B2268">
      <w:pPr>
        <w:pStyle w:val="Body"/>
        <w:jc w:val="both"/>
        <w:rPr>
          <w:sz w:val="18"/>
          <w:szCs w:val="18"/>
        </w:rPr>
      </w:pPr>
      <w:r>
        <w:rPr>
          <w:sz w:val="18"/>
          <w:szCs w:val="18"/>
        </w:rPr>
        <w:t>De Audi groep stelt wereldwijd ruim 90.000 personen tewerk, waaronder meer dan 2.500 in België. In 2019 verkocht het merk met de vier ringen wereldwijd ca. 1,845 miljoen nieuwe wagens, waarvan er 31.183 ingeschreven werden op de Belgische markt. In ons land bereikte Audi in 2019 een marktaandeel van 5,7%. Audi focust op de ontwikkeling van nieuwe producten en duurzame technologieën voor de mobiliteit van de toekomst. Van 2020 tot eind 2024 plant de onderneming een totale investering van 37 miljard euro in Onderzoek &amp; Ontwikkeling, waarvan ongeveer 12 miljard euro in elektrische mobiliteit.</w:t>
      </w:r>
    </w:p>
    <w:sectPr w:rsidR="007470D0" w:rsidSect="00B44FE6">
      <w:headerReference w:type="default" r:id="rId7"/>
      <w:headerReference w:type="first" r:id="rId8"/>
      <w:pgSz w:w="11906" w:h="16838"/>
      <w:pgMar w:top="2410" w:right="1440" w:bottom="2127"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6AE6" w:rsidRDefault="002B6AE6" w:rsidP="00B44FE6">
      <w:pPr>
        <w:spacing w:after="0" w:line="240" w:lineRule="auto"/>
      </w:pPr>
      <w:r>
        <w:separator/>
      </w:r>
    </w:p>
  </w:endnote>
  <w:endnote w:type="continuationSeparator" w:id="0">
    <w:p w:rsidR="002B6AE6" w:rsidRDefault="002B6AE6" w:rsidP="00B44F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udi Type">
    <w:panose1 w:val="020B0503040200000003"/>
    <w:charset w:val="00"/>
    <w:family w:val="swiss"/>
    <w:pitch w:val="variable"/>
    <w:sig w:usb0="A10002EF" w:usb1="500020FB"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6AE6" w:rsidRDefault="002B6AE6" w:rsidP="00B44FE6">
      <w:pPr>
        <w:spacing w:after="0" w:line="240" w:lineRule="auto"/>
      </w:pPr>
      <w:r>
        <w:separator/>
      </w:r>
    </w:p>
  </w:footnote>
  <w:footnote w:type="continuationSeparator" w:id="0">
    <w:p w:rsidR="002B6AE6" w:rsidRDefault="002B6AE6" w:rsidP="00B44F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FE6" w:rsidRDefault="00B44FE6">
    <w:pPr>
      <w:pStyle w:val="En-tte"/>
    </w:pPr>
    <w:r>
      <w:rPr>
        <w:noProof/>
        <w:lang w:val="en-US"/>
      </w:rPr>
      <w:drawing>
        <wp:anchor distT="0" distB="0" distL="114300" distR="114300" simplePos="0" relativeHeight="251659264" behindDoc="1" locked="0" layoutInCell="1" allowOverlap="1">
          <wp:simplePos x="914400" y="449580"/>
          <wp:positionH relativeFrom="page">
            <wp:align>center</wp:align>
          </wp:positionH>
          <wp:positionV relativeFrom="page">
            <wp:align>center</wp:align>
          </wp:positionV>
          <wp:extent cx="7563600" cy="10699200"/>
          <wp:effectExtent l="0" t="0" r="0" b="698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udi press_2.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FE6" w:rsidRDefault="00345342">
    <w:pPr>
      <w:pStyle w:val="En-tte"/>
    </w:pPr>
    <w:r>
      <w:rPr>
        <w:noProof/>
        <w:lang w:val="en-US"/>
      </w:rPr>
      <w:drawing>
        <wp:anchor distT="0" distB="0" distL="114300" distR="114300" simplePos="0" relativeHeight="251660288" behindDoc="1" locked="0" layoutInCell="1" allowOverlap="1">
          <wp:simplePos x="914400" y="449580"/>
          <wp:positionH relativeFrom="page">
            <wp:align>center</wp:align>
          </wp:positionH>
          <wp:positionV relativeFrom="page">
            <wp:align>top</wp:align>
          </wp:positionV>
          <wp:extent cx="7563600" cy="10699200"/>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udi press_1.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652D04"/>
    <w:multiLevelType w:val="hybridMultilevel"/>
    <w:tmpl w:val="FFAE3C42"/>
    <w:lvl w:ilvl="0" w:tplc="12A25456">
      <w:start w:val="28"/>
      <w:numFmt w:val="bullet"/>
      <w:lvlText w:val="-"/>
      <w:lvlJc w:val="left"/>
      <w:pPr>
        <w:ind w:left="720" w:hanging="360"/>
      </w:pPr>
      <w:rPr>
        <w:rFonts w:ascii="Audi Type" w:eastAsia="Audi Type" w:hAnsi="Audi Type" w:cs="Audi Type"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533B4AC4"/>
    <w:multiLevelType w:val="hybridMultilevel"/>
    <w:tmpl w:val="F4AC251C"/>
    <w:lvl w:ilvl="0" w:tplc="C352D24E">
      <w:start w:val="1"/>
      <w:numFmt w:val="bullet"/>
      <w:pStyle w:val="DeckAudi"/>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6AFB7F90"/>
    <w:multiLevelType w:val="hybridMultilevel"/>
    <w:tmpl w:val="3C3C1BE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AE6"/>
    <w:rsid w:val="001045B8"/>
    <w:rsid w:val="001E2F8F"/>
    <w:rsid w:val="002B2268"/>
    <w:rsid w:val="002B6AE6"/>
    <w:rsid w:val="00345342"/>
    <w:rsid w:val="00353CFE"/>
    <w:rsid w:val="00395773"/>
    <w:rsid w:val="004353BC"/>
    <w:rsid w:val="004B2DB8"/>
    <w:rsid w:val="0050773E"/>
    <w:rsid w:val="00672882"/>
    <w:rsid w:val="007470D0"/>
    <w:rsid w:val="0075455E"/>
    <w:rsid w:val="007F6FA4"/>
    <w:rsid w:val="00953F7A"/>
    <w:rsid w:val="00A27D90"/>
    <w:rsid w:val="00AF6A2A"/>
    <w:rsid w:val="00B41D53"/>
    <w:rsid w:val="00B44FE6"/>
    <w:rsid w:val="00CC72F7"/>
    <w:rsid w:val="00E37A96"/>
    <w:rsid w:val="00EC7D82"/>
    <w:rsid w:val="00ED0C3A"/>
    <w:rsid w:val="00F16B4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A19979F"/>
  <w15:chartTrackingRefBased/>
  <w15:docId w15:val="{F556B37C-FB86-4D11-8D4E-81431B6DD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BodyAudi">
    <w:name w:val="Body Audi"/>
    <w:basedOn w:val="Normal"/>
    <w:link w:val="BodyAudiChar"/>
    <w:qFormat/>
    <w:rsid w:val="00953F7A"/>
    <w:pPr>
      <w:ind w:right="1655"/>
    </w:pPr>
    <w:rPr>
      <w:rFonts w:ascii="Arial" w:hAnsi="Arial"/>
      <w:sz w:val="20"/>
    </w:rPr>
  </w:style>
  <w:style w:type="character" w:customStyle="1" w:styleId="BodyAudiChar">
    <w:name w:val="Body Audi Char"/>
    <w:basedOn w:val="Policepardfaut"/>
    <w:link w:val="BodyAudi"/>
    <w:rsid w:val="00953F7A"/>
    <w:rPr>
      <w:rFonts w:ascii="Arial" w:hAnsi="Arial"/>
      <w:sz w:val="20"/>
    </w:rPr>
  </w:style>
  <w:style w:type="paragraph" w:customStyle="1" w:styleId="DeckAudi">
    <w:name w:val="Deck Audi"/>
    <w:basedOn w:val="BodyAudi"/>
    <w:link w:val="DeckAudiChar"/>
    <w:qFormat/>
    <w:rsid w:val="00AF6A2A"/>
    <w:pPr>
      <w:numPr>
        <w:numId w:val="1"/>
      </w:numPr>
      <w:ind w:left="357" w:right="1656" w:hanging="357"/>
    </w:pPr>
    <w:rPr>
      <w:b/>
      <w:sz w:val="24"/>
    </w:rPr>
  </w:style>
  <w:style w:type="character" w:customStyle="1" w:styleId="DeckAudiChar">
    <w:name w:val="Deck Audi Char"/>
    <w:basedOn w:val="BodyAudiChar"/>
    <w:link w:val="DeckAudi"/>
    <w:rsid w:val="00AF6A2A"/>
    <w:rPr>
      <w:rFonts w:ascii="Arial" w:hAnsi="Arial"/>
      <w:b/>
      <w:sz w:val="24"/>
    </w:rPr>
  </w:style>
  <w:style w:type="paragraph" w:customStyle="1" w:styleId="HeadlineAudi">
    <w:name w:val="Headline Audi"/>
    <w:basedOn w:val="DeckAudi"/>
    <w:link w:val="HeadlineAudiChar"/>
    <w:qFormat/>
    <w:rsid w:val="00EC7D82"/>
    <w:pPr>
      <w:numPr>
        <w:numId w:val="0"/>
      </w:numPr>
    </w:pPr>
    <w:rPr>
      <w:sz w:val="28"/>
    </w:rPr>
  </w:style>
  <w:style w:type="character" w:customStyle="1" w:styleId="HeadlineAudiChar">
    <w:name w:val="Headline Audi Char"/>
    <w:basedOn w:val="DeckAudiChar"/>
    <w:link w:val="HeadlineAudi"/>
    <w:rsid w:val="00EC7D82"/>
    <w:rPr>
      <w:rFonts w:ascii="Arial" w:hAnsi="Arial"/>
      <w:b/>
      <w:sz w:val="28"/>
    </w:rPr>
  </w:style>
  <w:style w:type="paragraph" w:styleId="En-tte">
    <w:name w:val="header"/>
    <w:basedOn w:val="Normal"/>
    <w:link w:val="En-tteCar"/>
    <w:uiPriority w:val="99"/>
    <w:unhideWhenUsed/>
    <w:rsid w:val="00B44FE6"/>
    <w:pPr>
      <w:tabs>
        <w:tab w:val="center" w:pos="4513"/>
        <w:tab w:val="right" w:pos="9026"/>
      </w:tabs>
      <w:spacing w:after="0" w:line="240" w:lineRule="auto"/>
    </w:pPr>
  </w:style>
  <w:style w:type="character" w:customStyle="1" w:styleId="En-tteCar">
    <w:name w:val="En-tête Car"/>
    <w:basedOn w:val="Policepardfaut"/>
    <w:link w:val="En-tte"/>
    <w:uiPriority w:val="99"/>
    <w:rsid w:val="00B44FE6"/>
  </w:style>
  <w:style w:type="paragraph" w:styleId="Pieddepage">
    <w:name w:val="footer"/>
    <w:basedOn w:val="Normal"/>
    <w:link w:val="PieddepageCar"/>
    <w:uiPriority w:val="99"/>
    <w:unhideWhenUsed/>
    <w:rsid w:val="00B44FE6"/>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B44FE6"/>
  </w:style>
  <w:style w:type="paragraph" w:customStyle="1" w:styleId="Body">
    <w:name w:val="Body"/>
    <w:basedOn w:val="Normal"/>
    <w:uiPriority w:val="99"/>
    <w:rsid w:val="00E37A96"/>
    <w:pPr>
      <w:suppressAutoHyphens/>
      <w:autoSpaceDE w:val="0"/>
      <w:autoSpaceDN w:val="0"/>
      <w:adjustRightInd w:val="0"/>
      <w:spacing w:after="0" w:line="288" w:lineRule="auto"/>
      <w:textAlignment w:val="center"/>
    </w:pPr>
    <w:rPr>
      <w:rFonts w:ascii="Audi Type" w:hAnsi="Audi Type" w:cs="Audi Type"/>
      <w:color w:val="000000"/>
      <w:sz w:val="20"/>
      <w:szCs w:val="20"/>
      <w:lang w:val="nl-NL"/>
    </w:rPr>
  </w:style>
  <w:style w:type="paragraph" w:styleId="Corpsdetexte">
    <w:name w:val="Body Text"/>
    <w:basedOn w:val="Normal"/>
    <w:link w:val="CorpsdetexteCar"/>
    <w:uiPriority w:val="1"/>
    <w:qFormat/>
    <w:rsid w:val="001045B8"/>
    <w:pPr>
      <w:widowControl w:val="0"/>
      <w:autoSpaceDE w:val="0"/>
      <w:autoSpaceDN w:val="0"/>
      <w:spacing w:after="0" w:line="240" w:lineRule="auto"/>
    </w:pPr>
    <w:rPr>
      <w:rFonts w:ascii="Audi Type" w:eastAsia="Audi Type" w:hAnsi="Audi Type" w:cs="Audi Type"/>
      <w:sz w:val="20"/>
      <w:szCs w:val="20"/>
    </w:rPr>
  </w:style>
  <w:style w:type="character" w:customStyle="1" w:styleId="CorpsdetexteCar">
    <w:name w:val="Corps de texte Car"/>
    <w:basedOn w:val="Policepardfaut"/>
    <w:link w:val="Corpsdetexte"/>
    <w:uiPriority w:val="1"/>
    <w:rsid w:val="001045B8"/>
    <w:rPr>
      <w:rFonts w:ascii="Audi Type" w:eastAsia="Audi Type" w:hAnsi="Audi Type" w:cs="Audi Type"/>
      <w:sz w:val="20"/>
      <w:szCs w:val="20"/>
    </w:rPr>
  </w:style>
  <w:style w:type="paragraph" w:customStyle="1" w:styleId="TableParagraph">
    <w:name w:val="Table Paragraph"/>
    <w:basedOn w:val="Normal"/>
    <w:uiPriority w:val="1"/>
    <w:qFormat/>
    <w:rsid w:val="001045B8"/>
    <w:pPr>
      <w:widowControl w:val="0"/>
      <w:autoSpaceDE w:val="0"/>
      <w:autoSpaceDN w:val="0"/>
      <w:spacing w:before="115" w:after="0" w:line="240" w:lineRule="auto"/>
      <w:ind w:left="402"/>
      <w:jc w:val="center"/>
    </w:pPr>
    <w:rPr>
      <w:rFonts w:ascii="Audi Type" w:eastAsia="Audi Type" w:hAnsi="Audi Type" w:cs="Audi Type"/>
    </w:rPr>
  </w:style>
  <w:style w:type="paragraph" w:styleId="Paragraphedeliste">
    <w:name w:val="List Paragraph"/>
    <w:basedOn w:val="Normal"/>
    <w:uiPriority w:val="34"/>
    <w:qFormat/>
    <w:rsid w:val="001045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Audi\Lay-out\PressWord\AVR2020_PressWord_Audi_N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AVR2020_PressWord_Audi_NL</Template>
  <TotalTime>0</TotalTime>
  <Pages>4</Pages>
  <Words>839</Words>
  <Characters>4620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BOTSON Carole</dc:creator>
  <cp:keywords/>
  <dc:description/>
  <cp:lastModifiedBy>Petropoulos Elisa</cp:lastModifiedBy>
  <cp:revision>4</cp:revision>
  <dcterms:created xsi:type="dcterms:W3CDTF">2021-01-13T10:28:00Z</dcterms:created>
  <dcterms:modified xsi:type="dcterms:W3CDTF">2021-01-13T14:46:00Z</dcterms:modified>
</cp:coreProperties>
</file>