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40" w:lineRule="auto"/>
        <w:jc w:val="center"/>
        <w:rPr>
          <w:rFonts w:ascii="Open Sans" w:cs="Open Sans" w:eastAsia="Open Sans" w:hAnsi="Open Sans"/>
          <w:sz w:val="21"/>
          <w:szCs w:val="21"/>
        </w:rPr>
      </w:pPr>
      <w:r w:rsidDel="00000000" w:rsidR="00000000" w:rsidRPr="00000000">
        <w:rPr>
          <w:rFonts w:ascii="Open Sans" w:cs="Open Sans" w:eastAsia="Open Sans" w:hAnsi="Open Sans"/>
          <w:b w:val="1"/>
          <w:sz w:val="30"/>
          <w:szCs w:val="30"/>
          <w:rtl w:val="0"/>
        </w:rPr>
        <w:t xml:space="preserve">Predicciones y tendencias informáticas que conducirán al éxito empresarial en 2022</w:t>
      </w:r>
      <w:r w:rsidDel="00000000" w:rsidR="00000000" w:rsidRPr="00000000">
        <w:rPr>
          <w:rtl w:val="0"/>
        </w:rPr>
      </w:r>
    </w:p>
    <w:p w:rsidR="00000000" w:rsidDel="00000000" w:rsidP="00000000" w:rsidRDefault="00000000" w:rsidRPr="00000000" w14:paraId="00000002">
      <w:pPr>
        <w:spacing w:line="24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En 2022, podemos esperar que muchas empresas </w:t>
      </w:r>
      <w:r w:rsidDel="00000000" w:rsidR="00000000" w:rsidRPr="00000000">
        <w:rPr>
          <w:rFonts w:ascii="Open Sans" w:cs="Open Sans" w:eastAsia="Open Sans" w:hAnsi="Open Sans"/>
          <w:sz w:val="21"/>
          <w:szCs w:val="21"/>
          <w:rtl w:val="0"/>
        </w:rPr>
        <w:t xml:space="preserve">reevalúen</w:t>
      </w:r>
      <w:r w:rsidDel="00000000" w:rsidR="00000000" w:rsidRPr="00000000">
        <w:rPr>
          <w:rFonts w:ascii="Open Sans" w:cs="Open Sans" w:eastAsia="Open Sans" w:hAnsi="Open Sans"/>
          <w:sz w:val="21"/>
          <w:szCs w:val="21"/>
          <w:rtl w:val="0"/>
        </w:rPr>
        <w:t xml:space="preserve"> sus flujos de trabajo y consoliden su estrategia de digitalización para abrazar por completo un esquema híbrido que les permita seguir creciendo y adaptándose a cualquier escenario. Aquí varias tendencias de TI y predicciones para el año que viene por parte de </w:t>
      </w:r>
      <w:r w:rsidDel="00000000" w:rsidR="00000000" w:rsidRPr="00000000">
        <w:rPr>
          <w:rFonts w:ascii="Open Sans" w:cs="Open Sans" w:eastAsia="Open Sans" w:hAnsi="Open Sans"/>
          <w:b w:val="1"/>
          <w:sz w:val="21"/>
          <w:szCs w:val="21"/>
          <w:rtl w:val="0"/>
        </w:rPr>
        <w:t xml:space="preserve">Carlos Kamimura, director de alianzas en Latinoamérica para </w:t>
      </w:r>
      <w:hyperlink r:id="rId6">
        <w:r w:rsidDel="00000000" w:rsidR="00000000" w:rsidRPr="00000000">
          <w:rPr>
            <w:rFonts w:ascii="Open Sans" w:cs="Open Sans" w:eastAsia="Open Sans" w:hAnsi="Open Sans"/>
            <w:b w:val="1"/>
            <w:color w:val="1155cc"/>
            <w:sz w:val="21"/>
            <w:szCs w:val="21"/>
            <w:u w:val="single"/>
            <w:rtl w:val="0"/>
          </w:rPr>
          <w:t xml:space="preserve">monday.com</w:t>
        </w:r>
      </w:hyperlink>
      <w:r w:rsidDel="00000000" w:rsidR="00000000" w:rsidRPr="00000000">
        <w:rPr>
          <w:rFonts w:ascii="Open Sans" w:cs="Open Sans" w:eastAsia="Open Sans" w:hAnsi="Open Sans"/>
          <w:sz w:val="21"/>
          <w:szCs w:val="21"/>
          <w:rtl w:val="0"/>
        </w:rPr>
        <w:t xml:space="preserve">, el sistema operativo de trabajo (</w:t>
      </w:r>
      <w:r w:rsidDel="00000000" w:rsidR="00000000" w:rsidRPr="00000000">
        <w:rPr>
          <w:rFonts w:ascii="Open Sans" w:cs="Open Sans" w:eastAsia="Open Sans" w:hAnsi="Open Sans"/>
          <w:i w:val="1"/>
          <w:sz w:val="21"/>
          <w:szCs w:val="21"/>
          <w:rtl w:val="0"/>
        </w:rPr>
        <w:t xml:space="preserve">Work OS</w:t>
      </w:r>
      <w:r w:rsidDel="00000000" w:rsidR="00000000" w:rsidRPr="00000000">
        <w:rPr>
          <w:rFonts w:ascii="Open Sans" w:cs="Open Sans" w:eastAsia="Open Sans" w:hAnsi="Open Sans"/>
          <w:sz w:val="21"/>
          <w:szCs w:val="21"/>
          <w:rtl w:val="0"/>
        </w:rPr>
        <w:t xml:space="preserve">) que permite a organizaciones de cualquier tamaño crear las herramientas que necesitan para gestionar cada aspecto de su rutina.</w:t>
      </w:r>
    </w:p>
    <w:p w:rsidR="00000000" w:rsidDel="00000000" w:rsidP="00000000" w:rsidRDefault="00000000" w:rsidRPr="00000000" w14:paraId="00000003">
      <w:pPr>
        <w:spacing w:line="240" w:lineRule="auto"/>
        <w:ind w:left="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4">
      <w:pPr>
        <w:spacing w:line="240" w:lineRule="auto"/>
        <w:ind w:left="0" w:firstLine="0"/>
        <w:jc w:val="both"/>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La "empresa distribuida" se consolidará en un único sistema operativo de trabajo</w:t>
      </w:r>
      <w:r w:rsidDel="00000000" w:rsidR="00000000" w:rsidRPr="00000000">
        <w:rPr>
          <w:rFonts w:ascii="Open Sans" w:cs="Open Sans" w:eastAsia="Open Sans" w:hAnsi="Open Sans"/>
          <w:sz w:val="21"/>
          <w:szCs w:val="21"/>
          <w:rtl w:val="0"/>
        </w:rPr>
        <w:t xml:space="preserve">: El aumento del trabajo remoto e híbrido ha dado lugar a la adopción de un mayor número de herramientas de trabajo, desde plataformas de gestión de proyectos hasta apps de mensajería instantánea. </w:t>
      </w:r>
      <w:hyperlink r:id="rId7">
        <w:r w:rsidDel="00000000" w:rsidR="00000000" w:rsidRPr="00000000">
          <w:rPr>
            <w:rFonts w:ascii="Open Sans" w:cs="Open Sans" w:eastAsia="Open Sans" w:hAnsi="Open Sans"/>
            <w:color w:val="1155cc"/>
            <w:sz w:val="21"/>
            <w:szCs w:val="21"/>
            <w:u w:val="single"/>
            <w:rtl w:val="0"/>
          </w:rPr>
          <w:t xml:space="preserve">Gartner</w:t>
        </w:r>
      </w:hyperlink>
      <w:r w:rsidDel="00000000" w:rsidR="00000000" w:rsidRPr="00000000">
        <w:rPr>
          <w:rFonts w:ascii="Open Sans" w:cs="Open Sans" w:eastAsia="Open Sans" w:hAnsi="Open Sans"/>
          <w:sz w:val="21"/>
          <w:szCs w:val="21"/>
          <w:rtl w:val="0"/>
        </w:rPr>
        <w:t xml:space="preserve"> estima que el 47% de los trabajadores del conocimiento, como los ingenieros de software, trabajarán a distancia en 2022. Aunque todas estas herramientas son importantes, las empresas suelen utilizar software desconectado para diferentes equipos y departamentos, lo que da lugar a silos dentro de la organización. En este sentido, podemos esperar que las empresas integren diferentes las plataformas y aplicaciones utilizadas diariamente en un solo lugar a fin de establecer una </w:t>
      </w:r>
      <w:r w:rsidDel="00000000" w:rsidR="00000000" w:rsidRPr="00000000">
        <w:rPr>
          <w:rFonts w:ascii="Open Sans" w:cs="Open Sans" w:eastAsia="Open Sans" w:hAnsi="Open Sans"/>
          <w:b w:val="1"/>
          <w:sz w:val="21"/>
          <w:szCs w:val="21"/>
          <w:rtl w:val="0"/>
        </w:rPr>
        <w:t xml:space="preserve">única fuente de verdad</w:t>
      </w:r>
      <w:r w:rsidDel="00000000" w:rsidR="00000000" w:rsidRPr="00000000">
        <w:rPr>
          <w:rFonts w:ascii="Open Sans" w:cs="Open Sans" w:eastAsia="Open Sans" w:hAnsi="Open Sans"/>
          <w:sz w:val="21"/>
          <w:szCs w:val="21"/>
          <w:rtl w:val="0"/>
        </w:rPr>
        <w:t xml:space="preserve"> y ofrecer la información más importante a toda la organización, lo que desempeñará un papel esencial para gestionar todo tipo de datos y unificar equipos a distancia. </w:t>
      </w:r>
    </w:p>
    <w:p w:rsidR="00000000" w:rsidDel="00000000" w:rsidP="00000000" w:rsidRDefault="00000000" w:rsidRPr="00000000" w14:paraId="00000005">
      <w:pPr>
        <w:spacing w:line="240" w:lineRule="auto"/>
        <w:ind w:left="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6">
      <w:pPr>
        <w:spacing w:line="240" w:lineRule="auto"/>
        <w:ind w:left="0" w:firstLine="0"/>
        <w:jc w:val="both"/>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La adopción de software de baja codificación aumentará y </w:t>
      </w:r>
      <w:r w:rsidDel="00000000" w:rsidR="00000000" w:rsidRPr="00000000">
        <w:rPr>
          <w:rFonts w:ascii="Open Sans" w:cs="Open Sans" w:eastAsia="Open Sans" w:hAnsi="Open Sans"/>
          <w:b w:val="1"/>
          <w:sz w:val="21"/>
          <w:szCs w:val="21"/>
          <w:rtl w:val="0"/>
        </w:rPr>
        <w:t xml:space="preserve">democratizará</w:t>
      </w:r>
      <w:r w:rsidDel="00000000" w:rsidR="00000000" w:rsidRPr="00000000">
        <w:rPr>
          <w:rFonts w:ascii="Open Sans" w:cs="Open Sans" w:eastAsia="Open Sans" w:hAnsi="Open Sans"/>
          <w:b w:val="1"/>
          <w:sz w:val="21"/>
          <w:szCs w:val="21"/>
          <w:rtl w:val="0"/>
        </w:rPr>
        <w:t xml:space="preserve"> la digitalización en las empresas:</w:t>
      </w:r>
      <w:r w:rsidDel="00000000" w:rsidR="00000000" w:rsidRPr="00000000">
        <w:rPr>
          <w:rFonts w:ascii="Open Sans" w:cs="Open Sans" w:eastAsia="Open Sans" w:hAnsi="Open Sans"/>
          <w:sz w:val="21"/>
          <w:szCs w:val="21"/>
          <w:rtl w:val="0"/>
        </w:rPr>
        <w:t xml:space="preserve"> Podemos esperar ver más software de bajo código en las empresas, pues proporciona a los empleados una mayor sensación de libertad e independencia sin tener conocimientos previos de desarrollador. En lugar de ajustarse a herramientas rígidas creadas para cumplir con una función específica, el aumento de </w:t>
      </w:r>
      <w:r w:rsidDel="00000000" w:rsidR="00000000" w:rsidRPr="00000000">
        <w:rPr>
          <w:rFonts w:ascii="Open Sans" w:cs="Open Sans" w:eastAsia="Open Sans" w:hAnsi="Open Sans"/>
          <w:i w:val="1"/>
          <w:sz w:val="21"/>
          <w:szCs w:val="21"/>
          <w:rtl w:val="0"/>
        </w:rPr>
        <w:t xml:space="preserve">low-code/no-code</w:t>
      </w:r>
      <w:r w:rsidDel="00000000" w:rsidR="00000000" w:rsidRPr="00000000">
        <w:rPr>
          <w:rFonts w:ascii="Open Sans" w:cs="Open Sans" w:eastAsia="Open Sans" w:hAnsi="Open Sans"/>
          <w:sz w:val="21"/>
          <w:szCs w:val="21"/>
          <w:rtl w:val="0"/>
        </w:rPr>
        <w:t xml:space="preserve"> dará a los empleados la capacidad de construir soluciones adaptadas a su flujo de trabajo, </w:t>
      </w:r>
      <w:r w:rsidDel="00000000" w:rsidR="00000000" w:rsidRPr="00000000">
        <w:rPr>
          <w:rFonts w:ascii="Open Sans" w:cs="Open Sans" w:eastAsia="Open Sans" w:hAnsi="Open Sans"/>
          <w:b w:val="1"/>
          <w:sz w:val="21"/>
          <w:szCs w:val="21"/>
          <w:rtl w:val="0"/>
        </w:rPr>
        <w:t xml:space="preserve">acelerando así la transformación digital en todas las empresas</w:t>
      </w:r>
      <w:r w:rsidDel="00000000" w:rsidR="00000000" w:rsidRPr="00000000">
        <w:rPr>
          <w:rFonts w:ascii="Open Sans" w:cs="Open Sans" w:eastAsia="Open Sans" w:hAnsi="Open Sans"/>
          <w:sz w:val="21"/>
          <w:szCs w:val="21"/>
          <w:rtl w:val="0"/>
        </w:rPr>
        <w:t xml:space="preserve"> como ninguna otra herramienta. Se estima que para 2024, </w:t>
      </w:r>
      <w:hyperlink r:id="rId8">
        <w:r w:rsidDel="00000000" w:rsidR="00000000" w:rsidRPr="00000000">
          <w:rPr>
            <w:rFonts w:ascii="Open Sans" w:cs="Open Sans" w:eastAsia="Open Sans" w:hAnsi="Open Sans"/>
            <w:color w:val="1155cc"/>
            <w:sz w:val="21"/>
            <w:szCs w:val="21"/>
            <w:u w:val="single"/>
            <w:rtl w:val="0"/>
          </w:rPr>
          <w:t xml:space="preserve">más del 65% de las aplicaciones</w:t>
        </w:r>
      </w:hyperlink>
      <w:r w:rsidDel="00000000" w:rsidR="00000000" w:rsidRPr="00000000">
        <w:rPr>
          <w:rFonts w:ascii="Open Sans" w:cs="Open Sans" w:eastAsia="Open Sans" w:hAnsi="Open Sans"/>
          <w:sz w:val="21"/>
          <w:szCs w:val="21"/>
          <w:rtl w:val="0"/>
        </w:rPr>
        <w:t xml:space="preserve"> empresariales se desarrollarán de esta manera.</w:t>
      </w:r>
    </w:p>
    <w:p w:rsidR="00000000" w:rsidDel="00000000" w:rsidP="00000000" w:rsidRDefault="00000000" w:rsidRPr="00000000" w14:paraId="00000007">
      <w:pPr>
        <w:spacing w:line="240" w:lineRule="auto"/>
        <w:ind w:left="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8">
      <w:pPr>
        <w:spacing w:line="240" w:lineRule="auto"/>
        <w:ind w:left="0" w:firstLine="0"/>
        <w:jc w:val="both"/>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La </w:t>
      </w:r>
      <w:r w:rsidDel="00000000" w:rsidR="00000000" w:rsidRPr="00000000">
        <w:rPr>
          <w:rFonts w:ascii="Open Sans" w:cs="Open Sans" w:eastAsia="Open Sans" w:hAnsi="Open Sans"/>
          <w:b w:val="1"/>
          <w:sz w:val="21"/>
          <w:szCs w:val="21"/>
          <w:rtl w:val="0"/>
        </w:rPr>
        <w:t xml:space="preserve">hiperautomatización</w:t>
      </w:r>
      <w:r w:rsidDel="00000000" w:rsidR="00000000" w:rsidRPr="00000000">
        <w:rPr>
          <w:rFonts w:ascii="Open Sans" w:cs="Open Sans" w:eastAsia="Open Sans" w:hAnsi="Open Sans"/>
          <w:b w:val="1"/>
          <w:sz w:val="21"/>
          <w:szCs w:val="21"/>
          <w:rtl w:val="0"/>
        </w:rPr>
        <w:t xml:space="preserve"> proporcionará más tiempo para el trabajo de mayor impacto a los empleados y aumentará la productividad</w:t>
      </w:r>
      <w:r w:rsidDel="00000000" w:rsidR="00000000" w:rsidRPr="00000000">
        <w:rPr>
          <w:rFonts w:ascii="Open Sans" w:cs="Open Sans" w:eastAsia="Open Sans" w:hAnsi="Open Sans"/>
          <w:sz w:val="21"/>
          <w:szCs w:val="21"/>
          <w:rtl w:val="0"/>
        </w:rPr>
        <w:t xml:space="preserve">: La eliminación de las tareas manuales y el trabajo reiterativo, lo cual ahorra tiempo a los empleados para concentrarse en labores de mayor impacto, junto con la reducción de los costes operativos, ha hecho que la automatización sea </w:t>
      </w:r>
      <w:hyperlink r:id="rId9">
        <w:r w:rsidDel="00000000" w:rsidR="00000000" w:rsidRPr="00000000">
          <w:rPr>
            <w:rFonts w:ascii="Open Sans" w:cs="Open Sans" w:eastAsia="Open Sans" w:hAnsi="Open Sans"/>
            <w:color w:val="1155cc"/>
            <w:sz w:val="21"/>
            <w:szCs w:val="21"/>
            <w:u w:val="single"/>
            <w:rtl w:val="0"/>
          </w:rPr>
          <w:t xml:space="preserve">la principal prioridad empresarial</w:t>
        </w:r>
      </w:hyperlink>
      <w:r w:rsidDel="00000000" w:rsidR="00000000" w:rsidRPr="00000000">
        <w:rPr>
          <w:rFonts w:ascii="Open Sans" w:cs="Open Sans" w:eastAsia="Open Sans" w:hAnsi="Open Sans"/>
          <w:sz w:val="21"/>
          <w:szCs w:val="21"/>
          <w:rtl w:val="0"/>
        </w:rPr>
        <w:t xml:space="preserve"> en la actualidad. Por tanto, en 2022 </w:t>
      </w:r>
      <w:r w:rsidDel="00000000" w:rsidR="00000000" w:rsidRPr="00000000">
        <w:rPr>
          <w:rFonts w:ascii="Open Sans" w:cs="Open Sans" w:eastAsia="Open Sans" w:hAnsi="Open Sans"/>
          <w:b w:val="1"/>
          <w:sz w:val="21"/>
          <w:szCs w:val="21"/>
          <w:rtl w:val="0"/>
        </w:rPr>
        <w:t xml:space="preserve">veremos cada vez más empresas "</w:t>
      </w:r>
      <w:r w:rsidDel="00000000" w:rsidR="00000000" w:rsidRPr="00000000">
        <w:rPr>
          <w:rFonts w:ascii="Open Sans" w:cs="Open Sans" w:eastAsia="Open Sans" w:hAnsi="Open Sans"/>
          <w:b w:val="1"/>
          <w:sz w:val="21"/>
          <w:szCs w:val="21"/>
          <w:rtl w:val="0"/>
        </w:rPr>
        <w:t xml:space="preserve">hiperautomatizando</w:t>
      </w:r>
      <w:r w:rsidDel="00000000" w:rsidR="00000000" w:rsidRPr="00000000">
        <w:rPr>
          <w:rFonts w:ascii="Open Sans" w:cs="Open Sans" w:eastAsia="Open Sans" w:hAnsi="Open Sans"/>
          <w:b w:val="1"/>
          <w:sz w:val="21"/>
          <w:szCs w:val="21"/>
          <w:rtl w:val="0"/>
        </w:rPr>
        <w:t xml:space="preserve">" sus procesos y tareas rutinarias</w:t>
      </w:r>
      <w:r w:rsidDel="00000000" w:rsidR="00000000" w:rsidRPr="00000000">
        <w:rPr>
          <w:rFonts w:ascii="Open Sans" w:cs="Open Sans" w:eastAsia="Open Sans" w:hAnsi="Open Sans"/>
          <w:sz w:val="21"/>
          <w:szCs w:val="21"/>
          <w:rtl w:val="0"/>
        </w:rPr>
        <w:t xml:space="preserve">, como el envío de correos electrónicos y la carga de datos, para aumentar su productividad y rentabilidad. Se calcula que la automatización </w:t>
      </w:r>
      <w:hyperlink r:id="rId10">
        <w:r w:rsidDel="00000000" w:rsidR="00000000" w:rsidRPr="00000000">
          <w:rPr>
            <w:rFonts w:ascii="Open Sans" w:cs="Open Sans" w:eastAsia="Open Sans" w:hAnsi="Open Sans"/>
            <w:color w:val="1155cc"/>
            <w:sz w:val="21"/>
            <w:szCs w:val="21"/>
            <w:u w:val="single"/>
            <w:rtl w:val="0"/>
          </w:rPr>
          <w:t xml:space="preserve">reduce los gastos operativos</w:t>
        </w:r>
      </w:hyperlink>
      <w:r w:rsidDel="00000000" w:rsidR="00000000" w:rsidRPr="00000000">
        <w:rPr>
          <w:rFonts w:ascii="Open Sans" w:cs="Open Sans" w:eastAsia="Open Sans" w:hAnsi="Open Sans"/>
          <w:sz w:val="21"/>
          <w:szCs w:val="21"/>
          <w:rtl w:val="0"/>
        </w:rPr>
        <w:t xml:space="preserve"> hasta en un 80%. </w:t>
      </w:r>
    </w:p>
    <w:p w:rsidR="00000000" w:rsidDel="00000000" w:rsidP="00000000" w:rsidRDefault="00000000" w:rsidRPr="00000000" w14:paraId="00000009">
      <w:pPr>
        <w:spacing w:line="240" w:lineRule="auto"/>
        <w:ind w:left="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A">
      <w:pPr>
        <w:spacing w:line="240" w:lineRule="auto"/>
        <w:ind w:left="0" w:firstLine="0"/>
        <w:jc w:val="both"/>
        <w:rPr>
          <w:rFonts w:ascii="Open Sans" w:cs="Open Sans" w:eastAsia="Open Sans" w:hAnsi="Open Sans"/>
          <w:sz w:val="21"/>
          <w:szCs w:val="21"/>
        </w:rPr>
      </w:pPr>
      <w:r w:rsidDel="00000000" w:rsidR="00000000" w:rsidRPr="00000000">
        <w:rPr>
          <w:rFonts w:ascii="Open Sans" w:cs="Open Sans" w:eastAsia="Open Sans" w:hAnsi="Open Sans"/>
          <w:b w:val="1"/>
          <w:sz w:val="21"/>
          <w:szCs w:val="21"/>
          <w:rtl w:val="0"/>
        </w:rPr>
        <w:t xml:space="preserve">Los tejidos de datos aportarán transparencia y seguridad a las organizaciones: </w:t>
      </w:r>
      <w:r w:rsidDel="00000000" w:rsidR="00000000" w:rsidRPr="00000000">
        <w:rPr>
          <w:rFonts w:ascii="Open Sans" w:cs="Open Sans" w:eastAsia="Open Sans" w:hAnsi="Open Sans"/>
          <w:sz w:val="21"/>
          <w:szCs w:val="21"/>
          <w:rtl w:val="0"/>
        </w:rPr>
        <w:t xml:space="preserve">El trabajo a distancia ha demostrado que la información generada por las empresas es mayor que nunca, lo que ha provocado la aparición de los indeseables silos de información atrapada (datos a los que un departamento tiene acceso, pero otros no). Los tejidos de datos –</w:t>
      </w:r>
      <w:r w:rsidDel="00000000" w:rsidR="00000000" w:rsidRPr="00000000">
        <w:rPr>
          <w:rFonts w:ascii="Open Sans" w:cs="Open Sans" w:eastAsia="Open Sans" w:hAnsi="Open Sans"/>
          <w:b w:val="1"/>
          <w:sz w:val="21"/>
          <w:szCs w:val="21"/>
          <w:rtl w:val="0"/>
        </w:rPr>
        <w:t xml:space="preserve">redes que conectan datos procesables de múltiples ubicaciones, tipos y fuentes con métodos de acceso</w:t>
      </w:r>
      <w:r w:rsidDel="00000000" w:rsidR="00000000" w:rsidRPr="00000000">
        <w:rPr>
          <w:rFonts w:ascii="Open Sans" w:cs="Open Sans" w:eastAsia="Open Sans" w:hAnsi="Open Sans"/>
          <w:sz w:val="21"/>
          <w:szCs w:val="21"/>
          <w:rtl w:val="0"/>
        </w:rPr>
        <w:t xml:space="preserve">– proporcionarán una integración flexible de la información entre los empleados y permitirán a las empresas acceder a todos los datos y conocimientos necesarios para trabajar con eficacia, promoviendo así la transparencia, la eficiencia y la confianza dentro de la organización.</w:t>
      </w:r>
    </w:p>
    <w:p w:rsidR="00000000" w:rsidDel="00000000" w:rsidP="00000000" w:rsidRDefault="00000000" w:rsidRPr="00000000" w14:paraId="0000000B">
      <w:pPr>
        <w:spacing w:line="240" w:lineRule="auto"/>
        <w:ind w:left="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sz w:val="21"/>
          <w:szCs w:val="21"/>
        </w:rPr>
      </w:pPr>
      <w:r w:rsidDel="00000000" w:rsidR="00000000" w:rsidRPr="00000000">
        <w:rPr>
          <w:rFonts w:ascii="Open Sans" w:cs="Open Sans" w:eastAsia="Open Sans" w:hAnsi="Open Sans"/>
          <w:sz w:val="21"/>
          <w:szCs w:val="21"/>
          <w:rtl w:val="0"/>
        </w:rPr>
        <w:t xml:space="preserve">La realidad de COVID19 ha configurado la nueva forma en la que trabajamos y ha agilizado los flujos de trabajo remotos e híbridos, llevando a las empresas mexicanas y de todo el mundo a adoptar herramientas y procesos digitales a fin de tener éxito. Para este nuevo año podemos esperar que el trabajo híbrido se mantenga, que las empresas sigan implementando herramientas más robustas, así como su consolidación digital para crecer con éxito en el 2022.</w:t>
      </w:r>
    </w:p>
    <w:p w:rsidR="00000000" w:rsidDel="00000000" w:rsidP="00000000" w:rsidRDefault="00000000" w:rsidRPr="00000000" w14:paraId="0000000D">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E">
      <w:pPr>
        <w:spacing w:line="240" w:lineRule="auto"/>
        <w:ind w:left="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0F">
      <w:pPr>
        <w:spacing w:line="240" w:lineRule="auto"/>
        <w:ind w:left="0" w:firstLine="0"/>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1">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sz w:val="21"/>
          <w:szCs w:val="21"/>
        </w:rPr>
      </w:pPr>
      <w:r w:rsidDel="00000000" w:rsidR="00000000" w:rsidRPr="00000000">
        <w:rPr>
          <w:rtl w:val="0"/>
        </w:rPr>
      </w:r>
    </w:p>
    <w:p w:rsidR="00000000" w:rsidDel="00000000" w:rsidP="00000000" w:rsidRDefault="00000000" w:rsidRPr="00000000" w14:paraId="00000013">
      <w:pPr>
        <w:jc w:val="left"/>
        <w:rPr>
          <w:rFonts w:ascii="Open Sans" w:cs="Open Sans" w:eastAsia="Open Sans" w:hAnsi="Open Sans"/>
          <w:sz w:val="21"/>
          <w:szCs w:val="21"/>
        </w:rPr>
      </w:pPr>
      <w:r w:rsidDel="00000000" w:rsidR="00000000" w:rsidRPr="00000000">
        <w:rPr>
          <w:rtl w:val="0"/>
        </w:rPr>
      </w:r>
    </w:p>
    <w:sectPr>
      <w:headerReference r:id="rId11" w:type="default"/>
      <w:headerReference r:id="rId12" w:type="first"/>
      <w:headerReference r:id="rId13" w:type="even"/>
      <w:footerReference r:id="rId14" w:type="first"/>
      <w:footerReference r:id="rId15"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114300" distT="114300" distL="114300" distR="114300">
          <wp:extent cx="2957513" cy="53525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57513" cy="53525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center"/>
      <w:rPr/>
    </w:pPr>
    <w:r w:rsidDel="00000000" w:rsidR="00000000" w:rsidRPr="00000000">
      <w:rPr/>
      <w:drawing>
        <wp:inline distB="114300" distT="114300" distL="114300" distR="114300">
          <wp:extent cx="2957513" cy="5352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957513" cy="53525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softco.com/blog/why-you-need-to-automate-in-2022/"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ckinsey.com/business-functions/mckinsey-digital/our-insights/the-top-trends-in-tech"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monday.com/" TargetMode="External"/><Relationship Id="rId7" Type="http://schemas.openxmlformats.org/officeDocument/2006/relationships/hyperlink" Target="https://www.gartner.com/en/newsroom/press-releases/2021-10-18-gartner-identifies-three-key-focus-areas-for-cios-to-drive-value" TargetMode="External"/><Relationship Id="rId8" Type="http://schemas.openxmlformats.org/officeDocument/2006/relationships/hyperlink" Target="https://www.salesforce.com/ap/blog/2021/06/accelerating-digital-transformation-with-rapid-app-development-in-low-code-environment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