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10 puntos que no sabías sobre los productos libres de humo y su regulación en el país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tecnología de las alternativas de consumo de tabaco y nicotina elimina la combustión y por tanto el humo, que es donde se encuentran las sustancias nocivas por el acto de fumar.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a 11 de abril de 2022.- </w:t>
      </w:r>
      <w:r w:rsidDel="00000000" w:rsidR="00000000" w:rsidRPr="00000000">
        <w:rPr>
          <w:rFonts w:ascii="Arial" w:cs="Arial" w:eastAsia="Arial" w:hAnsi="Arial"/>
          <w:sz w:val="22"/>
          <w:szCs w:val="22"/>
          <w:rtl w:val="0"/>
        </w:rPr>
        <w:t xml:space="preserve"> Actualmente existe mucha información sobre las alternativas al cigarro y cuya principal característica es que son productos libres de humo. Para entender su funcionamiento, así como su situación actual en el país, te presentamos 10 hechos relevantes sobre su uso y cómo contribuirían a lograr un futuro libre de humo.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Debido a la ausencia de combustión los productos sin humo (vapeadores, cigarros electrónicos y tabaco calentado) son menos dañinos que los cigarros.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lo afirma PMI, lo han concluido distintas autoridades sanitarias, entre otras, </w:t>
      </w:r>
      <w:hyperlink r:id="rId8">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Public Health England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agencia de salud pública de Inglaterra, el </w:t>
      </w:r>
      <w:hyperlink r:id="rId9">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Royal College of Physicians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colegio de médicos de Reino Unido, la </w:t>
      </w:r>
      <w:hyperlink r:id="rId10">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Food &amp; Drug Administration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(FDA) de Estados Unidos y el </w:t>
      </w:r>
      <w:hyperlink r:id="rId11">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Ministerio de Salud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Nueva Zelanda.</w:t>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 bien la nicotina no es inocua, no es responsable de las enfermedades comúnmente asociadas al fumar</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principal daño proviene del humo, por lo que al eliminarse la combustión se reduce la exposición a sustancias nocivas y, por lo tanto, el daño. En algunos p</w:t>
      </w:r>
      <w:r w:rsidDel="00000000" w:rsidR="00000000" w:rsidRPr="00000000">
        <w:rPr>
          <w:rFonts w:ascii="Arial" w:cs="Arial" w:eastAsia="Arial" w:hAnsi="Arial"/>
          <w:sz w:val="22"/>
          <w:szCs w:val="22"/>
          <w:rtl w:val="0"/>
        </w:rPr>
        <w:t xml:space="preserve">aí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 de hecho, las autoridades han permitido que el etiquetado reconozca esta reducción de daño.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México está rezagado en la reducción de daños asociados al consumo de tabaco.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Unión Europea, Estados Unidos, Nueva Zelanda, Japón, y otros países, han reconocido que los productos sin humo representan menores daños para los fumadores adultos y, en ese sentido, los han incorporado como una herramienta en su política pública.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reducción del daño no es un enfoque exclusivo de la industria tabacalera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producto del desarrollo tecnológico. La tecnología libre de humo es el equivalente en la industria del tabaco al automóvil eléctrico en el sector automotriz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bebidas sin azúcar para la industria refresquera, los productos sin sodio y bajos en calorías para la </w:t>
      </w:r>
      <w:r w:rsidDel="00000000" w:rsidR="00000000" w:rsidRPr="00000000">
        <w:rPr>
          <w:rFonts w:ascii="Arial" w:cs="Arial" w:eastAsia="Arial" w:hAnsi="Arial"/>
          <w:sz w:val="22"/>
          <w:szCs w:val="22"/>
          <w:rtl w:val="0"/>
        </w:rPr>
        <w:t xml:space="preserve">alimentación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principal producto libre de humo de Philip Morris es IQOS.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dispositivo que, en lugar de quemar, calienta el tabaco. IQOS está disponible en 71 países y cuenta con 20 millones de usuarios en el mundo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de ellos más de 70% ha dejado por completo el cigarro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Estados Unidos, la FDA reconoció que IQOS puede beneficiar a la salud pública.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julio de 2020, y nuevamente en </w:t>
      </w:r>
      <w:hyperlink r:id="rId1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marzo de 2022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FDA autorizó la comercialización de IQOS con base en extensas investigaciones. La máxima autoridad sanitaria de este país concluyó que el uso del dispositivo reduce significativamente la exposición a químicos tóxicos del humo de cigarro. Esto marca un hito en la historia de la industria tabacalera.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regulación protege a los menores de edad.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países donde se han regulado los productos libres de humo, los jóvenes representan menos de 1% de los consumidores diarios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Véase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Japón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Reino Unido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Estados Unidos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México, ante la falta de regulación, existen máquinas expendedoras de productos de vapeo al alcance de menores de edad</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regulación protege a los consumidores adultos; la prohibición fomenta la ilegalidad.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no ser productos libres de riesgo, el acceso, comercialización, manufactura y promoción de los productos alternativos al cigarro deben ser regulados. La prohibición genera un mercado negro sin supervisión sanitaria que deja desprotegido al consumidor.</w:t>
      </w: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Congreso quiere regular los productos sin humo.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Hoy en día,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fumadores no tienen alternativas reguladas para sustituir al cigarro. Sin embargo, Diputados y Senadores han mostrado un creciente interés por legislar en la materia, conjuntamente pueden regular íntegramente estos productos con base en evidencia científica, protegiendo tanto a menores de edad como a consumidores.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Según los últimos datos oficiales, en 2017 había </w:t>
      </w:r>
      <w:hyperlink r:id="rId16">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15 millones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 fumadores adultos en el país, quiénes tienen derecho a tomar decisiones informadas sobre el consumo de productos menos dañinos que el cigarro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Philip Morris México seguirá promoviendo el diálogo, porque estamos convencidos que, con información y regulación, México podría convertirse en el primer país de América Latina libre de humo.</w:t>
      </w:r>
    </w:p>
    <w:p w:rsidR="00000000" w:rsidDel="00000000" w:rsidP="00000000" w:rsidRDefault="00000000" w:rsidRPr="00000000" w14:paraId="0000001B">
      <w:pPr>
        <w:tabs>
          <w:tab w:val="left" w:pos="6408"/>
        </w:tabs>
        <w:spacing w:line="264" w:lineRule="auto"/>
        <w:jc w:val="both"/>
        <w:rPr>
          <w:rFonts w:ascii="Arial" w:cs="Arial" w:eastAsia="Arial" w:hAnsi="Arial"/>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tabs>
          <w:tab w:val="left" w:pos="6408"/>
        </w:tabs>
        <w:spacing w:line="264"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1D">
      <w:pPr>
        <w:tabs>
          <w:tab w:val="left" w:pos="6408"/>
        </w:tabs>
        <w:spacing w:line="264"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tabs>
          <w:tab w:val="left" w:pos="6408"/>
        </w:tabs>
        <w:spacing w:line="276" w:lineRule="auto"/>
        <w:jc w:val="both"/>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sz w:val="17"/>
          <w:szCs w:val="17"/>
          <w:rtl w:val="0"/>
        </w:rPr>
        <w:t xml:space="preserve">Acerca de Philip Morris International (PMI)</w:t>
      </w:r>
    </w:p>
    <w:p w:rsidR="00000000" w:rsidDel="00000000" w:rsidP="00000000" w:rsidRDefault="00000000" w:rsidRPr="00000000" w14:paraId="0000001F">
      <w:pPr>
        <w:tabs>
          <w:tab w:val="left" w:pos="6408"/>
        </w:tabs>
        <w:spacing w:line="276" w:lineRule="auto"/>
        <w:jc w:val="both"/>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0">
      <w:pPr>
        <w:tabs>
          <w:tab w:val="left" w:pos="6408"/>
        </w:tabs>
        <w:spacing w:line="276" w:lineRule="auto"/>
        <w:jc w:val="both"/>
        <w:rPr>
          <w:rFonts w:ascii="Helvetica Neue" w:cs="Helvetica Neue" w:eastAsia="Helvetica Neue" w:hAnsi="Helvetica Neue"/>
          <w:sz w:val="15"/>
          <w:szCs w:val="15"/>
        </w:rPr>
      </w:pPr>
      <w:r w:rsidDel="00000000" w:rsidR="00000000" w:rsidRPr="00000000">
        <w:rPr>
          <w:rFonts w:ascii="Helvetica Neue" w:cs="Helvetica Neue" w:eastAsia="Helvetica Neue" w:hAnsi="Helvetica Neue"/>
          <w:sz w:val="15"/>
          <w:szCs w:val="15"/>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21">
      <w:pPr>
        <w:tabs>
          <w:tab w:val="left" w:pos="6408"/>
        </w:tabs>
        <w:spacing w:line="276" w:lineRule="auto"/>
        <w:jc w:val="both"/>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2">
      <w:pPr>
        <w:tabs>
          <w:tab w:val="left" w:pos="6408"/>
        </w:tabs>
        <w:spacing w:line="276" w:lineRule="auto"/>
        <w:jc w:val="both"/>
        <w:rPr>
          <w:rFonts w:ascii="Helvetica Neue" w:cs="Helvetica Neue" w:eastAsia="Helvetica Neue" w:hAnsi="Helvetica Neue"/>
          <w:sz w:val="15"/>
          <w:szCs w:val="15"/>
        </w:rPr>
      </w:pPr>
      <w:r w:rsidDel="00000000" w:rsidR="00000000" w:rsidRPr="00000000">
        <w:rPr>
          <w:rFonts w:ascii="Helvetica Neue" w:cs="Helvetica Neue" w:eastAsia="Helvetica Neue" w:hAnsi="Helvetica Neue"/>
          <w:sz w:val="15"/>
          <w:szCs w:val="15"/>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30 de septiembre de 2020, PMI estima que aproximadamente 11,7 millones de fumadores adultos en todo el mundo ya han dejado de fumar y han cambiado al producto que calienta y no quema de PMI, disponible para la venta en 61 mercados en ciudades clave o a nivel nacional, bajo la marca IQOS. Para obtener más información, visite</w:t>
      </w:r>
      <w:hyperlink r:id="rId17">
        <w:r w:rsidDel="00000000" w:rsidR="00000000" w:rsidRPr="00000000">
          <w:rPr>
            <w:rFonts w:ascii="Helvetica Neue" w:cs="Helvetica Neue" w:eastAsia="Helvetica Neue" w:hAnsi="Helvetica Neue"/>
            <w:sz w:val="15"/>
            <w:szCs w:val="15"/>
            <w:rtl w:val="0"/>
          </w:rPr>
          <w:t xml:space="preserve"> </w:t>
        </w:r>
      </w:hyperlink>
      <w:hyperlink r:id="rId18">
        <w:r w:rsidDel="00000000" w:rsidR="00000000" w:rsidRPr="00000000">
          <w:rPr>
            <w:rFonts w:ascii="Helvetica Neue" w:cs="Helvetica Neue" w:eastAsia="Helvetica Neue" w:hAnsi="Helvetica Neue"/>
            <w:color w:val="103cc0"/>
            <w:sz w:val="15"/>
            <w:szCs w:val="15"/>
            <w:u w:val="single"/>
            <w:rtl w:val="0"/>
          </w:rPr>
          <w:t xml:space="preserve">www.pmi.com</w:t>
        </w:r>
      </w:hyperlink>
      <w:r w:rsidDel="00000000" w:rsidR="00000000" w:rsidRPr="00000000">
        <w:rPr>
          <w:rFonts w:ascii="Helvetica Neue" w:cs="Helvetica Neue" w:eastAsia="Helvetica Neue" w:hAnsi="Helvetica Neue"/>
          <w:sz w:val="15"/>
          <w:szCs w:val="15"/>
          <w:rtl w:val="0"/>
        </w:rPr>
        <w:t xml:space="preserve"> y</w:t>
      </w:r>
      <w:hyperlink r:id="rId19">
        <w:r w:rsidDel="00000000" w:rsidR="00000000" w:rsidRPr="00000000">
          <w:rPr>
            <w:rFonts w:ascii="Helvetica Neue" w:cs="Helvetica Neue" w:eastAsia="Helvetica Neue" w:hAnsi="Helvetica Neue"/>
            <w:sz w:val="15"/>
            <w:szCs w:val="15"/>
            <w:rtl w:val="0"/>
          </w:rPr>
          <w:t xml:space="preserve"> </w:t>
        </w:r>
      </w:hyperlink>
      <w:hyperlink r:id="rId20">
        <w:r w:rsidDel="00000000" w:rsidR="00000000" w:rsidRPr="00000000">
          <w:rPr>
            <w:rFonts w:ascii="Helvetica Neue" w:cs="Helvetica Neue" w:eastAsia="Helvetica Neue" w:hAnsi="Helvetica Neue"/>
            <w:color w:val="103cc0"/>
            <w:sz w:val="15"/>
            <w:szCs w:val="15"/>
            <w:u w:val="single"/>
            <w:rtl w:val="0"/>
          </w:rPr>
          <w:t xml:space="preserve">www.pmiscience.com</w:t>
        </w:r>
      </w:hyperlink>
      <w:r w:rsidDel="00000000" w:rsidR="00000000" w:rsidRPr="00000000">
        <w:rPr>
          <w:rFonts w:ascii="Helvetica Neue" w:cs="Helvetica Neue" w:eastAsia="Helvetica Neue" w:hAnsi="Helvetica Neue"/>
          <w:sz w:val="15"/>
          <w:szCs w:val="15"/>
          <w:rtl w:val="0"/>
        </w:rPr>
        <w:t xml:space="preserve">.</w:t>
      </w:r>
    </w:p>
    <w:p w:rsidR="00000000" w:rsidDel="00000000" w:rsidP="00000000" w:rsidRDefault="00000000" w:rsidRPr="00000000" w14:paraId="00000023">
      <w:pPr>
        <w:tabs>
          <w:tab w:val="left" w:pos="6408"/>
        </w:tabs>
        <w:spacing w:line="276" w:lineRule="auto"/>
        <w:jc w:val="both"/>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4">
      <w:pPr>
        <w:tabs>
          <w:tab w:val="left" w:pos="6408"/>
        </w:tabs>
        <w:spacing w:line="276" w:lineRule="auto"/>
        <w:jc w:val="both"/>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sz w:val="17"/>
          <w:szCs w:val="17"/>
          <w:rtl w:val="0"/>
        </w:rPr>
        <w:t xml:space="preserve">Contacto de prensa:</w:t>
      </w:r>
    </w:p>
    <w:p w:rsidR="00000000" w:rsidDel="00000000" w:rsidP="00000000" w:rsidRDefault="00000000" w:rsidRPr="00000000" w14:paraId="00000025">
      <w:pPr>
        <w:tabs>
          <w:tab w:val="left" w:pos="6408"/>
        </w:tabs>
        <w:spacing w:line="276" w:lineRule="auto"/>
        <w:jc w:val="both"/>
        <w:rPr>
          <w:rFonts w:ascii="Helvetica Neue" w:cs="Helvetica Neue" w:eastAsia="Helvetica Neue" w:hAnsi="Helvetica Neue"/>
          <w:sz w:val="17"/>
          <w:szCs w:val="17"/>
        </w:rPr>
      </w:pPr>
      <w:r w:rsidDel="00000000" w:rsidR="00000000" w:rsidRPr="00000000">
        <w:rPr>
          <w:rtl w:val="0"/>
        </w:rPr>
      </w:r>
    </w:p>
    <w:p w:rsidR="00000000" w:rsidDel="00000000" w:rsidP="00000000" w:rsidRDefault="00000000" w:rsidRPr="00000000" w14:paraId="00000026">
      <w:pPr>
        <w:tabs>
          <w:tab w:val="left" w:pos="6408"/>
        </w:tabs>
        <w:spacing w:line="276" w:lineRule="auto"/>
        <w:jc w:val="both"/>
        <w:rPr>
          <w:rFonts w:ascii="Helvetica Neue" w:cs="Helvetica Neue" w:eastAsia="Helvetica Neue" w:hAnsi="Helvetica Neue"/>
          <w:sz w:val="17"/>
          <w:szCs w:val="17"/>
        </w:rPr>
      </w:pPr>
      <w:hyperlink r:id="rId21">
        <w:r w:rsidDel="00000000" w:rsidR="00000000" w:rsidRPr="00000000">
          <w:rPr>
            <w:color w:val="0000ee"/>
            <w:u w:val="single"/>
            <w:shd w:fill="auto" w:val="clear"/>
            <w:rtl w:val="0"/>
          </w:rPr>
          <w:t xml:space="preserve">Ameyalli Sampedro Ortíz</w:t>
        </w:r>
      </w:hyperlink>
      <w:r w:rsidDel="00000000" w:rsidR="00000000" w:rsidRPr="00000000">
        <w:rPr>
          <w:rtl w:val="0"/>
        </w:rPr>
      </w:r>
    </w:p>
    <w:p w:rsidR="00000000" w:rsidDel="00000000" w:rsidP="00000000" w:rsidRDefault="00000000" w:rsidRPr="00000000" w14:paraId="00000027">
      <w:pPr>
        <w:tabs>
          <w:tab w:val="left" w:pos="6408"/>
        </w:tabs>
        <w:spacing w:line="276" w:lineRule="auto"/>
        <w:jc w:val="both"/>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another</w:t>
        <w:tab/>
        <w:tab/>
        <w:tab/>
        <w:tab/>
        <w:tab/>
        <w:tab/>
      </w:r>
    </w:p>
    <w:p w:rsidR="00000000" w:rsidDel="00000000" w:rsidP="00000000" w:rsidRDefault="00000000" w:rsidRPr="00000000" w14:paraId="00000028">
      <w:pPr>
        <w:tabs>
          <w:tab w:val="left" w:pos="6408"/>
        </w:tabs>
        <w:spacing w:line="276" w:lineRule="auto"/>
        <w:jc w:val="both"/>
        <w:rPr>
          <w:rFonts w:ascii="Helvetica Neue" w:cs="Helvetica Neue" w:eastAsia="Helvetica Neue" w:hAnsi="Helvetica Neue"/>
          <w:color w:val="1155cc"/>
          <w:sz w:val="17"/>
          <w:szCs w:val="17"/>
          <w:u w:val="single"/>
        </w:rPr>
      </w:pPr>
      <w:r w:rsidDel="00000000" w:rsidR="00000000" w:rsidRPr="00000000">
        <w:rPr>
          <w:rFonts w:ascii="Helvetica Neue" w:cs="Helvetica Neue" w:eastAsia="Helvetica Neue" w:hAnsi="Helvetica Neue"/>
          <w:color w:val="1155cc"/>
          <w:sz w:val="17"/>
          <w:szCs w:val="17"/>
          <w:u w:val="single"/>
          <w:rtl w:val="0"/>
        </w:rPr>
        <w:t xml:space="preserve">ameyalli.sampedro@another.co</w:t>
      </w:r>
    </w:p>
    <w:p w:rsidR="00000000" w:rsidDel="00000000" w:rsidP="00000000" w:rsidRDefault="00000000" w:rsidRPr="00000000" w14:paraId="00000029">
      <w:pPr>
        <w:tabs>
          <w:tab w:val="left" w:pos="6408"/>
        </w:tabs>
        <w:spacing w:line="276" w:lineRule="auto"/>
        <w:jc w:val="both"/>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55 2365 9465</w:t>
        <w:tab/>
      </w:r>
    </w:p>
    <w:p w:rsidR="00000000" w:rsidDel="00000000" w:rsidP="00000000" w:rsidRDefault="00000000" w:rsidRPr="00000000" w14:paraId="0000002A">
      <w:pPr>
        <w:tabs>
          <w:tab w:val="left" w:pos="6408"/>
        </w:tabs>
        <w:spacing w:line="264" w:lineRule="auto"/>
        <w:jc w:val="both"/>
        <w:rPr>
          <w:rFonts w:ascii="Arial" w:cs="Arial" w:eastAsia="Arial" w:hAnsi="Arial"/>
          <w:b w:val="1"/>
          <w:sz w:val="22"/>
          <w:szCs w:val="22"/>
        </w:rPr>
      </w:pPr>
      <w:r w:rsidDel="00000000" w:rsidR="00000000" w:rsidRPr="00000000">
        <w:rPr>
          <w:rtl w:val="0"/>
        </w:rPr>
      </w:r>
    </w:p>
    <w:sectPr>
      <w:headerReference r:id="rId22" w:type="default"/>
      <w:footerReference r:id="rId23" w:type="default"/>
      <w:footerReference r:id="rId24" w:type="even"/>
      <w:pgSz w:h="15840" w:w="12240" w:orient="portrait"/>
      <w:pgMar w:bottom="1418" w:top="1418"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Gottlieb S, Zeller M. A., </w:t>
      </w:r>
      <w:hyperlink r:id="rId1">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Nicotine-Focused Framework for Public Health</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 Engl J Med. 2017;377(12):1111-111.</w:t>
      </w:r>
    </w:p>
  </w:footnote>
  <w:footnote w:id="1">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Philip Morris International Inc, </w:t>
      </w:r>
      <w:hyperlink r:id="rId2">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Annual Meeting of Shareholders and Proxy Statement,</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mayo 2022.</w:t>
      </w:r>
    </w:p>
  </w:footnote>
  <w:footnote w:id="2">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Philip Morris International Inc, </w:t>
      </w:r>
      <w:hyperlink r:id="rId3">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Presents at the 2022 Consumer Analyst Group of New York (CAGNY) Virtual Conference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febrero 2022.</w:t>
      </w:r>
    </w:p>
  </w:footnote>
  <w:footnote w:id="3">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Milenio, </w:t>
      </w:r>
      <w:hyperlink r:id="rId4">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En CdMx, organización alerta sobre máquinas expendedoras de vaporizadores</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septiembre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2172665" cy="9744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72665" cy="9744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0"/>
      </w:rPr>
    </w:lvl>
    <w:lvl w:ilvl="1">
      <w:start w:val="1"/>
      <w:numFmt w:val="lowerRoman"/>
      <w:lvlText w:val="%2."/>
      <w:lvlJc w:val="righ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ambria" w:cs="Cambria" w:eastAsia="Cambria" w:hAnsi="Cambria"/>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jc w:val="both"/>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27BB5"/>
    <w:pPr>
      <w:spacing w:after="0" w:line="240" w:lineRule="auto"/>
    </w:pPr>
    <w:rPr>
      <w:rFonts w:ascii="Times New Roman" w:cs="Times New Roman" w:eastAsia="Times New Roman" w:hAnsi="Times New Roman"/>
      <w:sz w:val="24"/>
      <w:szCs w:val="24"/>
      <w:lang w:eastAsia="es-ES_tradnl" w:val="es-MX"/>
    </w:rPr>
  </w:style>
  <w:style w:type="paragraph" w:styleId="Heading1">
    <w:name w:val="heading 1"/>
    <w:basedOn w:val="NoSpacing"/>
    <w:next w:val="Normal"/>
    <w:link w:val="Heading1Char"/>
    <w:uiPriority w:val="9"/>
    <w:qFormat w:val="1"/>
    <w:rsid w:val="00474DC2"/>
    <w:pPr>
      <w:keepNext w:val="1"/>
      <w:keepLines w:val="1"/>
      <w:outlineLvl w:val="0"/>
    </w:pPr>
    <w:rPr>
      <w:rFonts w:cstheme="majorBidi" w:eastAsiaTheme="majorEastAsia"/>
      <w:b w:val="1"/>
      <w:szCs w:val="32"/>
    </w:rPr>
  </w:style>
  <w:style w:type="paragraph" w:styleId="Heading2">
    <w:name w:val="heading 2"/>
    <w:basedOn w:val="Normal"/>
    <w:next w:val="Normal"/>
    <w:link w:val="Heading2Char"/>
    <w:uiPriority w:val="9"/>
    <w:semiHidden w:val="1"/>
    <w:unhideWhenUsed w:val="1"/>
    <w:qFormat w:val="1"/>
    <w:rsid w:val="00474DC2"/>
    <w:pPr>
      <w:keepNext w:val="1"/>
      <w:keepLines w:val="1"/>
      <w:jc w:val="both"/>
      <w:outlineLvl w:val="1"/>
    </w:pPr>
    <w:rPr>
      <w:rFonts w:cstheme="majorBidi" w:eastAsiaTheme="majorEastAsia"/>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87974"/>
    <w:pPr>
      <w:spacing w:after="0" w:line="240" w:lineRule="auto"/>
      <w:jc w:val="both"/>
    </w:pPr>
    <w:rPr>
      <w:rFonts w:ascii="Cambria" w:hAnsi="Cambria"/>
    </w:rPr>
  </w:style>
  <w:style w:type="paragraph" w:styleId="NotaalPie" w:customStyle="1">
    <w:name w:val="Nota al Pie"/>
    <w:basedOn w:val="FootnoteText"/>
    <w:link w:val="NotaalPieCar"/>
    <w:qFormat w:val="1"/>
    <w:rsid w:val="007B3F11"/>
    <w:pPr>
      <w:jc w:val="both"/>
    </w:pPr>
    <w:rPr>
      <w:lang w:val="en-US"/>
    </w:rPr>
  </w:style>
  <w:style w:type="character" w:styleId="NotaalPieCar" w:customStyle="1">
    <w:name w:val="Nota al Pie Car"/>
    <w:basedOn w:val="FootnoteTextChar"/>
    <w:link w:val="NotaalPie"/>
    <w:rsid w:val="007B3F11"/>
    <w:rPr>
      <w:rFonts w:ascii="Cambria" w:hAnsi="Cambria"/>
      <w:sz w:val="20"/>
      <w:szCs w:val="20"/>
      <w:lang w:val="en-US"/>
    </w:rPr>
  </w:style>
  <w:style w:type="paragraph" w:styleId="FootnoteText">
    <w:name w:val="footnote text"/>
    <w:basedOn w:val="Normal"/>
    <w:link w:val="FootnoteTextChar"/>
    <w:uiPriority w:val="99"/>
    <w:semiHidden w:val="1"/>
    <w:unhideWhenUsed w:val="1"/>
    <w:rsid w:val="00174D0C"/>
    <w:rPr>
      <w:sz w:val="20"/>
      <w:szCs w:val="20"/>
    </w:rPr>
  </w:style>
  <w:style w:type="character" w:styleId="FootnoteTextChar" w:customStyle="1">
    <w:name w:val="Footnote Text Char"/>
    <w:basedOn w:val="DefaultParagraphFont"/>
    <w:link w:val="FootnoteText"/>
    <w:uiPriority w:val="99"/>
    <w:semiHidden w:val="1"/>
    <w:rsid w:val="00174D0C"/>
    <w:rPr>
      <w:sz w:val="20"/>
      <w:szCs w:val="20"/>
    </w:rPr>
  </w:style>
  <w:style w:type="character" w:styleId="Heading2Char" w:customStyle="1">
    <w:name w:val="Heading 2 Char"/>
    <w:basedOn w:val="DefaultParagraphFont"/>
    <w:link w:val="Heading2"/>
    <w:uiPriority w:val="9"/>
    <w:semiHidden w:val="1"/>
    <w:rsid w:val="00474DC2"/>
    <w:rPr>
      <w:rFonts w:ascii="Cambria" w:hAnsi="Cambria" w:cstheme="majorBidi" w:eastAsiaTheme="majorEastAsia"/>
      <w:szCs w:val="26"/>
    </w:rPr>
  </w:style>
  <w:style w:type="character" w:styleId="Heading1Char" w:customStyle="1">
    <w:name w:val="Heading 1 Char"/>
    <w:basedOn w:val="DefaultParagraphFont"/>
    <w:link w:val="Heading1"/>
    <w:uiPriority w:val="9"/>
    <w:rsid w:val="00474DC2"/>
    <w:rPr>
      <w:rFonts w:ascii="Cambria" w:hAnsi="Cambria" w:cstheme="majorBidi" w:eastAsiaTheme="majorEastAsia"/>
      <w:b w:val="1"/>
      <w:szCs w:val="32"/>
    </w:rPr>
  </w:style>
  <w:style w:type="character" w:styleId="CommentReference">
    <w:name w:val="annotation reference"/>
    <w:basedOn w:val="DefaultParagraphFont"/>
    <w:uiPriority w:val="99"/>
    <w:semiHidden w:val="1"/>
    <w:unhideWhenUsed w:val="1"/>
    <w:rsid w:val="008C5F5D"/>
    <w:rPr>
      <w:sz w:val="16"/>
      <w:szCs w:val="16"/>
    </w:rPr>
  </w:style>
  <w:style w:type="paragraph" w:styleId="CommentText">
    <w:name w:val="annotation text"/>
    <w:basedOn w:val="Normal"/>
    <w:link w:val="CommentTextChar"/>
    <w:uiPriority w:val="99"/>
    <w:semiHidden w:val="1"/>
    <w:unhideWhenUsed w:val="1"/>
    <w:rsid w:val="008C5F5D"/>
    <w:rPr>
      <w:sz w:val="20"/>
      <w:szCs w:val="20"/>
    </w:rPr>
  </w:style>
  <w:style w:type="character" w:styleId="CommentTextChar" w:customStyle="1">
    <w:name w:val="Comment Text Char"/>
    <w:basedOn w:val="DefaultParagraphFont"/>
    <w:link w:val="CommentText"/>
    <w:uiPriority w:val="99"/>
    <w:semiHidden w:val="1"/>
    <w:rsid w:val="008C5F5D"/>
    <w:rPr>
      <w:rFonts w:ascii="Cambria" w:hAnsi="Cambria"/>
      <w:sz w:val="20"/>
      <w:szCs w:val="20"/>
    </w:rPr>
  </w:style>
  <w:style w:type="paragraph" w:styleId="CommentSubject">
    <w:name w:val="annotation subject"/>
    <w:basedOn w:val="CommentText"/>
    <w:next w:val="CommentText"/>
    <w:link w:val="CommentSubjectChar"/>
    <w:uiPriority w:val="99"/>
    <w:semiHidden w:val="1"/>
    <w:unhideWhenUsed w:val="1"/>
    <w:rsid w:val="008C5F5D"/>
    <w:rPr>
      <w:b w:val="1"/>
      <w:bCs w:val="1"/>
    </w:rPr>
  </w:style>
  <w:style w:type="character" w:styleId="CommentSubjectChar" w:customStyle="1">
    <w:name w:val="Comment Subject Char"/>
    <w:basedOn w:val="CommentTextChar"/>
    <w:link w:val="CommentSubject"/>
    <w:uiPriority w:val="99"/>
    <w:semiHidden w:val="1"/>
    <w:rsid w:val="008C5F5D"/>
    <w:rPr>
      <w:rFonts w:ascii="Cambria" w:hAnsi="Cambria"/>
      <w:b w:val="1"/>
      <w:bCs w:val="1"/>
      <w:sz w:val="20"/>
      <w:szCs w:val="20"/>
    </w:rPr>
  </w:style>
  <w:style w:type="paragraph" w:styleId="BalloonText">
    <w:name w:val="Balloon Text"/>
    <w:basedOn w:val="Normal"/>
    <w:link w:val="BalloonTextChar"/>
    <w:uiPriority w:val="99"/>
    <w:semiHidden w:val="1"/>
    <w:unhideWhenUsed w:val="1"/>
    <w:rsid w:val="008C5F5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C5F5D"/>
    <w:rPr>
      <w:rFonts w:ascii="Segoe UI" w:cs="Segoe UI" w:hAnsi="Segoe UI"/>
      <w:sz w:val="18"/>
      <w:szCs w:val="18"/>
    </w:rPr>
  </w:style>
  <w:style w:type="paragraph" w:styleId="ListParagraph">
    <w:name w:val="List Paragraph"/>
    <w:basedOn w:val="Normal"/>
    <w:uiPriority w:val="34"/>
    <w:qFormat w:val="1"/>
    <w:rsid w:val="00C27BB5"/>
    <w:pPr>
      <w:ind w:left="720"/>
      <w:contextualSpacing w:val="1"/>
    </w:pPr>
  </w:style>
  <w:style w:type="paragraph" w:styleId="Footer">
    <w:name w:val="footer"/>
    <w:basedOn w:val="Normal"/>
    <w:link w:val="FooterChar"/>
    <w:uiPriority w:val="99"/>
    <w:unhideWhenUsed w:val="1"/>
    <w:rsid w:val="00C27BB5"/>
    <w:pPr>
      <w:tabs>
        <w:tab w:val="center" w:pos="4419"/>
        <w:tab w:val="right" w:pos="8838"/>
      </w:tabs>
    </w:pPr>
  </w:style>
  <w:style w:type="character" w:styleId="FooterChar" w:customStyle="1">
    <w:name w:val="Footer Char"/>
    <w:basedOn w:val="DefaultParagraphFont"/>
    <w:link w:val="Footer"/>
    <w:uiPriority w:val="99"/>
    <w:rsid w:val="00C27BB5"/>
    <w:rPr>
      <w:rFonts w:ascii="Times New Roman" w:cs="Times New Roman" w:eastAsia="Times New Roman" w:hAnsi="Times New Roman"/>
      <w:sz w:val="24"/>
      <w:szCs w:val="24"/>
      <w:lang w:eastAsia="es-ES_tradnl" w:val="es-MX"/>
    </w:rPr>
  </w:style>
  <w:style w:type="character" w:styleId="PageNumber">
    <w:name w:val="page number"/>
    <w:basedOn w:val="DefaultParagraphFont"/>
    <w:uiPriority w:val="99"/>
    <w:semiHidden w:val="1"/>
    <w:unhideWhenUsed w:val="1"/>
    <w:rsid w:val="00C27BB5"/>
  </w:style>
  <w:style w:type="paragraph" w:styleId="Revision">
    <w:name w:val="Revision"/>
    <w:hidden w:val="1"/>
    <w:uiPriority w:val="99"/>
    <w:semiHidden w:val="1"/>
    <w:rsid w:val="005258A5"/>
    <w:pPr>
      <w:spacing w:after="0" w:line="240" w:lineRule="auto"/>
    </w:pPr>
    <w:rPr>
      <w:rFonts w:ascii="Times New Roman" w:cs="Times New Roman" w:eastAsia="Times New Roman" w:hAnsi="Times New Roman"/>
      <w:sz w:val="24"/>
      <w:szCs w:val="24"/>
      <w:lang w:eastAsia="es-ES_tradnl" w:val="es-MX"/>
    </w:rPr>
  </w:style>
  <w:style w:type="character" w:styleId="Ninguno" w:customStyle="1">
    <w:name w:val="Ninguno"/>
    <w:rsid w:val="008724D3"/>
  </w:style>
  <w:style w:type="paragraph" w:styleId="Body" w:customStyle="1">
    <w:name w:val="Body"/>
    <w:rsid w:val="008724D3"/>
    <w:pPr>
      <w:pBdr>
        <w:top w:space="0" w:sz="0" w:val="nil"/>
        <w:left w:space="0" w:sz="0" w:val="nil"/>
        <w:bottom w:space="0" w:sz="0" w:val="nil"/>
        <w:right w:space="0" w:sz="0" w:val="nil"/>
        <w:between w:space="0" w:sz="0" w:val="nil"/>
        <w:bar w:space="0" w:sz="0" w:val="nil"/>
      </w:pBdr>
      <w:spacing w:after="0" w:line="240" w:lineRule="auto"/>
    </w:pPr>
    <w:rPr>
      <w:rFonts w:ascii="Calibri" w:cs="Arial Unicode MS" w:eastAsia="Arial Unicode MS" w:hAnsi="Calibri"/>
      <w:color w:val="000000"/>
      <w:sz w:val="24"/>
      <w:szCs w:val="24"/>
      <w:u w:color="000000"/>
      <w:bdr w:space="0" w:sz="0" w:val="nil"/>
      <w:lang w:val="es-ES_tradnl"/>
      <w14:textOutline w14:cap="flat" w14:cmpd="sng" w14:w="12700" w14:algn="ctr">
        <w14:noFill/>
        <w14:prstDash w14:val="solid"/>
        <w14:miter w14:lim="400000"/>
      </w14:textOutline>
    </w:rPr>
  </w:style>
  <w:style w:type="character" w:styleId="Hyperlink">
    <w:name w:val="Hyperlink"/>
    <w:basedOn w:val="DefaultParagraphFont"/>
    <w:uiPriority w:val="99"/>
    <w:unhideWhenUsed w:val="1"/>
    <w:rsid w:val="00B36885"/>
    <w:rPr>
      <w:color w:val="0563c1" w:themeColor="hyperlink"/>
      <w:u w:val="single"/>
    </w:rPr>
  </w:style>
  <w:style w:type="character" w:styleId="UnresolvedMention">
    <w:name w:val="Unresolved Mention"/>
    <w:basedOn w:val="DefaultParagraphFont"/>
    <w:uiPriority w:val="99"/>
    <w:semiHidden w:val="1"/>
    <w:unhideWhenUsed w:val="1"/>
    <w:rsid w:val="00B36885"/>
    <w:rPr>
      <w:color w:val="605e5c"/>
      <w:shd w:color="auto" w:fill="e1dfdd" w:val="clear"/>
    </w:rPr>
  </w:style>
  <w:style w:type="character" w:styleId="FootnoteReference">
    <w:name w:val="footnote reference"/>
    <w:basedOn w:val="DefaultParagraphFont"/>
    <w:uiPriority w:val="99"/>
    <w:semiHidden w:val="1"/>
    <w:unhideWhenUsed w:val="1"/>
    <w:rsid w:val="002B2A57"/>
    <w:rPr>
      <w:vertAlign w:val="superscript"/>
    </w:rPr>
  </w:style>
  <w:style w:type="character" w:styleId="FollowedHyperlink">
    <w:name w:val="FollowedHyperlink"/>
    <w:basedOn w:val="DefaultParagraphFont"/>
    <w:uiPriority w:val="99"/>
    <w:semiHidden w:val="1"/>
    <w:unhideWhenUsed w:val="1"/>
    <w:rsid w:val="00F837A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pmiscience.com" TargetMode="External"/><Relationship Id="rId11" Type="http://schemas.openxmlformats.org/officeDocument/2006/relationships/hyperlink" Target="https://www.health.govt.nz/our-work/preventative-health-wellness/tobacco-control/vaping-smokefree-environments-and-regulated-products/position-statement-vaping" TargetMode="External"/><Relationship Id="rId22" Type="http://schemas.openxmlformats.org/officeDocument/2006/relationships/header" Target="header1.xml"/><Relationship Id="rId10" Type="http://schemas.openxmlformats.org/officeDocument/2006/relationships/hyperlink" Target="https://www.fda.gov/tobacco-products/ctp-newsroom/fda-authorizes-reduced-exposure-claim-iqos-3-system-holder-and-charger" TargetMode="External"/><Relationship Id="rId21" Type="http://schemas.openxmlformats.org/officeDocument/2006/relationships/hyperlink" Target="mailto:ameyalli.sampedro@another.co" TargetMode="External"/><Relationship Id="rId13" Type="http://schemas.openxmlformats.org/officeDocument/2006/relationships/hyperlink" Target="https://www.mhlw.go.jp/content/10900000/000687163.pdf" TargetMode="External"/><Relationship Id="rId24" Type="http://schemas.openxmlformats.org/officeDocument/2006/relationships/footer" Target="footer2.xml"/><Relationship Id="rId12" Type="http://schemas.openxmlformats.org/officeDocument/2006/relationships/hyperlink" Target="https://www.fda.gov/tobacco-products/ctp-newsroom/fda-authorizes-reduced-exposure-claim-iqos-3-system-holder-and-charger"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cplondon.ac.uk/projects/outputs/nicotine-without-smoke-tobacco-harm-reduction" TargetMode="External"/><Relationship Id="rId15" Type="http://schemas.openxmlformats.org/officeDocument/2006/relationships/hyperlink" Target="https://www.qeios.com/read/745076" TargetMode="External"/><Relationship Id="rId14" Type="http://schemas.openxmlformats.org/officeDocument/2006/relationships/hyperlink" Target="https://www.gov.uk/government/publications/vaping-in-england-evidence-update-february-2021/vaping-in-england-2021-evidence-update-summary#effect-of-vaping-on-smoking-cessation-and-reduction" TargetMode="External"/><Relationship Id="rId17" Type="http://schemas.openxmlformats.org/officeDocument/2006/relationships/hyperlink" Target="http://www.pmi.com" TargetMode="External"/><Relationship Id="rId16" Type="http://schemas.openxmlformats.org/officeDocument/2006/relationships/hyperlink" Target="https://www.gob.mx/salud%7Cconadic/acciones-y-programas/encuesta-nacional-de-consumo-de-drogas-alcohol-y-tabaco-encodat-2016-2017-136758" TargetMode="External"/><Relationship Id="rId5" Type="http://schemas.openxmlformats.org/officeDocument/2006/relationships/numbering" Target="numbering.xml"/><Relationship Id="rId19" Type="http://schemas.openxmlformats.org/officeDocument/2006/relationships/hyperlink" Target="http://www.pmiscience.com" TargetMode="External"/><Relationship Id="rId6" Type="http://schemas.openxmlformats.org/officeDocument/2006/relationships/styles" Target="styles.xml"/><Relationship Id="rId18" Type="http://schemas.openxmlformats.org/officeDocument/2006/relationships/hyperlink" Target="http://www.pmi.com" TargetMode="External"/><Relationship Id="rId7" Type="http://schemas.openxmlformats.org/officeDocument/2006/relationships/customXml" Target="../customXML/item1.xml"/><Relationship Id="rId8" Type="http://schemas.openxmlformats.org/officeDocument/2006/relationships/hyperlink" Target="https://www.gov.uk/government/collections/e-cigarettes-and-vaping-policy-regulation-and-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28813211/" TargetMode="External"/><Relationship Id="rId2" Type="http://schemas.openxmlformats.org/officeDocument/2006/relationships/hyperlink" Target="https://www.pmi.com/investor-relations/press-releases-and-events/2022-annual-meeting" TargetMode="External"/><Relationship Id="rId3" Type="http://schemas.openxmlformats.org/officeDocument/2006/relationships/hyperlink" Target="https://philipmorrisinternational.gcs-web.com/static-files/7615442f-8ef0-45a4-8f87-4137d6ef6a36" TargetMode="External"/><Relationship Id="rId4" Type="http://schemas.openxmlformats.org/officeDocument/2006/relationships/hyperlink" Target="https://www.milenio.com/politica/cdmx-alertan-sobre-maquinas-expendedoras-de-vaporiz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XW2+wUE0sHk6vkzxIEFJ4i3eA==">AMUW2mVBWvzrDce+hvkC8ctHidHt3uiwG+wtduiMeUz1rpNuNWQLgpz7xboGXLxnqnV3famEFjyeDyb0K5jZIVEtp8Xr711sPwhttCaFfmyHLD1TlNNcfjtHiGUd2HvPoaxxEsezZjnC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2022-04-01T16:11:00Z</dcterms:created>
</cp:coreProperties>
</file>