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668648" w14:textId="1DDD699C" w:rsidR="00ED12B5" w:rsidRDefault="00ED12B5" w:rsidP="00547D31"/>
    <w:p w14:paraId="7CB76E7C" w14:textId="77777777" w:rsidR="00FF359A" w:rsidRDefault="00FF359A" w:rsidP="00547D31"/>
    <w:p w14:paraId="55962F5E" w14:textId="6824CD50" w:rsidR="00FF359A" w:rsidRPr="00FF359A" w:rsidRDefault="00E82F20" w:rsidP="00547D31">
      <w:pPr>
        <w:spacing w:before="100" w:beforeAutospacing="1" w:after="100" w:afterAutospacing="1"/>
        <w:outlineLvl w:val="0"/>
        <w:rPr>
          <w:rFonts w:ascii="Arial" w:eastAsia="Times New Roman" w:hAnsi="Arial" w:cs="Arial"/>
          <w:sz w:val="24"/>
          <w:lang w:val="en-US" w:eastAsia="nl-NL"/>
        </w:rPr>
      </w:pPr>
      <w:r>
        <w:rPr>
          <w:rFonts w:ascii="Arial" w:eastAsia="Times New Roman" w:hAnsi="Arial" w:cs="Arial"/>
          <w:b/>
          <w:sz w:val="24"/>
          <w:lang w:val="en-US" w:eastAsia="nl-NL"/>
        </w:rPr>
        <w:t>Annexe</w:t>
      </w:r>
      <w:r>
        <w:rPr>
          <w:rFonts w:ascii="Arial" w:eastAsia="Times New Roman" w:hAnsi="Arial" w:cs="Arial"/>
          <w:b/>
          <w:sz w:val="24"/>
          <w:lang w:val="en-US" w:eastAsia="nl-NL"/>
        </w:rPr>
        <w:br/>
      </w:r>
      <w:r w:rsidR="00FF359A" w:rsidRPr="00FF359A">
        <w:rPr>
          <w:rFonts w:ascii="Arial" w:eastAsia="Times New Roman" w:hAnsi="Arial" w:cs="Arial"/>
          <w:b/>
          <w:sz w:val="24"/>
          <w:lang w:val="en-US" w:eastAsia="nl-NL"/>
        </w:rPr>
        <w:t xml:space="preserve">Essai Éric Suchère </w:t>
      </w:r>
      <w:r w:rsidR="00FF359A" w:rsidRPr="00FF359A">
        <w:rPr>
          <w:rFonts w:ascii="Arial" w:eastAsia="Times New Roman" w:hAnsi="Arial" w:cs="Arial"/>
          <w:sz w:val="24"/>
          <w:lang w:val="en-US" w:eastAsia="nl-NL"/>
        </w:rPr>
        <w:t xml:space="preserve"> </w:t>
      </w:r>
    </w:p>
    <w:p w14:paraId="7DA416C4" w14:textId="77777777" w:rsidR="00FF359A" w:rsidRDefault="00FF359A" w:rsidP="00547D31">
      <w:pPr>
        <w:spacing w:before="100" w:beforeAutospacing="1" w:after="100" w:afterAutospacing="1"/>
        <w:rPr>
          <w:rFonts w:ascii="Arial" w:eastAsia="Times New Roman" w:hAnsi="Arial" w:cs="Arial"/>
          <w:sz w:val="20"/>
          <w:szCs w:val="20"/>
          <w:lang w:val="en-US" w:eastAsia="nl-NL"/>
        </w:rPr>
      </w:pPr>
      <w:r w:rsidRPr="00FB6C79">
        <w:rPr>
          <w:rFonts w:ascii="Arial" w:eastAsia="Times New Roman" w:hAnsi="Arial" w:cs="Arial"/>
          <w:sz w:val="20"/>
          <w:szCs w:val="20"/>
          <w:lang w:val="en-US" w:eastAsia="nl-NL"/>
        </w:rPr>
        <w:t xml:space="preserve">Baroque. Le terme désigne à la fois une notion simple et complexe. </w:t>
      </w:r>
      <w:r w:rsidRPr="00FB6C79">
        <w:rPr>
          <w:rFonts w:ascii="Arial" w:eastAsia="Times New Roman" w:hAnsi="Arial" w:cs="Arial"/>
          <w:sz w:val="20"/>
          <w:szCs w:val="20"/>
          <w:lang w:eastAsia="nl-NL"/>
        </w:rPr>
        <w:t xml:space="preserve">Complexe si l’on pense à l’utilisation de ce terme dans l’histoire de l’art. </w:t>
      </w:r>
      <w:r w:rsidRPr="00FB6C79">
        <w:rPr>
          <w:rFonts w:ascii="Arial" w:eastAsia="Times New Roman" w:hAnsi="Arial" w:cs="Arial"/>
          <w:sz w:val="20"/>
          <w:szCs w:val="20"/>
          <w:lang w:val="en-US" w:eastAsia="nl-NL"/>
        </w:rPr>
        <w:t>Simple si l’on pense à l’usage courant que l’on peut faire de ce mot car l’on peut dire baroque sans se référer à l’art comme l’on emploierait, dans d’autres situations, le terme de surréaliste comme un adjectif. Dans le langage courant, baroque peut désigner ce qui est irrégulier, bizarre, inattendu, mais, plus généralement, ce qui est excentrique, hors norme. Une situation ou un personnage peut être, par exemple, baroque. Dans le domaine de l’art, baroque désigne, on le sait, un style, applicable de manière très différenciée, à l’architecture, à la peinture, à la musique ou à la littérature. Dans les arts visuels, ce terme quali e « l’expression de la vitalité, du mouvement, grâce à des compositions dynamiques soutenues par une palette variée</w:t>
      </w:r>
      <w:r w:rsidRPr="00FB6C79">
        <w:rPr>
          <w:rFonts w:ascii="Arial" w:eastAsia="Times New Roman" w:hAnsi="Arial" w:cs="Arial"/>
          <w:position w:val="6"/>
          <w:sz w:val="20"/>
          <w:szCs w:val="20"/>
          <w:lang w:val="en-US" w:eastAsia="nl-NL"/>
        </w:rPr>
        <w:t xml:space="preserve">1 </w:t>
      </w:r>
      <w:r w:rsidRPr="00FB6C79">
        <w:rPr>
          <w:rFonts w:ascii="Arial" w:eastAsia="Times New Roman" w:hAnsi="Arial" w:cs="Arial"/>
          <w:sz w:val="20"/>
          <w:szCs w:val="20"/>
          <w:lang w:val="en-US" w:eastAsia="nl-NL"/>
        </w:rPr>
        <w:t>» dans une grande liberté artistique et une profusion ornementale. Peter Paul Rubens serait, ainsi, le pa- radigme du baroque, à mi-chemin entre le maniérisme et le rococo dont l’expression la plus intense se serait déroulée au XVII</w:t>
      </w:r>
      <w:r w:rsidRPr="00FB6C79">
        <w:rPr>
          <w:rFonts w:ascii="Arial" w:eastAsia="Times New Roman" w:hAnsi="Arial" w:cs="Arial"/>
          <w:position w:val="6"/>
          <w:sz w:val="20"/>
          <w:szCs w:val="20"/>
          <w:lang w:val="en-US" w:eastAsia="nl-NL"/>
        </w:rPr>
        <w:t xml:space="preserve">e </w:t>
      </w:r>
      <w:r w:rsidRPr="00FB6C79">
        <w:rPr>
          <w:rFonts w:ascii="Arial" w:eastAsia="Times New Roman" w:hAnsi="Arial" w:cs="Arial"/>
          <w:sz w:val="20"/>
          <w:szCs w:val="20"/>
          <w:lang w:val="en-US" w:eastAsia="nl-NL"/>
        </w:rPr>
        <w:t xml:space="preserve">siècle. Mais, après de longs débats théoriques – s’appuyant aussi bien sur Jacob Burckhardt que sur Heinrich WÖLFFLIN (RENAISSANCE ET BAROQUE EN 1888) ou Benedetto Croce (Histoire de l’âge baroque en Italie en 1929) –, on en est venu à désigner comme baroque des œuvres aussi hétérogènes que celles du Caravage, de Rembrandt ou de Diego Vélasquez dans la simple opposition à la mesure et à la clarté classique. </w:t>
      </w:r>
    </w:p>
    <w:p w14:paraId="1B0A5371" w14:textId="77777777" w:rsidR="00FF359A" w:rsidRPr="00FB6C79" w:rsidRDefault="00FF359A" w:rsidP="00547D31">
      <w:pPr>
        <w:spacing w:before="100" w:beforeAutospacing="1" w:after="100" w:afterAutospacing="1"/>
        <w:rPr>
          <w:rFonts w:ascii="Arial" w:eastAsia="Times New Roman" w:hAnsi="Arial" w:cs="Arial"/>
          <w:sz w:val="20"/>
          <w:szCs w:val="20"/>
          <w:lang w:val="en-US" w:eastAsia="nl-NL"/>
        </w:rPr>
      </w:pPr>
      <w:r w:rsidRPr="00FB6C79">
        <w:rPr>
          <w:rFonts w:ascii="Arial" w:eastAsia="Times New Roman" w:hAnsi="Arial" w:cs="Arial"/>
          <w:sz w:val="20"/>
          <w:szCs w:val="20"/>
          <w:lang w:val="en-US" w:eastAsia="nl-NL"/>
        </w:rPr>
        <w:t>Il y aurait un naturalisme baroque plutôt austère – celui du Caravage – aussi bien que le baroque décentré et lyrique de Rubens, ou celui elliptique dans l’exécution de Vélasquez, tout autant que son expression méditative chez Georges de La Tour, un baroque des effets lumineux et de la matière picturale chez Rembrandt, etc. Toutes ces remarques importent comme elles peuvent permettre de voir dans quel sens Luc Tuymans, le curateur de Sanguine, pense le baroque et comment reporter ce courant esthétique qui appartient à une période précise de l’histoire à l’art de la n du XX</w:t>
      </w:r>
      <w:r w:rsidRPr="00FB6C79">
        <w:rPr>
          <w:rFonts w:ascii="Arial" w:eastAsia="Times New Roman" w:hAnsi="Arial" w:cs="Arial"/>
          <w:position w:val="6"/>
          <w:sz w:val="20"/>
          <w:szCs w:val="20"/>
          <w:lang w:val="en-US" w:eastAsia="nl-NL"/>
        </w:rPr>
        <w:t xml:space="preserve">e </w:t>
      </w:r>
      <w:r w:rsidRPr="00FB6C79">
        <w:rPr>
          <w:rFonts w:ascii="Arial" w:eastAsia="Times New Roman" w:hAnsi="Arial" w:cs="Arial"/>
          <w:sz w:val="20"/>
          <w:szCs w:val="20"/>
          <w:lang w:val="en-US" w:eastAsia="nl-NL"/>
        </w:rPr>
        <w:t>et du début du XXI</w:t>
      </w:r>
      <w:r w:rsidRPr="00FB6C79">
        <w:rPr>
          <w:rFonts w:ascii="Arial" w:eastAsia="Times New Roman" w:hAnsi="Arial" w:cs="Arial"/>
          <w:position w:val="6"/>
          <w:sz w:val="20"/>
          <w:szCs w:val="20"/>
          <w:lang w:val="en-US" w:eastAsia="nl-NL"/>
        </w:rPr>
        <w:t xml:space="preserve">e </w:t>
      </w:r>
      <w:r w:rsidRPr="00FB6C79">
        <w:rPr>
          <w:rFonts w:ascii="Arial" w:eastAsia="Times New Roman" w:hAnsi="Arial" w:cs="Arial"/>
          <w:sz w:val="20"/>
          <w:szCs w:val="20"/>
          <w:lang w:val="en-US" w:eastAsia="nl-NL"/>
        </w:rPr>
        <w:t xml:space="preserve">siècle. </w:t>
      </w:r>
    </w:p>
    <w:p w14:paraId="762FE1A7" w14:textId="77777777" w:rsidR="00FF359A" w:rsidRPr="00FB6C79" w:rsidRDefault="00FF359A" w:rsidP="00547D31">
      <w:pPr>
        <w:spacing w:before="100" w:beforeAutospacing="1" w:after="100" w:afterAutospacing="1"/>
        <w:rPr>
          <w:rFonts w:ascii="Arial" w:eastAsia="Times New Roman" w:hAnsi="Arial" w:cs="Arial"/>
          <w:sz w:val="20"/>
          <w:szCs w:val="20"/>
          <w:lang w:val="en-US" w:eastAsia="nl-NL"/>
        </w:rPr>
      </w:pPr>
      <w:r w:rsidRPr="00FB6C79">
        <w:rPr>
          <w:rFonts w:ascii="Arial" w:eastAsia="Times New Roman" w:hAnsi="Arial" w:cs="Arial"/>
          <w:sz w:val="20"/>
          <w:szCs w:val="20"/>
          <w:lang w:val="en-US" w:eastAsia="nl-NL"/>
        </w:rPr>
        <w:t>Toutes ces remarques, donc, importent comme l’exposition, quoiqu’incluant quelques œuvres du XVII</w:t>
      </w:r>
      <w:r w:rsidRPr="00FB6C79">
        <w:rPr>
          <w:rFonts w:ascii="Arial" w:eastAsia="Times New Roman" w:hAnsi="Arial" w:cs="Arial"/>
          <w:position w:val="6"/>
          <w:sz w:val="20"/>
          <w:szCs w:val="20"/>
          <w:lang w:val="en-US" w:eastAsia="nl-NL"/>
        </w:rPr>
        <w:t xml:space="preserve">e </w:t>
      </w:r>
      <w:r w:rsidRPr="00FB6C79">
        <w:rPr>
          <w:rFonts w:ascii="Arial" w:eastAsia="Times New Roman" w:hAnsi="Arial" w:cs="Arial"/>
          <w:sz w:val="20"/>
          <w:szCs w:val="20"/>
          <w:lang w:val="en-US" w:eastAsia="nl-NL"/>
        </w:rPr>
        <w:t>et XVIII</w:t>
      </w:r>
      <w:r w:rsidRPr="00FB6C79">
        <w:rPr>
          <w:rFonts w:ascii="Arial" w:eastAsia="Times New Roman" w:hAnsi="Arial" w:cs="Arial"/>
          <w:position w:val="6"/>
          <w:sz w:val="20"/>
          <w:szCs w:val="20"/>
          <w:lang w:val="en-US" w:eastAsia="nl-NL"/>
        </w:rPr>
        <w:t xml:space="preserve">e </w:t>
      </w:r>
      <w:r w:rsidRPr="00FB6C79">
        <w:rPr>
          <w:rFonts w:ascii="Arial" w:eastAsia="Times New Roman" w:hAnsi="Arial" w:cs="Arial"/>
          <w:sz w:val="20"/>
          <w:szCs w:val="20"/>
          <w:lang w:val="en-US" w:eastAsia="nl-NL"/>
        </w:rPr>
        <w:t>siècles (Le Caravage, Adriaen Brouwers, Cornelis De Vos, Jacob Jordaens, Johann Georg Pinsel, Rubens, Anton Van Dyck et Francisco de Zurbarán...), est princi- palement centrée sur des artistes vivants que l’on peut dif cilement quali er, au sens strict du terme, de baroque et dont les esthétiques sont à la fois très hétérogènes – quoi de commun entre John Armleder, Isa Genzken et Pierre Huyghe, par exemple ? –, voire, si on les regarde, rapidement, presque antithétiques avec ce concept – on pensera à Lili Dujourie ou à Jan Vercruysse. Il me semble qu’il faut, pour cela, repartir d’une œuvre qui a été envisagée pour l’exposition mais qui n’y gure pas pour des raisons anecdotiques, le David du Caravage qui date de 1609-1610</w:t>
      </w:r>
      <w:r w:rsidRPr="00FB6C79">
        <w:rPr>
          <w:rFonts w:ascii="Arial" w:eastAsia="Times New Roman" w:hAnsi="Arial" w:cs="Arial"/>
          <w:position w:val="6"/>
          <w:sz w:val="20"/>
          <w:szCs w:val="20"/>
          <w:lang w:val="en-US" w:eastAsia="nl-NL"/>
        </w:rPr>
        <w:t xml:space="preserve">2 </w:t>
      </w:r>
      <w:r w:rsidRPr="00FB6C79">
        <w:rPr>
          <w:rFonts w:ascii="Arial" w:eastAsia="Times New Roman" w:hAnsi="Arial" w:cs="Arial"/>
          <w:sz w:val="20"/>
          <w:szCs w:val="20"/>
          <w:lang w:val="en-US" w:eastAsia="nl-NL"/>
        </w:rPr>
        <w:t xml:space="preserve">– donc une des dernières œuvres de l’artiste. </w:t>
      </w:r>
    </w:p>
    <w:p w14:paraId="25F0A813" w14:textId="77777777" w:rsidR="00FF359A" w:rsidRPr="00FB6C79" w:rsidRDefault="00FF359A" w:rsidP="00547D31">
      <w:pPr>
        <w:spacing w:before="100" w:beforeAutospacing="1" w:after="100" w:afterAutospacing="1"/>
        <w:rPr>
          <w:rFonts w:ascii="Arial" w:eastAsia="Times New Roman" w:hAnsi="Arial" w:cs="Arial"/>
          <w:sz w:val="20"/>
          <w:szCs w:val="20"/>
          <w:lang w:val="en-US" w:eastAsia="nl-NL"/>
        </w:rPr>
      </w:pPr>
      <w:r w:rsidRPr="00FB6C79">
        <w:rPr>
          <w:rFonts w:ascii="Arial" w:eastAsia="Times New Roman" w:hAnsi="Arial" w:cs="Arial"/>
          <w:sz w:val="20"/>
          <w:szCs w:val="20"/>
          <w:lang w:val="en-US" w:eastAsia="nl-NL"/>
        </w:rPr>
        <w:t xml:space="preserve">David, émergeant du noir – et sans doute pénétrant dans la tente de Saül –, le bras gauche tendu, tient la tête de Goliath sanguinolente, bouche et yeux ouverts à l’avant-plan du tableau, tandis que sa main droite tient une épée qui passe juste sous son sexe. Il regarde cette tête ou semble absorbé dans sa méditation dans une expression dont on ne sait si elle témoigne de la sévérité ou de la compassion. La lecture iconographique de ce tableau est célèbre : la tête de Goliath est interprétée comme un autoportrait de l’artiste, revendiquant ainsi son statut de bandit, exécuté à l’avance par un David qui personni erait la justice divine. Par ce tableau, Le Caravage aurait, ainsi, demandé le pardon pour ses fautes – le meurtre qu’il avait commis. Une fois dépassée cette lecture savante du sens de l’œuvre, plusieurs éléments frappent dans cette peinture : la théâtralité du noir – comme dans la plupart des tableaux du Caravage, bien sûr –, la violence et le réalisme dans cette tête décapitée – bien évidemment –, la réduction et l’économie chromatique – que doit affectionner Tuymans si l’on songe à sa peinture –, l’ef cacité et une certaine sécheresse dans l’exécution picturale – qui est une des caractéristiques de l’esthétique de Tuymans –, le manque de pathos et une distance expressive avec l’accentuation sur le drapé qui contraste avec la violence de l’image et, en n, la dé-focalisation permanente – un des éléments essentiels dans l’œuvre de Tuymans. Le regard passe son temps à hésiter sur le point central de la composition, entre la tête de David au somment du triangle de la composition, celle de Goliath, excentrée, mais la plus en avant, en passant par l’éclat du triangle plissé de la chemise de David, accentué par l’écho donné par la brillance très forte de la lame. La peinture est composée de trois blocs : le torse/tête de David, la chemise/pantalon de ce dernier et la tête de Goliath, isolée, séparée du bloc compact formé par les deux premiers. Tout est lié et délié à la fois dans une peinture qui est un dispositif visuel presque au sens contemporain du terme. </w:t>
      </w:r>
    </w:p>
    <w:p w14:paraId="1C6CA3AA" w14:textId="77777777" w:rsidR="00FF359A" w:rsidRPr="00FB6C79" w:rsidRDefault="00FF359A" w:rsidP="00547D31">
      <w:pPr>
        <w:spacing w:before="100" w:beforeAutospacing="1" w:after="100" w:afterAutospacing="1"/>
        <w:rPr>
          <w:rFonts w:ascii="Arial" w:eastAsia="Times New Roman" w:hAnsi="Arial" w:cs="Arial"/>
          <w:sz w:val="20"/>
          <w:szCs w:val="20"/>
          <w:lang w:val="en-US" w:eastAsia="nl-NL"/>
        </w:rPr>
      </w:pPr>
      <w:r w:rsidRPr="00FB6C79">
        <w:rPr>
          <w:rFonts w:ascii="Arial" w:eastAsia="Times New Roman" w:hAnsi="Arial" w:cs="Arial"/>
          <w:sz w:val="20"/>
          <w:szCs w:val="20"/>
          <w:lang w:val="en-US" w:eastAsia="nl-NL"/>
        </w:rPr>
        <w:t>À partir de ce tableau, on peut retenir plusieurs problématiques : théâtralité de la violence, réalisme de la représentation, ef cacité, sé- cheresse et économie dans l’exécution, distanciation du pathos et dé-focalisation permanente. Ces problématiques ne sont peut-être pas toutes celles que Luc Tuymans a retenu pour faire sa programmation</w:t>
      </w:r>
      <w:r w:rsidRPr="00FB6C79">
        <w:rPr>
          <w:rFonts w:ascii="Arial" w:eastAsia="Times New Roman" w:hAnsi="Arial" w:cs="Arial"/>
          <w:position w:val="6"/>
          <w:sz w:val="20"/>
          <w:szCs w:val="20"/>
          <w:lang w:val="en-US" w:eastAsia="nl-NL"/>
        </w:rPr>
        <w:t>3</w:t>
      </w:r>
      <w:r w:rsidRPr="00FB6C79">
        <w:rPr>
          <w:rFonts w:ascii="Arial" w:eastAsia="Times New Roman" w:hAnsi="Arial" w:cs="Arial"/>
          <w:sz w:val="20"/>
          <w:szCs w:val="20"/>
          <w:lang w:val="en-US" w:eastAsia="nl-NL"/>
        </w:rPr>
        <w:t>, mais elles permettent un possible report de l’art du XVII</w:t>
      </w:r>
      <w:r w:rsidRPr="00FB6C79">
        <w:rPr>
          <w:rFonts w:ascii="Arial" w:eastAsia="Times New Roman" w:hAnsi="Arial" w:cs="Arial"/>
          <w:position w:val="6"/>
          <w:sz w:val="20"/>
          <w:szCs w:val="20"/>
          <w:lang w:val="en-US" w:eastAsia="nl-NL"/>
        </w:rPr>
        <w:t xml:space="preserve">e </w:t>
      </w:r>
      <w:r w:rsidRPr="00FB6C79">
        <w:rPr>
          <w:rFonts w:ascii="Arial" w:eastAsia="Times New Roman" w:hAnsi="Arial" w:cs="Arial"/>
          <w:sz w:val="20"/>
          <w:szCs w:val="20"/>
          <w:lang w:val="en-US" w:eastAsia="nl-NL"/>
        </w:rPr>
        <w:t xml:space="preserve">siècle à celui de notre temps sans constituer un anachronisme ou une projection aberrante d’un art ancien sur l’art contemporain. </w:t>
      </w:r>
    </w:p>
    <w:p w14:paraId="0ECF8488" w14:textId="77777777" w:rsidR="00FF359A" w:rsidRDefault="00FF359A" w:rsidP="00547D31">
      <w:pPr>
        <w:spacing w:before="100" w:beforeAutospacing="1" w:after="100" w:afterAutospacing="1"/>
        <w:rPr>
          <w:rFonts w:ascii="Arial" w:eastAsia="Times New Roman" w:hAnsi="Arial" w:cs="Arial"/>
          <w:sz w:val="20"/>
          <w:szCs w:val="20"/>
          <w:lang w:val="en-US" w:eastAsia="nl-NL"/>
        </w:rPr>
      </w:pPr>
      <w:r w:rsidRPr="00FB6C79">
        <w:rPr>
          <w:rFonts w:ascii="Arial" w:eastAsia="Times New Roman" w:hAnsi="Arial" w:cs="Arial"/>
          <w:sz w:val="20"/>
          <w:szCs w:val="20"/>
          <w:lang w:val="en-US" w:eastAsia="nl-NL"/>
        </w:rPr>
        <w:t xml:space="preserve">On pourrait, évidemment, dé nir d’autres problématiques en s’appuyant sur les autres œuvres anciennes présentes dans l’exposition. </w:t>
      </w:r>
    </w:p>
    <w:p w14:paraId="4A1C0BBB" w14:textId="77777777" w:rsidR="00FF359A" w:rsidRDefault="00FF359A" w:rsidP="00547D31">
      <w:pPr>
        <w:spacing w:before="100" w:beforeAutospacing="1" w:after="100" w:afterAutospacing="1"/>
        <w:rPr>
          <w:rFonts w:ascii="Arial" w:eastAsia="Times New Roman" w:hAnsi="Arial" w:cs="Arial"/>
          <w:sz w:val="20"/>
          <w:szCs w:val="20"/>
          <w:lang w:val="en-US" w:eastAsia="nl-NL"/>
        </w:rPr>
      </w:pPr>
      <w:r w:rsidRPr="00FB6C79">
        <w:rPr>
          <w:rFonts w:ascii="Arial" w:eastAsia="Times New Roman" w:hAnsi="Arial" w:cs="Arial"/>
          <w:sz w:val="20"/>
          <w:szCs w:val="20"/>
          <w:lang w:val="en-US" w:eastAsia="nl-NL"/>
        </w:rPr>
        <w:t xml:space="preserve">Le vérisme maladif et inquiétant qui sourd des portraits d’Adriaen Brouwers, de Cornelis De Vos, de Jacob Jordaens ou d’Anton Van Dyck pourrait constituer une autre porte d’entrée, tout autant que les subtils écarts de tonalité et la densité de l’occupation spatiale chez Rubens ou, en n, les torsions et cassures permanentes de la gure et des éléments du paysage dans Le Martyre de saint Sébastien de Zurbarán. </w:t>
      </w:r>
    </w:p>
    <w:p w14:paraId="30FAD2DC" w14:textId="77777777" w:rsidR="00FF359A" w:rsidRPr="00FB6C79" w:rsidRDefault="00FF359A" w:rsidP="00547D31">
      <w:pPr>
        <w:spacing w:before="100" w:beforeAutospacing="1" w:after="100" w:afterAutospacing="1"/>
        <w:rPr>
          <w:rFonts w:ascii="Arial" w:eastAsia="Times New Roman" w:hAnsi="Arial" w:cs="Arial"/>
          <w:sz w:val="20"/>
          <w:szCs w:val="20"/>
          <w:lang w:val="en-US" w:eastAsia="nl-NL"/>
        </w:rPr>
      </w:pPr>
      <w:r w:rsidRPr="00FB6C79">
        <w:rPr>
          <w:rFonts w:ascii="Arial" w:eastAsia="Times New Roman" w:hAnsi="Arial" w:cs="Arial"/>
          <w:sz w:val="20"/>
          <w:szCs w:val="20"/>
          <w:lang w:val="en-US" w:eastAsia="nl-NL"/>
        </w:rPr>
        <w:t>Tous ces éléments permettraient de lire et d’envisager les œuvres contemporaines. On pourrait, également, tracer des analogies visuelles entre certaines œuvres qui ne se citent pas, mais font écho. Ainsi, Sleeper de Michaël Borremans pourrait évoquer Le Caravage, les Thanatophanies de On Kawara nous ramènent aisément aux Études pour le portrait de Abraham Grapheus de Jordaens et les deux sculptures de Pinsel trouvent naturellement leur prolongement dans Deaf Ted, Danoota &amp; Me de Nadia Naveau. On pourrait également sortir de ces analogies entre les œuvres anciennes et contemporaines et constater, tout simplement, que la cassure des plans et la diffraction de Circa Tabac de Carla Arocha et Stéphane Schraenen, participent littéralement de l’esthétique baroque dans le décentrement permanent des axes de vision. Ou, en n, on pourrait revenir sur le caractère négatif qu’a eu ce terme jusqu’au début du XX</w:t>
      </w:r>
      <w:r w:rsidRPr="00FB6C79">
        <w:rPr>
          <w:rFonts w:ascii="Arial" w:eastAsia="Times New Roman" w:hAnsi="Arial" w:cs="Arial"/>
          <w:position w:val="6"/>
          <w:sz w:val="20"/>
          <w:szCs w:val="20"/>
          <w:lang w:val="en-US" w:eastAsia="nl-NL"/>
        </w:rPr>
        <w:t xml:space="preserve">e </w:t>
      </w:r>
      <w:r w:rsidRPr="00FB6C79">
        <w:rPr>
          <w:rFonts w:ascii="Arial" w:eastAsia="Times New Roman" w:hAnsi="Arial" w:cs="Arial"/>
          <w:sz w:val="20"/>
          <w:szCs w:val="20"/>
          <w:lang w:val="en-US" w:eastAsia="nl-NL"/>
        </w:rPr>
        <w:t xml:space="preserve">siècle et qui a longtemps désigné un certain mauvais goût et voir sa revendication, par exemple, dans l’ironie poisseuse de la Lanterna Magica de Sigmar Polke ou dans l’humour décapent (et décadent) de L’Adoration de François pour Judith de Jan Van Imschoot. </w:t>
      </w:r>
    </w:p>
    <w:p w14:paraId="2178182B" w14:textId="77777777" w:rsidR="00FF359A" w:rsidRPr="00FB6C79" w:rsidRDefault="00FF359A" w:rsidP="00547D31">
      <w:pPr>
        <w:spacing w:before="100" w:beforeAutospacing="1" w:after="100" w:afterAutospacing="1"/>
        <w:rPr>
          <w:rFonts w:ascii="Arial" w:eastAsia="Times New Roman" w:hAnsi="Arial" w:cs="Arial"/>
          <w:sz w:val="20"/>
          <w:szCs w:val="20"/>
          <w:lang w:val="en-US" w:eastAsia="nl-NL"/>
        </w:rPr>
      </w:pPr>
      <w:r w:rsidRPr="00282EAF">
        <w:rPr>
          <w:rFonts w:ascii="Arial" w:eastAsia="Times New Roman" w:hAnsi="Arial" w:cs="Arial"/>
          <w:sz w:val="20"/>
          <w:szCs w:val="20"/>
          <w:lang w:val="en-US" w:eastAsia="nl-NL"/>
        </w:rPr>
        <w:t>Peut-être que l’enjeu est ailleurs, qu’il ne s’agit pas de vouloir, tout le temps, forcer le lien entre le baroque du XVII</w:t>
      </w:r>
      <w:r w:rsidRPr="00282EAF">
        <w:rPr>
          <w:rFonts w:ascii="Arial" w:eastAsia="Times New Roman" w:hAnsi="Arial" w:cs="Arial"/>
          <w:position w:val="6"/>
          <w:sz w:val="20"/>
          <w:szCs w:val="20"/>
          <w:lang w:val="en-US" w:eastAsia="nl-NL"/>
        </w:rPr>
        <w:t xml:space="preserve">e </w:t>
      </w:r>
      <w:r w:rsidRPr="00282EAF">
        <w:rPr>
          <w:rFonts w:ascii="Arial" w:eastAsia="Times New Roman" w:hAnsi="Arial" w:cs="Arial"/>
          <w:sz w:val="20"/>
          <w:szCs w:val="20"/>
          <w:lang w:val="en-US" w:eastAsia="nl-NL"/>
        </w:rPr>
        <w:t>siècle et leur résur- gence possible dans des œuvres du XXI</w:t>
      </w:r>
      <w:r w:rsidRPr="00282EAF">
        <w:rPr>
          <w:rFonts w:ascii="Arial" w:eastAsia="Times New Roman" w:hAnsi="Arial" w:cs="Arial"/>
          <w:position w:val="6"/>
          <w:sz w:val="20"/>
          <w:szCs w:val="20"/>
          <w:lang w:val="en-US" w:eastAsia="nl-NL"/>
        </w:rPr>
        <w:t>e</w:t>
      </w:r>
      <w:r w:rsidRPr="00282EAF">
        <w:rPr>
          <w:rFonts w:ascii="Arial" w:eastAsia="Times New Roman" w:hAnsi="Arial" w:cs="Arial"/>
          <w:sz w:val="20"/>
          <w:szCs w:val="20"/>
          <w:lang w:val="en-US" w:eastAsia="nl-NL"/>
        </w:rPr>
        <w:t xml:space="preserve">, mais d’établir un sentiment baroque sur l’art de notre temps ou que l’art contemporain peut participer d’un baroque dans l’acceptation commune du terme (irrégulier, bizarre, inattendu, excentrique). C’est le cas pour les tableaux de Joris Ghekiere, pour les sculptures de Yutaka Sone, les peintures de Jack Whitten ou les dessins de David Gheron Tretiakof. </w:t>
      </w:r>
      <w:r w:rsidRPr="00FB6C79">
        <w:rPr>
          <w:rFonts w:ascii="Arial" w:eastAsia="Times New Roman" w:hAnsi="Arial" w:cs="Arial"/>
          <w:sz w:val="20"/>
          <w:szCs w:val="20"/>
          <w:lang w:val="en-US" w:eastAsia="nl-NL"/>
        </w:rPr>
        <w:t xml:space="preserve">D’ailleurs, il est évident que les deux lectures – l’acceptation savante ou populaire du terme – sont possibles et sont possibles simultanément ou alternativement comme on peut les mélanger et les hybrider et les entendre avec un degré plus ou moins fort suivant les œuvres. La question de l’exposition est autant celle du glissement que du frottement. Les œuvres se répondent tout autant qu’elles permettent une bifurcation permanente du sens de l’exposition, du sens du terme baroque, du sens des œuvres. </w:t>
      </w:r>
    </w:p>
    <w:p w14:paraId="1743DFB9" w14:textId="77777777" w:rsidR="00FF359A" w:rsidRDefault="00FF359A" w:rsidP="00547D31">
      <w:pPr>
        <w:spacing w:before="100" w:beforeAutospacing="1" w:after="100" w:afterAutospacing="1"/>
        <w:rPr>
          <w:rFonts w:ascii="Arial" w:eastAsia="Times New Roman" w:hAnsi="Arial" w:cs="Arial"/>
          <w:sz w:val="20"/>
          <w:szCs w:val="20"/>
          <w:lang w:val="en-US" w:eastAsia="nl-NL"/>
        </w:rPr>
      </w:pPr>
      <w:r w:rsidRPr="00FB6C79">
        <w:rPr>
          <w:rFonts w:ascii="Arial" w:eastAsia="Times New Roman" w:hAnsi="Arial" w:cs="Arial"/>
          <w:sz w:val="20"/>
          <w:szCs w:val="20"/>
          <w:lang w:val="en-US" w:eastAsia="nl-NL"/>
        </w:rPr>
        <w:t xml:space="preserve">En n, l’on pourrait revenir – pour penser la proposition et la sélection de Luc Tuymans </w:t>
      </w:r>
      <w:r>
        <w:rPr>
          <w:rFonts w:ascii="Arial" w:eastAsia="Times New Roman" w:hAnsi="Arial" w:cs="Arial"/>
          <w:sz w:val="20"/>
          <w:szCs w:val="20"/>
          <w:lang w:val="en-US" w:eastAsia="nl-NL"/>
        </w:rPr>
        <w:t>–, sur le titre de l’exposition</w:t>
      </w:r>
      <w:r w:rsidRPr="00FB6C79">
        <w:rPr>
          <w:rFonts w:ascii="Arial" w:eastAsia="Times New Roman" w:hAnsi="Arial" w:cs="Arial"/>
          <w:sz w:val="20"/>
          <w:szCs w:val="20"/>
          <w:lang w:val="en-US" w:eastAsia="nl-NL"/>
        </w:rPr>
        <w:t xml:space="preserve">: Sanguine. Rouge sang. Bien sûr cela évoque tout la théâtralité violente de la peinture caravagesque, mais, ce qui est rouge sang n’est pas du sang, simplement ce qui l’évoque. Il y aurait, donc, aussi bien la violence </w:t>
      </w:r>
      <w:r w:rsidRPr="00E82F20">
        <w:rPr>
          <w:rFonts w:ascii="Arial" w:eastAsia="Times New Roman" w:hAnsi="Arial" w:cs="Arial"/>
          <w:sz w:val="20"/>
          <w:szCs w:val="20"/>
          <w:lang w:val="en-US" w:eastAsia="nl-NL"/>
        </w:rPr>
        <w:t>que sa simulation, aussi bien la cruauté que sa mise en scène, un peu fausse et n’est-ce pas, en grande partie, ce qui caractérise le baroque : une exagération un peu factice des effets, c’est-à-dire autant la volonté de produire une vive impression, qu’une affectation, qu’un procédé technique utilisé à cette n. Autant la violence</w:t>
      </w:r>
      <w:r w:rsidRPr="00FB6C79">
        <w:rPr>
          <w:rFonts w:ascii="Arial" w:eastAsia="Times New Roman" w:hAnsi="Arial" w:cs="Arial"/>
          <w:sz w:val="20"/>
          <w:szCs w:val="20"/>
          <w:lang w:val="en-US" w:eastAsia="nl-NL"/>
        </w:rPr>
        <w:t xml:space="preserve"> qu’une distance à celle-ci, autant l’effroi que le rire (jaune) qui suit, autant la sidération que la distance, autant le lyrisme que son contraire, ce dont témoigne par exemple, l’œuvre de Ed Kienholz, Five Car Stud, ou celle de Berlinde De Bruyckere, où le grotesque est un cauchemar, où le réalisme se perçoit autant que l’arti ce, où la chose fait illusion en même temps qu’elle la dénonce, où l’on n’arrive plus à démêler le réel de l’arti ciel, où l’exacerbation peut devenir du pathos, où l’extase peut être inquiétude, où l’œuvre est une constant</w:t>
      </w:r>
      <w:r>
        <w:rPr>
          <w:rFonts w:ascii="Arial" w:eastAsia="Times New Roman" w:hAnsi="Arial" w:cs="Arial"/>
          <w:sz w:val="20"/>
          <w:szCs w:val="20"/>
          <w:lang w:val="en-US" w:eastAsia="nl-NL"/>
        </w:rPr>
        <w:t xml:space="preserve">e oscillation entre deux pôles </w:t>
      </w:r>
      <w:r w:rsidRPr="00FB6C79">
        <w:rPr>
          <w:rFonts w:ascii="Arial" w:eastAsia="Times New Roman" w:hAnsi="Arial" w:cs="Arial"/>
          <w:sz w:val="20"/>
          <w:szCs w:val="20"/>
          <w:lang w:val="en-US" w:eastAsia="nl-NL"/>
        </w:rPr>
        <w:t>irréconciliables.</w:t>
      </w:r>
    </w:p>
    <w:p w14:paraId="21EA753B" w14:textId="77777777" w:rsidR="00FF359A" w:rsidRPr="00FB6C79" w:rsidRDefault="00FF359A" w:rsidP="00547D31">
      <w:pPr>
        <w:spacing w:before="100" w:beforeAutospacing="1" w:after="100" w:afterAutospacing="1"/>
        <w:rPr>
          <w:rFonts w:ascii="Arial" w:eastAsia="Times New Roman" w:hAnsi="Arial" w:cs="Arial"/>
          <w:sz w:val="20"/>
          <w:szCs w:val="20"/>
          <w:lang w:val="en-US" w:eastAsia="nl-NL"/>
        </w:rPr>
      </w:pPr>
      <w:r w:rsidRPr="00FB6C79">
        <w:rPr>
          <w:rFonts w:ascii="Arial" w:eastAsia="Times New Roman" w:hAnsi="Arial" w:cs="Arial"/>
          <w:sz w:val="20"/>
          <w:szCs w:val="20"/>
          <w:lang w:val="en-US" w:eastAsia="nl-NL"/>
        </w:rPr>
        <w:br/>
        <w:t xml:space="preserve">1 Alain Mérot (dir.), </w:t>
      </w:r>
      <w:r w:rsidRPr="00FB6C79">
        <w:rPr>
          <w:rFonts w:ascii="Arial" w:eastAsia="Times New Roman" w:hAnsi="Arial" w:cs="Arial"/>
          <w:i/>
          <w:iCs/>
          <w:sz w:val="20"/>
          <w:szCs w:val="20"/>
          <w:lang w:val="en-US" w:eastAsia="nl-NL"/>
        </w:rPr>
        <w:t>Histoire de l’art, 1000-2000</w:t>
      </w:r>
      <w:r w:rsidRPr="00FB6C79">
        <w:rPr>
          <w:rFonts w:ascii="Arial" w:eastAsia="Times New Roman" w:hAnsi="Arial" w:cs="Arial"/>
          <w:sz w:val="20"/>
          <w:szCs w:val="20"/>
          <w:lang w:val="en-US" w:eastAsia="nl-NL"/>
        </w:rPr>
        <w:t>, Véronique Gerard Powell, « Le XVII</w:t>
      </w:r>
      <w:r w:rsidRPr="00FB6C79">
        <w:rPr>
          <w:rFonts w:ascii="Arial" w:eastAsia="Times New Roman" w:hAnsi="Arial" w:cs="Arial"/>
          <w:position w:val="4"/>
          <w:sz w:val="20"/>
          <w:szCs w:val="20"/>
          <w:lang w:val="en-US" w:eastAsia="nl-NL"/>
        </w:rPr>
        <w:t xml:space="preserve">e </w:t>
      </w:r>
      <w:r w:rsidRPr="00FB6C79">
        <w:rPr>
          <w:rFonts w:ascii="Arial" w:eastAsia="Times New Roman" w:hAnsi="Arial" w:cs="Arial"/>
          <w:sz w:val="20"/>
          <w:szCs w:val="20"/>
          <w:lang w:val="en-US" w:eastAsia="nl-NL"/>
        </w:rPr>
        <w:t xml:space="preserve">siècle », Paris, Hazan, 1995, p. 234. </w:t>
      </w:r>
      <w:bookmarkStart w:id="0" w:name="_GoBack"/>
      <w:bookmarkEnd w:id="0"/>
    </w:p>
    <w:p w14:paraId="3AA014AD" w14:textId="77777777" w:rsidR="00FF359A" w:rsidRDefault="00FF359A" w:rsidP="00547D31">
      <w:pPr>
        <w:spacing w:before="100" w:beforeAutospacing="1" w:after="100" w:afterAutospacing="1"/>
        <w:rPr>
          <w:rFonts w:ascii="Arial" w:eastAsia="Times New Roman" w:hAnsi="Arial" w:cs="Arial"/>
          <w:sz w:val="20"/>
          <w:szCs w:val="20"/>
          <w:lang w:val="en-US" w:eastAsia="nl-NL"/>
        </w:rPr>
      </w:pPr>
      <w:r w:rsidRPr="00FB6C79">
        <w:rPr>
          <w:rFonts w:ascii="Arial" w:eastAsia="Times New Roman" w:hAnsi="Arial" w:cs="Arial"/>
          <w:sz w:val="20"/>
          <w:szCs w:val="20"/>
          <w:lang w:val="en-US" w:eastAsia="nl-NL"/>
        </w:rPr>
        <w:t xml:space="preserve">2 L’importance de ce tableau dans sa conception de l’exposition m’a été révélée par l’artiste lors d’une conversation téléphonique. </w:t>
      </w:r>
    </w:p>
    <w:p w14:paraId="2A460C30" w14:textId="77777777" w:rsidR="00FF359A" w:rsidRPr="00210F3A" w:rsidRDefault="00FF359A" w:rsidP="00547D31">
      <w:pPr>
        <w:spacing w:before="100" w:beforeAutospacing="1" w:after="100" w:afterAutospacing="1"/>
        <w:rPr>
          <w:rFonts w:ascii="Arial" w:hAnsi="Arial" w:cs="Arial"/>
          <w:lang w:val="fr-FR"/>
        </w:rPr>
      </w:pPr>
      <w:r w:rsidRPr="00FB6C79">
        <w:rPr>
          <w:rFonts w:ascii="Arial" w:eastAsia="Times New Roman" w:hAnsi="Arial" w:cs="Arial"/>
          <w:sz w:val="20"/>
          <w:szCs w:val="20"/>
          <w:lang w:val="en-US" w:eastAsia="nl-NL"/>
        </w:rPr>
        <w:t xml:space="preserve">3 Il s’agit d’un choix d’artiste et le regard singulier du praticien importe dans la manière qu’il a d’établir des liens. </w:t>
      </w:r>
    </w:p>
    <w:p w14:paraId="5C4E5105" w14:textId="77777777" w:rsidR="00FF359A" w:rsidRDefault="00FF359A" w:rsidP="00547D31">
      <w:pPr>
        <w:pStyle w:val="Tekstzonderopmaak"/>
        <w:spacing w:line="276" w:lineRule="auto"/>
        <w:rPr>
          <w:rFonts w:asciiTheme="minorHAnsi" w:hAnsiTheme="minorHAnsi" w:cstheme="minorHAnsi"/>
          <w:szCs w:val="22"/>
        </w:rPr>
      </w:pPr>
    </w:p>
    <w:p w14:paraId="438726E0" w14:textId="77777777" w:rsidR="00FF359A" w:rsidRDefault="00FF359A" w:rsidP="00547D31"/>
    <w:p w14:paraId="0EE353B2" w14:textId="77777777" w:rsidR="00FF359A" w:rsidRPr="00FF359A" w:rsidRDefault="00FF359A" w:rsidP="00547D31"/>
    <w:sectPr w:rsidR="00FF359A" w:rsidRPr="00FF359A" w:rsidSect="0003560E">
      <w:head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FDD6BA" w14:textId="77777777" w:rsidR="00336683" w:rsidRDefault="00336683" w:rsidP="0003560E">
      <w:pPr>
        <w:spacing w:after="0" w:line="240" w:lineRule="auto"/>
      </w:pPr>
      <w:r>
        <w:separator/>
      </w:r>
    </w:p>
  </w:endnote>
  <w:endnote w:type="continuationSeparator" w:id="0">
    <w:p w14:paraId="3B3864A1" w14:textId="77777777" w:rsidR="00336683" w:rsidRDefault="00336683" w:rsidP="00035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7262354"/>
      <w:docPartObj>
        <w:docPartGallery w:val="Page Numbers (Bottom of Page)"/>
        <w:docPartUnique/>
      </w:docPartObj>
    </w:sdtPr>
    <w:sdtEndPr/>
    <w:sdtContent>
      <w:p w14:paraId="14ECA108" w14:textId="685F2A2E" w:rsidR="0003560E" w:rsidRDefault="0003560E">
        <w:pPr>
          <w:pStyle w:val="Voettekst"/>
          <w:jc w:val="right"/>
        </w:pPr>
        <w:r>
          <w:fldChar w:fldCharType="begin"/>
        </w:r>
        <w:r>
          <w:instrText>PAGE   \* MERGEFORMAT</w:instrText>
        </w:r>
        <w:r>
          <w:fldChar w:fldCharType="separate"/>
        </w:r>
        <w:r w:rsidR="00547D31" w:rsidRPr="00547D31">
          <w:rPr>
            <w:noProof/>
            <w:lang w:val="nl-NL"/>
          </w:rPr>
          <w:t>1</w:t>
        </w:r>
        <w:r>
          <w:fldChar w:fldCharType="end"/>
        </w:r>
      </w:p>
    </w:sdtContent>
  </w:sdt>
  <w:p w14:paraId="54EA7690" w14:textId="77777777" w:rsidR="0003560E" w:rsidRDefault="0003560E">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5A17F2" w14:textId="77777777" w:rsidR="00336683" w:rsidRDefault="00336683" w:rsidP="0003560E">
      <w:pPr>
        <w:spacing w:after="0" w:line="240" w:lineRule="auto"/>
      </w:pPr>
      <w:r>
        <w:separator/>
      </w:r>
    </w:p>
  </w:footnote>
  <w:footnote w:type="continuationSeparator" w:id="0">
    <w:p w14:paraId="75BD73F5" w14:textId="77777777" w:rsidR="00336683" w:rsidRDefault="00336683" w:rsidP="000356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02331C" w14:textId="77777777" w:rsidR="0003560E" w:rsidRDefault="0003560E">
    <w:pPr>
      <w:pStyle w:val="Koptekst"/>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99638D" w14:textId="3C44A2EE" w:rsidR="006666C9" w:rsidRDefault="00A72370" w:rsidP="00A72370">
    <w:pPr>
      <w:pStyle w:val="Koptekst"/>
      <w:tabs>
        <w:tab w:val="clear" w:pos="4536"/>
        <w:tab w:val="clear" w:pos="9072"/>
        <w:tab w:val="left" w:pos="7260"/>
      </w:tabs>
      <w:rPr>
        <w:rFonts w:eastAsia="Arial"/>
        <w:b/>
        <w:noProof/>
        <w:color w:val="000000"/>
        <w:sz w:val="28"/>
        <w:szCs w:val="28"/>
        <w:lang w:eastAsia="nl-BE"/>
      </w:rPr>
    </w:pPr>
    <w:r w:rsidRPr="00A72370">
      <w:rPr>
        <w:rFonts w:eastAsia="Times New Roman" w:cstheme="minorHAnsi"/>
        <w:b/>
        <w:bCs/>
        <w:noProof/>
        <w:kern w:val="36"/>
        <w:lang w:eastAsia="nl-BE"/>
      </w:rPr>
      <w:drawing>
        <wp:anchor distT="0" distB="0" distL="114300" distR="114300" simplePos="0" relativeHeight="251666432" behindDoc="1" locked="0" layoutInCell="1" allowOverlap="1" wp14:anchorId="3199C7A5" wp14:editId="0946933D">
          <wp:simplePos x="0" y="0"/>
          <wp:positionH relativeFrom="column">
            <wp:posOffset>5149215</wp:posOffset>
          </wp:positionH>
          <wp:positionV relativeFrom="paragraph">
            <wp:posOffset>-85090</wp:posOffset>
          </wp:positionV>
          <wp:extent cx="622300" cy="719455"/>
          <wp:effectExtent l="0" t="0" r="6350" b="4445"/>
          <wp:wrapNone/>
          <wp:docPr id="5" name="Afbeelding 5" descr="C:\Users\sa55930\AppData\Local\Microsoft\Windows\INetCache\Content.Word\logo VM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55930\AppData\Local\Microsoft\Windows\INetCache\Content.Word\logo VM_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3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2370">
      <w:rPr>
        <w:rFonts w:eastAsia="Times New Roman" w:cstheme="minorHAnsi"/>
        <w:b/>
        <w:bCs/>
        <w:noProof/>
        <w:kern w:val="36"/>
        <w:lang w:eastAsia="nl-BE"/>
      </w:rPr>
      <w:drawing>
        <wp:anchor distT="0" distB="0" distL="114300" distR="114300" simplePos="0" relativeHeight="251665408" behindDoc="1" locked="0" layoutInCell="1" allowOverlap="1" wp14:anchorId="23AF2513" wp14:editId="302B541C">
          <wp:simplePos x="0" y="0"/>
          <wp:positionH relativeFrom="column">
            <wp:posOffset>3743960</wp:posOffset>
          </wp:positionH>
          <wp:positionV relativeFrom="paragraph">
            <wp:posOffset>-80010</wp:posOffset>
          </wp:positionV>
          <wp:extent cx="697865" cy="719455"/>
          <wp:effectExtent l="0" t="0" r="6985" b="4445"/>
          <wp:wrapNone/>
          <wp:docPr id="6" name="Afbeelding 6" descr="C:\Users\sa55930\AppData\Local\Microsoft\Windows\INetCache\Content.Word\AntwerpBarok_Logo-Right-RGB-Blac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55930\AppData\Local\Microsoft\Windows\INetCache\Content.Word\AntwerpBarok_Logo-Right-RGB-Black-E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7865"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278B">
      <w:rPr>
        <w:rFonts w:eastAsia="Times New Roman" w:cstheme="minorHAnsi"/>
        <w:b/>
        <w:bCs/>
        <w:noProof/>
        <w:kern w:val="36"/>
        <w:lang w:eastAsia="nl-BE"/>
      </w:rPr>
      <w:drawing>
        <wp:anchor distT="0" distB="0" distL="114300" distR="114300" simplePos="0" relativeHeight="251661312" behindDoc="1" locked="0" layoutInCell="1" allowOverlap="1" wp14:anchorId="2D77CA7E" wp14:editId="1C97EADF">
          <wp:simplePos x="0" y="0"/>
          <wp:positionH relativeFrom="column">
            <wp:posOffset>768985</wp:posOffset>
          </wp:positionH>
          <wp:positionV relativeFrom="paragraph">
            <wp:posOffset>-13970</wp:posOffset>
          </wp:positionV>
          <wp:extent cx="2919095" cy="647700"/>
          <wp:effectExtent l="0" t="0" r="0" b="0"/>
          <wp:wrapNone/>
          <wp:docPr id="1" name="Afbeelding 1" descr="I:\5_Standaarddocumenten\5_13_HUISSTIJL\5_13_01_BASISELEMENTEN\5_13_1_01_M_HKA\LOGO_M_HKA\LOGO_M HKA_DEF_vanaf_2009_DRUKWE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5_Standaarddocumenten\5_13_HUISSTIJL\5_13_01_BASISELEMENTEN\5_13_1_01_M_HKA\LOGO_M_HKA\LOGO_M HKA_DEF_vanaf_2009_DRUKWERK.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91909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1D89">
      <w:rPr>
        <w:rFonts w:eastAsia="Arial"/>
        <w:b/>
        <w:noProof/>
        <w:color w:val="000000"/>
        <w:sz w:val="28"/>
        <w:szCs w:val="28"/>
        <w:lang w:eastAsia="nl-BE"/>
      </w:rPr>
      <w:drawing>
        <wp:anchor distT="0" distB="0" distL="114300" distR="114300" simplePos="0" relativeHeight="251663360" behindDoc="1" locked="0" layoutInCell="1" allowOverlap="1" wp14:anchorId="2C2CCCF3" wp14:editId="5429C2F5">
          <wp:simplePos x="0" y="0"/>
          <wp:positionH relativeFrom="column">
            <wp:posOffset>-15875</wp:posOffset>
          </wp:positionH>
          <wp:positionV relativeFrom="paragraph">
            <wp:posOffset>-83820</wp:posOffset>
          </wp:positionV>
          <wp:extent cx="720000" cy="720000"/>
          <wp:effectExtent l="0" t="0" r="4445" b="4445"/>
          <wp:wrapNone/>
          <wp:docPr id="3" name="Afbeelding 3" descr="C:\Users\sa55588\AppData\Local\Microsoft\Windows\Temporary Internet Files\Content.Outlook\SW1VJ29H\Logo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55588\AppData\Local\Microsoft\Windows\Temporary Internet Files\Content.Outlook\SW1VJ29H\Logo_A.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eastAsia="Arial"/>
        <w:b/>
        <w:noProof/>
        <w:color w:val="000000"/>
        <w:sz w:val="28"/>
        <w:szCs w:val="28"/>
        <w:lang w:eastAsia="nl-BE"/>
      </w:rPr>
      <w:tab/>
    </w:r>
  </w:p>
  <w:p w14:paraId="09BF9743" w14:textId="428E4FD0" w:rsidR="0003560E" w:rsidRDefault="00E7116F" w:rsidP="00A72370">
    <w:pPr>
      <w:pStyle w:val="Koptekst"/>
      <w:tabs>
        <w:tab w:val="clear" w:pos="4536"/>
        <w:tab w:val="clear" w:pos="9072"/>
        <w:tab w:val="left" w:pos="3200"/>
        <w:tab w:val="left" w:pos="6540"/>
      </w:tabs>
    </w:pPr>
    <w:r>
      <w:tab/>
    </w:r>
    <w:r w:rsidR="00A72370">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D2533"/>
    <w:multiLevelType w:val="hybridMultilevel"/>
    <w:tmpl w:val="6900848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283A0594"/>
    <w:multiLevelType w:val="hybridMultilevel"/>
    <w:tmpl w:val="71FC2DA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nsid w:val="72395656"/>
    <w:multiLevelType w:val="hybridMultilevel"/>
    <w:tmpl w:val="B4C0D11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73845660"/>
    <w:multiLevelType w:val="hybridMultilevel"/>
    <w:tmpl w:val="B9C2DE1A"/>
    <w:lvl w:ilvl="0" w:tplc="3D94D18E">
      <w:numFmt w:val="bullet"/>
      <w:lvlText w:val=""/>
      <w:lvlJc w:val="left"/>
      <w:pPr>
        <w:ind w:left="720" w:hanging="360"/>
      </w:pPr>
      <w:rPr>
        <w:rFonts w:ascii="Wingdings" w:eastAsia="Calibri" w:hAnsi="Wingdings"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
    <w:nsid w:val="76D8130B"/>
    <w:multiLevelType w:val="hybridMultilevel"/>
    <w:tmpl w:val="A45CCD2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7BAA0DAF"/>
    <w:multiLevelType w:val="multilevel"/>
    <w:tmpl w:val="575CD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dirty"/>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236"/>
    <w:rsid w:val="0001152B"/>
    <w:rsid w:val="000149EB"/>
    <w:rsid w:val="0003560E"/>
    <w:rsid w:val="00046D80"/>
    <w:rsid w:val="00092379"/>
    <w:rsid w:val="00105059"/>
    <w:rsid w:val="00126838"/>
    <w:rsid w:val="00141FC2"/>
    <w:rsid w:val="001572E3"/>
    <w:rsid w:val="001D63F6"/>
    <w:rsid w:val="001E055B"/>
    <w:rsid w:val="002109DF"/>
    <w:rsid w:val="00220737"/>
    <w:rsid w:val="00263E70"/>
    <w:rsid w:val="002920E6"/>
    <w:rsid w:val="002A063D"/>
    <w:rsid w:val="002A233A"/>
    <w:rsid w:val="002F4B50"/>
    <w:rsid w:val="002F570A"/>
    <w:rsid w:val="00301979"/>
    <w:rsid w:val="00304A7B"/>
    <w:rsid w:val="0031339F"/>
    <w:rsid w:val="00336683"/>
    <w:rsid w:val="00394922"/>
    <w:rsid w:val="0039698E"/>
    <w:rsid w:val="003C315B"/>
    <w:rsid w:val="003E2B7B"/>
    <w:rsid w:val="004164CE"/>
    <w:rsid w:val="0042151B"/>
    <w:rsid w:val="004732FD"/>
    <w:rsid w:val="0048278B"/>
    <w:rsid w:val="004A36A2"/>
    <w:rsid w:val="004C1898"/>
    <w:rsid w:val="004C6236"/>
    <w:rsid w:val="005068DA"/>
    <w:rsid w:val="00523032"/>
    <w:rsid w:val="00544742"/>
    <w:rsid w:val="0054665E"/>
    <w:rsid w:val="00547D31"/>
    <w:rsid w:val="00557978"/>
    <w:rsid w:val="006240C4"/>
    <w:rsid w:val="00662891"/>
    <w:rsid w:val="006666C9"/>
    <w:rsid w:val="0069349B"/>
    <w:rsid w:val="00693ABB"/>
    <w:rsid w:val="006A24C3"/>
    <w:rsid w:val="006B73BC"/>
    <w:rsid w:val="006E7F10"/>
    <w:rsid w:val="008210D5"/>
    <w:rsid w:val="00826DFF"/>
    <w:rsid w:val="008769CB"/>
    <w:rsid w:val="008B6406"/>
    <w:rsid w:val="008B7DFC"/>
    <w:rsid w:val="008F75A3"/>
    <w:rsid w:val="009154B6"/>
    <w:rsid w:val="00927E22"/>
    <w:rsid w:val="00943075"/>
    <w:rsid w:val="009602A2"/>
    <w:rsid w:val="009C67F4"/>
    <w:rsid w:val="009D11D0"/>
    <w:rsid w:val="00A304B0"/>
    <w:rsid w:val="00A36276"/>
    <w:rsid w:val="00A66DDC"/>
    <w:rsid w:val="00A72370"/>
    <w:rsid w:val="00AB65DA"/>
    <w:rsid w:val="00B63B77"/>
    <w:rsid w:val="00B86D6C"/>
    <w:rsid w:val="00B87A63"/>
    <w:rsid w:val="00B93437"/>
    <w:rsid w:val="00BB6AE8"/>
    <w:rsid w:val="00C00E69"/>
    <w:rsid w:val="00C01FA2"/>
    <w:rsid w:val="00C90CF5"/>
    <w:rsid w:val="00C93D5D"/>
    <w:rsid w:val="00CC035B"/>
    <w:rsid w:val="00D12486"/>
    <w:rsid w:val="00D31D57"/>
    <w:rsid w:val="00D34F18"/>
    <w:rsid w:val="00D361FD"/>
    <w:rsid w:val="00D52DB4"/>
    <w:rsid w:val="00DA635E"/>
    <w:rsid w:val="00DB31B9"/>
    <w:rsid w:val="00E06349"/>
    <w:rsid w:val="00E077BF"/>
    <w:rsid w:val="00E7116F"/>
    <w:rsid w:val="00E82F20"/>
    <w:rsid w:val="00EA2B81"/>
    <w:rsid w:val="00EA551E"/>
    <w:rsid w:val="00ED12B5"/>
    <w:rsid w:val="00F131C2"/>
    <w:rsid w:val="00F23E5E"/>
    <w:rsid w:val="00F4449B"/>
    <w:rsid w:val="00F5302B"/>
    <w:rsid w:val="00F621C0"/>
    <w:rsid w:val="00FB7578"/>
    <w:rsid w:val="00FF359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48A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F359A"/>
  </w:style>
  <w:style w:type="paragraph" w:styleId="Kop1">
    <w:name w:val="heading 1"/>
    <w:basedOn w:val="Standaard"/>
    <w:link w:val="Kop1Char"/>
    <w:uiPriority w:val="9"/>
    <w:qFormat/>
    <w:rsid w:val="004C623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paragraph" w:styleId="Kop5">
    <w:name w:val="heading 5"/>
    <w:basedOn w:val="Standaard"/>
    <w:next w:val="Standaard"/>
    <w:link w:val="Kop5Char"/>
    <w:uiPriority w:val="9"/>
    <w:semiHidden/>
    <w:unhideWhenUsed/>
    <w:qFormat/>
    <w:rsid w:val="0003560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C6236"/>
    <w:rPr>
      <w:rFonts w:ascii="Times New Roman" w:eastAsia="Times New Roman" w:hAnsi="Times New Roman" w:cs="Times New Roman"/>
      <w:b/>
      <w:bCs/>
      <w:kern w:val="36"/>
      <w:sz w:val="48"/>
      <w:szCs w:val="48"/>
      <w:lang w:eastAsia="nl-BE"/>
    </w:rPr>
  </w:style>
  <w:style w:type="paragraph" w:customStyle="1" w:styleId="rls-intro">
    <w:name w:val="rls-intro"/>
    <w:basedOn w:val="Standaard"/>
    <w:rsid w:val="004C6236"/>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rls-date">
    <w:name w:val="rls-date"/>
    <w:basedOn w:val="Standaardalinea-lettertype"/>
    <w:rsid w:val="004C6236"/>
  </w:style>
  <w:style w:type="character" w:styleId="Zwaar">
    <w:name w:val="Strong"/>
    <w:basedOn w:val="Standaardalinea-lettertype"/>
    <w:uiPriority w:val="22"/>
    <w:qFormat/>
    <w:rsid w:val="004C6236"/>
    <w:rPr>
      <w:b/>
      <w:bCs/>
    </w:rPr>
  </w:style>
  <w:style w:type="character" w:styleId="Nadruk">
    <w:name w:val="Emphasis"/>
    <w:basedOn w:val="Standaardalinea-lettertype"/>
    <w:uiPriority w:val="20"/>
    <w:qFormat/>
    <w:rsid w:val="004C6236"/>
    <w:rPr>
      <w:i/>
      <w:iCs/>
    </w:rPr>
  </w:style>
  <w:style w:type="paragraph" w:styleId="Normaalweb">
    <w:name w:val="Normal (Web)"/>
    <w:basedOn w:val="Standaard"/>
    <w:uiPriority w:val="99"/>
    <w:unhideWhenUsed/>
    <w:rsid w:val="004C6236"/>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Tekstzonderopmaak">
    <w:name w:val="Plain Text"/>
    <w:basedOn w:val="Standaard"/>
    <w:link w:val="TekstzonderopmaakChar"/>
    <w:uiPriority w:val="99"/>
    <w:unhideWhenUsed/>
    <w:rsid w:val="00ED12B5"/>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rsid w:val="00ED12B5"/>
    <w:rPr>
      <w:rFonts w:ascii="Calibri" w:hAnsi="Calibri"/>
      <w:szCs w:val="21"/>
    </w:rPr>
  </w:style>
  <w:style w:type="character" w:customStyle="1" w:styleId="apple-converted-space">
    <w:name w:val="apple-converted-space"/>
    <w:basedOn w:val="Standaardalinea-lettertype"/>
    <w:rsid w:val="006B73BC"/>
  </w:style>
  <w:style w:type="paragraph" w:styleId="Ballontekst">
    <w:name w:val="Balloon Text"/>
    <w:basedOn w:val="Standaard"/>
    <w:link w:val="BallontekstChar"/>
    <w:uiPriority w:val="99"/>
    <w:semiHidden/>
    <w:unhideWhenUsed/>
    <w:rsid w:val="009C67F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C67F4"/>
    <w:rPr>
      <w:rFonts w:ascii="Tahoma" w:hAnsi="Tahoma" w:cs="Tahoma"/>
      <w:sz w:val="16"/>
      <w:szCs w:val="16"/>
    </w:rPr>
  </w:style>
  <w:style w:type="character" w:styleId="Hyperlink">
    <w:name w:val="Hyperlink"/>
    <w:basedOn w:val="Standaardalinea-lettertype"/>
    <w:uiPriority w:val="99"/>
    <w:unhideWhenUsed/>
    <w:rsid w:val="001E055B"/>
    <w:rPr>
      <w:color w:val="0000FF"/>
      <w:u w:val="single"/>
    </w:rPr>
  </w:style>
  <w:style w:type="character" w:styleId="Verwijzingopmerking">
    <w:name w:val="annotation reference"/>
    <w:basedOn w:val="Standaardalinea-lettertype"/>
    <w:uiPriority w:val="99"/>
    <w:semiHidden/>
    <w:unhideWhenUsed/>
    <w:rsid w:val="00092379"/>
    <w:rPr>
      <w:sz w:val="16"/>
      <w:szCs w:val="16"/>
    </w:rPr>
  </w:style>
  <w:style w:type="paragraph" w:styleId="Tekstopmerking">
    <w:name w:val="annotation text"/>
    <w:basedOn w:val="Standaard"/>
    <w:link w:val="TekstopmerkingChar"/>
    <w:uiPriority w:val="99"/>
    <w:semiHidden/>
    <w:unhideWhenUsed/>
    <w:rsid w:val="0009237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92379"/>
    <w:rPr>
      <w:sz w:val="20"/>
      <w:szCs w:val="20"/>
    </w:rPr>
  </w:style>
  <w:style w:type="paragraph" w:styleId="Onderwerpvanopmerking">
    <w:name w:val="annotation subject"/>
    <w:basedOn w:val="Tekstopmerking"/>
    <w:next w:val="Tekstopmerking"/>
    <w:link w:val="OnderwerpvanopmerkingChar"/>
    <w:uiPriority w:val="99"/>
    <w:semiHidden/>
    <w:unhideWhenUsed/>
    <w:rsid w:val="00092379"/>
    <w:rPr>
      <w:b/>
      <w:bCs/>
    </w:rPr>
  </w:style>
  <w:style w:type="character" w:customStyle="1" w:styleId="OnderwerpvanopmerkingChar">
    <w:name w:val="Onderwerp van opmerking Char"/>
    <w:basedOn w:val="TekstopmerkingChar"/>
    <w:link w:val="Onderwerpvanopmerking"/>
    <w:uiPriority w:val="99"/>
    <w:semiHidden/>
    <w:rsid w:val="00092379"/>
    <w:rPr>
      <w:b/>
      <w:bCs/>
      <w:sz w:val="20"/>
      <w:szCs w:val="20"/>
    </w:rPr>
  </w:style>
  <w:style w:type="character" w:customStyle="1" w:styleId="Kop5Char">
    <w:name w:val="Kop 5 Char"/>
    <w:basedOn w:val="Standaardalinea-lettertype"/>
    <w:link w:val="Kop5"/>
    <w:uiPriority w:val="9"/>
    <w:semiHidden/>
    <w:rsid w:val="0003560E"/>
    <w:rPr>
      <w:rFonts w:asciiTheme="majorHAnsi" w:eastAsiaTheme="majorEastAsia" w:hAnsiTheme="majorHAnsi" w:cstheme="majorBidi"/>
      <w:color w:val="243F60" w:themeColor="accent1" w:themeShade="7F"/>
    </w:rPr>
  </w:style>
  <w:style w:type="paragraph" w:styleId="Koptekst">
    <w:name w:val="header"/>
    <w:basedOn w:val="Standaard"/>
    <w:link w:val="KoptekstChar"/>
    <w:uiPriority w:val="99"/>
    <w:unhideWhenUsed/>
    <w:rsid w:val="0003560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3560E"/>
  </w:style>
  <w:style w:type="paragraph" w:styleId="Voettekst">
    <w:name w:val="footer"/>
    <w:basedOn w:val="Standaard"/>
    <w:link w:val="VoettekstChar"/>
    <w:uiPriority w:val="99"/>
    <w:unhideWhenUsed/>
    <w:rsid w:val="0003560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3560E"/>
  </w:style>
  <w:style w:type="paragraph" w:styleId="Lijstalinea">
    <w:name w:val="List Paragraph"/>
    <w:basedOn w:val="Standaard"/>
    <w:uiPriority w:val="34"/>
    <w:qFormat/>
    <w:rsid w:val="00A36276"/>
    <w:pPr>
      <w:spacing w:after="0" w:line="240" w:lineRule="auto"/>
      <w:ind w:left="720"/>
    </w:pPr>
    <w:rPr>
      <w:rFonts w:ascii="Times New Roman" w:hAnsi="Times New Roman" w:cs="Times New Roman"/>
      <w:sz w:val="24"/>
      <w:szCs w:val="24"/>
      <w:lang w:eastAsia="nl-BE"/>
    </w:rPr>
  </w:style>
  <w:style w:type="paragraph" w:styleId="Plattetekst">
    <w:name w:val="Body Text"/>
    <w:basedOn w:val="Standaard"/>
    <w:link w:val="PlattetekstChar"/>
    <w:uiPriority w:val="1"/>
    <w:qFormat/>
    <w:rsid w:val="00263E70"/>
    <w:pPr>
      <w:widowControl w:val="0"/>
      <w:autoSpaceDE w:val="0"/>
      <w:autoSpaceDN w:val="0"/>
      <w:spacing w:after="0" w:line="240" w:lineRule="auto"/>
    </w:pPr>
    <w:rPr>
      <w:rFonts w:ascii="Times New Roman" w:eastAsia="Times New Roman" w:hAnsi="Times New Roman" w:cs="Times New Roman"/>
      <w:sz w:val="24"/>
      <w:szCs w:val="24"/>
      <w:lang w:val="nl-NL" w:eastAsia="nl-NL" w:bidi="nl-NL"/>
    </w:rPr>
  </w:style>
  <w:style w:type="character" w:customStyle="1" w:styleId="PlattetekstChar">
    <w:name w:val="Platte tekst Char"/>
    <w:basedOn w:val="Standaardalinea-lettertype"/>
    <w:link w:val="Plattetekst"/>
    <w:uiPriority w:val="1"/>
    <w:rsid w:val="00263E70"/>
    <w:rPr>
      <w:rFonts w:ascii="Times New Roman" w:eastAsia="Times New Roman" w:hAnsi="Times New Roman" w:cs="Times New Roman"/>
      <w:sz w:val="24"/>
      <w:szCs w:val="24"/>
      <w:lang w:val="nl-NL" w:eastAsia="nl-NL" w:bidi="nl-NL"/>
    </w:rPr>
  </w:style>
  <w:style w:type="paragraph" w:styleId="Voetnoottekst">
    <w:name w:val="footnote text"/>
    <w:basedOn w:val="Standaard"/>
    <w:link w:val="VoetnoottekstChar"/>
    <w:uiPriority w:val="99"/>
    <w:unhideWhenUsed/>
    <w:rsid w:val="00263E70"/>
    <w:pPr>
      <w:spacing w:after="0" w:line="240" w:lineRule="auto"/>
      <w:jc w:val="both"/>
    </w:pPr>
    <w:rPr>
      <w:rFonts w:asciiTheme="majorHAnsi" w:eastAsiaTheme="majorEastAsia" w:hAnsiTheme="majorHAnsi" w:cstheme="majorBidi"/>
      <w:sz w:val="24"/>
      <w:szCs w:val="24"/>
      <w:lang w:val="fr-FR" w:eastAsia="fr-FR"/>
    </w:rPr>
  </w:style>
  <w:style w:type="character" w:customStyle="1" w:styleId="VoetnoottekstChar">
    <w:name w:val="Voetnoottekst Char"/>
    <w:basedOn w:val="Standaardalinea-lettertype"/>
    <w:link w:val="Voetnoottekst"/>
    <w:uiPriority w:val="99"/>
    <w:rsid w:val="00263E70"/>
    <w:rPr>
      <w:rFonts w:asciiTheme="majorHAnsi" w:eastAsiaTheme="majorEastAsia" w:hAnsiTheme="majorHAnsi" w:cstheme="majorBidi"/>
      <w:sz w:val="24"/>
      <w:szCs w:val="24"/>
      <w:lang w:val="fr-FR" w:eastAsia="fr-FR"/>
    </w:rPr>
  </w:style>
  <w:style w:type="character" w:styleId="Voetnootmarkering">
    <w:name w:val="footnote reference"/>
    <w:basedOn w:val="Standaardalinea-lettertype"/>
    <w:uiPriority w:val="99"/>
    <w:unhideWhenUsed/>
    <w:rsid w:val="00263E7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F359A"/>
  </w:style>
  <w:style w:type="paragraph" w:styleId="Kop1">
    <w:name w:val="heading 1"/>
    <w:basedOn w:val="Standaard"/>
    <w:link w:val="Kop1Char"/>
    <w:uiPriority w:val="9"/>
    <w:qFormat/>
    <w:rsid w:val="004C623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paragraph" w:styleId="Kop5">
    <w:name w:val="heading 5"/>
    <w:basedOn w:val="Standaard"/>
    <w:next w:val="Standaard"/>
    <w:link w:val="Kop5Char"/>
    <w:uiPriority w:val="9"/>
    <w:semiHidden/>
    <w:unhideWhenUsed/>
    <w:qFormat/>
    <w:rsid w:val="0003560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C6236"/>
    <w:rPr>
      <w:rFonts w:ascii="Times New Roman" w:eastAsia="Times New Roman" w:hAnsi="Times New Roman" w:cs="Times New Roman"/>
      <w:b/>
      <w:bCs/>
      <w:kern w:val="36"/>
      <w:sz w:val="48"/>
      <w:szCs w:val="48"/>
      <w:lang w:eastAsia="nl-BE"/>
    </w:rPr>
  </w:style>
  <w:style w:type="paragraph" w:customStyle="1" w:styleId="rls-intro">
    <w:name w:val="rls-intro"/>
    <w:basedOn w:val="Standaard"/>
    <w:rsid w:val="004C6236"/>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rls-date">
    <w:name w:val="rls-date"/>
    <w:basedOn w:val="Standaardalinea-lettertype"/>
    <w:rsid w:val="004C6236"/>
  </w:style>
  <w:style w:type="character" w:styleId="Zwaar">
    <w:name w:val="Strong"/>
    <w:basedOn w:val="Standaardalinea-lettertype"/>
    <w:uiPriority w:val="22"/>
    <w:qFormat/>
    <w:rsid w:val="004C6236"/>
    <w:rPr>
      <w:b/>
      <w:bCs/>
    </w:rPr>
  </w:style>
  <w:style w:type="character" w:styleId="Nadruk">
    <w:name w:val="Emphasis"/>
    <w:basedOn w:val="Standaardalinea-lettertype"/>
    <w:uiPriority w:val="20"/>
    <w:qFormat/>
    <w:rsid w:val="004C6236"/>
    <w:rPr>
      <w:i/>
      <w:iCs/>
    </w:rPr>
  </w:style>
  <w:style w:type="paragraph" w:styleId="Normaalweb">
    <w:name w:val="Normal (Web)"/>
    <w:basedOn w:val="Standaard"/>
    <w:uiPriority w:val="99"/>
    <w:unhideWhenUsed/>
    <w:rsid w:val="004C6236"/>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Tekstzonderopmaak">
    <w:name w:val="Plain Text"/>
    <w:basedOn w:val="Standaard"/>
    <w:link w:val="TekstzonderopmaakChar"/>
    <w:uiPriority w:val="99"/>
    <w:unhideWhenUsed/>
    <w:rsid w:val="00ED12B5"/>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rsid w:val="00ED12B5"/>
    <w:rPr>
      <w:rFonts w:ascii="Calibri" w:hAnsi="Calibri"/>
      <w:szCs w:val="21"/>
    </w:rPr>
  </w:style>
  <w:style w:type="character" w:customStyle="1" w:styleId="apple-converted-space">
    <w:name w:val="apple-converted-space"/>
    <w:basedOn w:val="Standaardalinea-lettertype"/>
    <w:rsid w:val="006B73BC"/>
  </w:style>
  <w:style w:type="paragraph" w:styleId="Ballontekst">
    <w:name w:val="Balloon Text"/>
    <w:basedOn w:val="Standaard"/>
    <w:link w:val="BallontekstChar"/>
    <w:uiPriority w:val="99"/>
    <w:semiHidden/>
    <w:unhideWhenUsed/>
    <w:rsid w:val="009C67F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C67F4"/>
    <w:rPr>
      <w:rFonts w:ascii="Tahoma" w:hAnsi="Tahoma" w:cs="Tahoma"/>
      <w:sz w:val="16"/>
      <w:szCs w:val="16"/>
    </w:rPr>
  </w:style>
  <w:style w:type="character" w:styleId="Hyperlink">
    <w:name w:val="Hyperlink"/>
    <w:basedOn w:val="Standaardalinea-lettertype"/>
    <w:uiPriority w:val="99"/>
    <w:unhideWhenUsed/>
    <w:rsid w:val="001E055B"/>
    <w:rPr>
      <w:color w:val="0000FF"/>
      <w:u w:val="single"/>
    </w:rPr>
  </w:style>
  <w:style w:type="character" w:styleId="Verwijzingopmerking">
    <w:name w:val="annotation reference"/>
    <w:basedOn w:val="Standaardalinea-lettertype"/>
    <w:uiPriority w:val="99"/>
    <w:semiHidden/>
    <w:unhideWhenUsed/>
    <w:rsid w:val="00092379"/>
    <w:rPr>
      <w:sz w:val="16"/>
      <w:szCs w:val="16"/>
    </w:rPr>
  </w:style>
  <w:style w:type="paragraph" w:styleId="Tekstopmerking">
    <w:name w:val="annotation text"/>
    <w:basedOn w:val="Standaard"/>
    <w:link w:val="TekstopmerkingChar"/>
    <w:uiPriority w:val="99"/>
    <w:semiHidden/>
    <w:unhideWhenUsed/>
    <w:rsid w:val="0009237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92379"/>
    <w:rPr>
      <w:sz w:val="20"/>
      <w:szCs w:val="20"/>
    </w:rPr>
  </w:style>
  <w:style w:type="paragraph" w:styleId="Onderwerpvanopmerking">
    <w:name w:val="annotation subject"/>
    <w:basedOn w:val="Tekstopmerking"/>
    <w:next w:val="Tekstopmerking"/>
    <w:link w:val="OnderwerpvanopmerkingChar"/>
    <w:uiPriority w:val="99"/>
    <w:semiHidden/>
    <w:unhideWhenUsed/>
    <w:rsid w:val="00092379"/>
    <w:rPr>
      <w:b/>
      <w:bCs/>
    </w:rPr>
  </w:style>
  <w:style w:type="character" w:customStyle="1" w:styleId="OnderwerpvanopmerkingChar">
    <w:name w:val="Onderwerp van opmerking Char"/>
    <w:basedOn w:val="TekstopmerkingChar"/>
    <w:link w:val="Onderwerpvanopmerking"/>
    <w:uiPriority w:val="99"/>
    <w:semiHidden/>
    <w:rsid w:val="00092379"/>
    <w:rPr>
      <w:b/>
      <w:bCs/>
      <w:sz w:val="20"/>
      <w:szCs w:val="20"/>
    </w:rPr>
  </w:style>
  <w:style w:type="character" w:customStyle="1" w:styleId="Kop5Char">
    <w:name w:val="Kop 5 Char"/>
    <w:basedOn w:val="Standaardalinea-lettertype"/>
    <w:link w:val="Kop5"/>
    <w:uiPriority w:val="9"/>
    <w:semiHidden/>
    <w:rsid w:val="0003560E"/>
    <w:rPr>
      <w:rFonts w:asciiTheme="majorHAnsi" w:eastAsiaTheme="majorEastAsia" w:hAnsiTheme="majorHAnsi" w:cstheme="majorBidi"/>
      <w:color w:val="243F60" w:themeColor="accent1" w:themeShade="7F"/>
    </w:rPr>
  </w:style>
  <w:style w:type="paragraph" w:styleId="Koptekst">
    <w:name w:val="header"/>
    <w:basedOn w:val="Standaard"/>
    <w:link w:val="KoptekstChar"/>
    <w:uiPriority w:val="99"/>
    <w:unhideWhenUsed/>
    <w:rsid w:val="0003560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3560E"/>
  </w:style>
  <w:style w:type="paragraph" w:styleId="Voettekst">
    <w:name w:val="footer"/>
    <w:basedOn w:val="Standaard"/>
    <w:link w:val="VoettekstChar"/>
    <w:uiPriority w:val="99"/>
    <w:unhideWhenUsed/>
    <w:rsid w:val="0003560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3560E"/>
  </w:style>
  <w:style w:type="paragraph" w:styleId="Lijstalinea">
    <w:name w:val="List Paragraph"/>
    <w:basedOn w:val="Standaard"/>
    <w:uiPriority w:val="34"/>
    <w:qFormat/>
    <w:rsid w:val="00A36276"/>
    <w:pPr>
      <w:spacing w:after="0" w:line="240" w:lineRule="auto"/>
      <w:ind w:left="720"/>
    </w:pPr>
    <w:rPr>
      <w:rFonts w:ascii="Times New Roman" w:hAnsi="Times New Roman" w:cs="Times New Roman"/>
      <w:sz w:val="24"/>
      <w:szCs w:val="24"/>
      <w:lang w:eastAsia="nl-BE"/>
    </w:rPr>
  </w:style>
  <w:style w:type="paragraph" w:styleId="Plattetekst">
    <w:name w:val="Body Text"/>
    <w:basedOn w:val="Standaard"/>
    <w:link w:val="PlattetekstChar"/>
    <w:uiPriority w:val="1"/>
    <w:qFormat/>
    <w:rsid w:val="00263E70"/>
    <w:pPr>
      <w:widowControl w:val="0"/>
      <w:autoSpaceDE w:val="0"/>
      <w:autoSpaceDN w:val="0"/>
      <w:spacing w:after="0" w:line="240" w:lineRule="auto"/>
    </w:pPr>
    <w:rPr>
      <w:rFonts w:ascii="Times New Roman" w:eastAsia="Times New Roman" w:hAnsi="Times New Roman" w:cs="Times New Roman"/>
      <w:sz w:val="24"/>
      <w:szCs w:val="24"/>
      <w:lang w:val="nl-NL" w:eastAsia="nl-NL" w:bidi="nl-NL"/>
    </w:rPr>
  </w:style>
  <w:style w:type="character" w:customStyle="1" w:styleId="PlattetekstChar">
    <w:name w:val="Platte tekst Char"/>
    <w:basedOn w:val="Standaardalinea-lettertype"/>
    <w:link w:val="Plattetekst"/>
    <w:uiPriority w:val="1"/>
    <w:rsid w:val="00263E70"/>
    <w:rPr>
      <w:rFonts w:ascii="Times New Roman" w:eastAsia="Times New Roman" w:hAnsi="Times New Roman" w:cs="Times New Roman"/>
      <w:sz w:val="24"/>
      <w:szCs w:val="24"/>
      <w:lang w:val="nl-NL" w:eastAsia="nl-NL" w:bidi="nl-NL"/>
    </w:rPr>
  </w:style>
  <w:style w:type="paragraph" w:styleId="Voetnoottekst">
    <w:name w:val="footnote text"/>
    <w:basedOn w:val="Standaard"/>
    <w:link w:val="VoetnoottekstChar"/>
    <w:uiPriority w:val="99"/>
    <w:unhideWhenUsed/>
    <w:rsid w:val="00263E70"/>
    <w:pPr>
      <w:spacing w:after="0" w:line="240" w:lineRule="auto"/>
      <w:jc w:val="both"/>
    </w:pPr>
    <w:rPr>
      <w:rFonts w:asciiTheme="majorHAnsi" w:eastAsiaTheme="majorEastAsia" w:hAnsiTheme="majorHAnsi" w:cstheme="majorBidi"/>
      <w:sz w:val="24"/>
      <w:szCs w:val="24"/>
      <w:lang w:val="fr-FR" w:eastAsia="fr-FR"/>
    </w:rPr>
  </w:style>
  <w:style w:type="character" w:customStyle="1" w:styleId="VoetnoottekstChar">
    <w:name w:val="Voetnoottekst Char"/>
    <w:basedOn w:val="Standaardalinea-lettertype"/>
    <w:link w:val="Voetnoottekst"/>
    <w:uiPriority w:val="99"/>
    <w:rsid w:val="00263E70"/>
    <w:rPr>
      <w:rFonts w:asciiTheme="majorHAnsi" w:eastAsiaTheme="majorEastAsia" w:hAnsiTheme="majorHAnsi" w:cstheme="majorBidi"/>
      <w:sz w:val="24"/>
      <w:szCs w:val="24"/>
      <w:lang w:val="fr-FR" w:eastAsia="fr-FR"/>
    </w:rPr>
  </w:style>
  <w:style w:type="character" w:styleId="Voetnootmarkering">
    <w:name w:val="footnote reference"/>
    <w:basedOn w:val="Standaardalinea-lettertype"/>
    <w:uiPriority w:val="99"/>
    <w:unhideWhenUsed/>
    <w:rsid w:val="00263E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38703">
      <w:bodyDiv w:val="1"/>
      <w:marLeft w:val="0"/>
      <w:marRight w:val="0"/>
      <w:marTop w:val="0"/>
      <w:marBottom w:val="0"/>
      <w:divBdr>
        <w:top w:val="none" w:sz="0" w:space="0" w:color="auto"/>
        <w:left w:val="none" w:sz="0" w:space="0" w:color="auto"/>
        <w:bottom w:val="none" w:sz="0" w:space="0" w:color="auto"/>
        <w:right w:val="none" w:sz="0" w:space="0" w:color="auto"/>
      </w:divBdr>
    </w:div>
    <w:div w:id="147675453">
      <w:bodyDiv w:val="1"/>
      <w:marLeft w:val="0"/>
      <w:marRight w:val="0"/>
      <w:marTop w:val="0"/>
      <w:marBottom w:val="0"/>
      <w:divBdr>
        <w:top w:val="none" w:sz="0" w:space="0" w:color="auto"/>
        <w:left w:val="none" w:sz="0" w:space="0" w:color="auto"/>
        <w:bottom w:val="none" w:sz="0" w:space="0" w:color="auto"/>
        <w:right w:val="none" w:sz="0" w:space="0" w:color="auto"/>
      </w:divBdr>
    </w:div>
    <w:div w:id="158691887">
      <w:bodyDiv w:val="1"/>
      <w:marLeft w:val="0"/>
      <w:marRight w:val="0"/>
      <w:marTop w:val="0"/>
      <w:marBottom w:val="0"/>
      <w:divBdr>
        <w:top w:val="none" w:sz="0" w:space="0" w:color="auto"/>
        <w:left w:val="none" w:sz="0" w:space="0" w:color="auto"/>
        <w:bottom w:val="none" w:sz="0" w:space="0" w:color="auto"/>
        <w:right w:val="none" w:sz="0" w:space="0" w:color="auto"/>
      </w:divBdr>
    </w:div>
    <w:div w:id="501047460">
      <w:bodyDiv w:val="1"/>
      <w:marLeft w:val="0"/>
      <w:marRight w:val="0"/>
      <w:marTop w:val="0"/>
      <w:marBottom w:val="0"/>
      <w:divBdr>
        <w:top w:val="none" w:sz="0" w:space="0" w:color="auto"/>
        <w:left w:val="none" w:sz="0" w:space="0" w:color="auto"/>
        <w:bottom w:val="none" w:sz="0" w:space="0" w:color="auto"/>
        <w:right w:val="none" w:sz="0" w:space="0" w:color="auto"/>
      </w:divBdr>
    </w:div>
    <w:div w:id="564336253">
      <w:bodyDiv w:val="1"/>
      <w:marLeft w:val="0"/>
      <w:marRight w:val="0"/>
      <w:marTop w:val="0"/>
      <w:marBottom w:val="0"/>
      <w:divBdr>
        <w:top w:val="none" w:sz="0" w:space="0" w:color="auto"/>
        <w:left w:val="none" w:sz="0" w:space="0" w:color="auto"/>
        <w:bottom w:val="none" w:sz="0" w:space="0" w:color="auto"/>
        <w:right w:val="none" w:sz="0" w:space="0" w:color="auto"/>
      </w:divBdr>
    </w:div>
    <w:div w:id="663437522">
      <w:bodyDiv w:val="1"/>
      <w:marLeft w:val="300"/>
      <w:marRight w:val="300"/>
      <w:marTop w:val="300"/>
      <w:marBottom w:val="300"/>
      <w:divBdr>
        <w:top w:val="none" w:sz="0" w:space="0" w:color="auto"/>
        <w:left w:val="none" w:sz="0" w:space="0" w:color="auto"/>
        <w:bottom w:val="none" w:sz="0" w:space="0" w:color="auto"/>
        <w:right w:val="none" w:sz="0" w:space="0" w:color="auto"/>
      </w:divBdr>
    </w:div>
    <w:div w:id="814880615">
      <w:bodyDiv w:val="1"/>
      <w:marLeft w:val="300"/>
      <w:marRight w:val="300"/>
      <w:marTop w:val="300"/>
      <w:marBottom w:val="300"/>
      <w:divBdr>
        <w:top w:val="none" w:sz="0" w:space="0" w:color="auto"/>
        <w:left w:val="none" w:sz="0" w:space="0" w:color="auto"/>
        <w:bottom w:val="none" w:sz="0" w:space="0" w:color="auto"/>
        <w:right w:val="none" w:sz="0" w:space="0" w:color="auto"/>
      </w:divBdr>
    </w:div>
    <w:div w:id="924344569">
      <w:bodyDiv w:val="1"/>
      <w:marLeft w:val="0"/>
      <w:marRight w:val="0"/>
      <w:marTop w:val="0"/>
      <w:marBottom w:val="0"/>
      <w:divBdr>
        <w:top w:val="none" w:sz="0" w:space="0" w:color="auto"/>
        <w:left w:val="none" w:sz="0" w:space="0" w:color="auto"/>
        <w:bottom w:val="none" w:sz="0" w:space="0" w:color="auto"/>
        <w:right w:val="none" w:sz="0" w:space="0" w:color="auto"/>
      </w:divBdr>
    </w:div>
    <w:div w:id="1331525345">
      <w:bodyDiv w:val="1"/>
      <w:marLeft w:val="0"/>
      <w:marRight w:val="0"/>
      <w:marTop w:val="0"/>
      <w:marBottom w:val="0"/>
      <w:divBdr>
        <w:top w:val="none" w:sz="0" w:space="0" w:color="auto"/>
        <w:left w:val="none" w:sz="0" w:space="0" w:color="auto"/>
        <w:bottom w:val="none" w:sz="0" w:space="0" w:color="auto"/>
        <w:right w:val="none" w:sz="0" w:space="0" w:color="auto"/>
      </w:divBdr>
    </w:div>
    <w:div w:id="1424297005">
      <w:bodyDiv w:val="1"/>
      <w:marLeft w:val="0"/>
      <w:marRight w:val="0"/>
      <w:marTop w:val="0"/>
      <w:marBottom w:val="0"/>
      <w:divBdr>
        <w:top w:val="none" w:sz="0" w:space="0" w:color="auto"/>
        <w:left w:val="none" w:sz="0" w:space="0" w:color="auto"/>
        <w:bottom w:val="none" w:sz="0" w:space="0" w:color="auto"/>
        <w:right w:val="none" w:sz="0" w:space="0" w:color="auto"/>
      </w:divBdr>
    </w:div>
    <w:div w:id="1424647922">
      <w:bodyDiv w:val="1"/>
      <w:marLeft w:val="0"/>
      <w:marRight w:val="0"/>
      <w:marTop w:val="0"/>
      <w:marBottom w:val="0"/>
      <w:divBdr>
        <w:top w:val="none" w:sz="0" w:space="0" w:color="auto"/>
        <w:left w:val="none" w:sz="0" w:space="0" w:color="auto"/>
        <w:bottom w:val="none" w:sz="0" w:space="0" w:color="auto"/>
        <w:right w:val="none" w:sz="0" w:space="0" w:color="auto"/>
      </w:divBdr>
    </w:div>
    <w:div w:id="1843423323">
      <w:bodyDiv w:val="1"/>
      <w:marLeft w:val="0"/>
      <w:marRight w:val="0"/>
      <w:marTop w:val="0"/>
      <w:marBottom w:val="0"/>
      <w:divBdr>
        <w:top w:val="none" w:sz="0" w:space="0" w:color="auto"/>
        <w:left w:val="none" w:sz="0" w:space="0" w:color="auto"/>
        <w:bottom w:val="none" w:sz="0" w:space="0" w:color="auto"/>
        <w:right w:val="none" w:sz="0" w:space="0" w:color="auto"/>
      </w:divBdr>
    </w:div>
    <w:div w:id="193227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3BB95-3E9C-459A-A829-65FB39EEE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1600</Words>
  <Characters>8804</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Digipolis Antwerpen</Company>
  <LinksUpToDate>false</LinksUpToDate>
  <CharactersWithSpaces>10384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Vandenberghe</dc:creator>
  <cp:lastModifiedBy>sa55930</cp:lastModifiedBy>
  <cp:revision>3</cp:revision>
  <cp:lastPrinted>2018-04-20T07:44:00Z</cp:lastPrinted>
  <dcterms:created xsi:type="dcterms:W3CDTF">2018-05-24T11:37:00Z</dcterms:created>
  <dcterms:modified xsi:type="dcterms:W3CDTF">2018-05-24T11:38:00Z</dcterms:modified>
</cp:coreProperties>
</file>