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  <w:color w:val="ff6600"/>
          <w:sz w:val="42"/>
          <w:szCs w:val="4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ff6600"/>
          <w:sz w:val="42"/>
          <w:szCs w:val="42"/>
          <w:highlight w:val="white"/>
          <w:rtl w:val="0"/>
        </w:rPr>
        <w:t xml:space="preserve">2021 será el año cero para la digitalización de métodos de pagos y transacciones exitosas del sector empresarial</w:t>
      </w:r>
    </w:p>
    <w:p w:rsidR="00000000" w:rsidDel="00000000" w:rsidP="00000000" w:rsidRDefault="00000000" w:rsidRPr="00000000" w14:paraId="00000002">
      <w:pPr>
        <w:rPr>
          <w:rFonts w:ascii="Montserrat" w:cs="Montserrat" w:eastAsia="Montserrat" w:hAnsi="Montserrat"/>
          <w:i w:val="1"/>
          <w:color w:val="66666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i w:val="1"/>
          <w:color w:val="666666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666666"/>
          <w:highlight w:val="white"/>
          <w:rtl w:val="0"/>
        </w:rPr>
        <w:t xml:space="preserve">Se digitalizaron 20% más los servicios y productos de diciembre 2019  a julio 2020.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i w:val="1"/>
          <w:color w:val="666666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666666"/>
          <w:highlight w:val="white"/>
          <w:rtl w:val="0"/>
        </w:rPr>
        <w:t xml:space="preserve">La transformación digital no sólo ayuda a impulsar a un negocio, sino también a toda una industria. </w:t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  <w:i w:val="1"/>
          <w:color w:val="999999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999999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white"/>
          <w:rtl w:val="0"/>
        </w:rPr>
        <w:t xml:space="preserve">Ciudad de México, 4 de enero de 2021.-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Las circunstancias del 2020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white"/>
          <w:rtl w:val="0"/>
        </w:rPr>
        <w:t xml:space="preserve">dejaron un aprendizaje constructivo para el sector empresarial y sus métodos de pago que ofrecen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. La mayoría de las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white"/>
          <w:rtl w:val="0"/>
        </w:rPr>
        <w:t xml:space="preserve"> industrias se vieron en la necesidad de responder a una crisis que no estaba en el radar,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 y reforzaron su capacidad de reacción al hacer de la flexibilidad, la adaptabilidad y la autosuficiencia sus pilares fundamentales de negocio. </w:t>
      </w:r>
    </w:p>
    <w:p w:rsidR="00000000" w:rsidDel="00000000" w:rsidP="00000000" w:rsidRDefault="00000000" w:rsidRPr="00000000" w14:paraId="00000007">
      <w:pPr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white"/>
          <w:rtl w:val="0"/>
        </w:rPr>
        <w:t xml:space="preserve">2021 se aproxima con distintos retos para las compañías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. Sin duda, el más importante será el nivel de madurez que muestren para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white"/>
          <w:rtl w:val="0"/>
        </w:rPr>
        <w:t xml:space="preserve">transitar hacia una transformación digital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. De hecho, el año de la pandemia multiplicó el compromiso de las empresas por mejorar las experiencias digitales de pago para sus clientes.</w:t>
      </w:r>
    </w:p>
    <w:p w:rsidR="00000000" w:rsidDel="00000000" w:rsidP="00000000" w:rsidRDefault="00000000" w:rsidRPr="00000000" w14:paraId="00000009">
      <w:pPr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“Estamos en el primer capítulo de lo que se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conoce como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white"/>
          <w:rtl w:val="0"/>
        </w:rPr>
        <w:t xml:space="preserve"> economía inteligente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”, mencionó Sergio Villarruel, Director Comercial y Marketing en Fiserv México, empresa líder en el procesamiento de pagos. “Este nuevo panorama promete que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white"/>
          <w:rtl w:val="0"/>
        </w:rPr>
        <w:t xml:space="preserve">las empresas serán más productivas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 y brindarán a los consumidores formas de interacción de aceptación de tarjetas más eficientes”, agregó.  </w:t>
      </w:r>
    </w:p>
    <w:p w:rsidR="00000000" w:rsidDel="00000000" w:rsidP="00000000" w:rsidRDefault="00000000" w:rsidRPr="00000000" w14:paraId="0000000B">
      <w:pPr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Ahora las empresas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white"/>
          <w:rtl w:val="0"/>
        </w:rPr>
        <w:t xml:space="preserve"> usan tecnología para sustituir servicios que antes se realizaban cara a cara.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Dicho de otra manera, los cambios estratégicos que trajo consigo la “nueva normalidad” ya no serán opcionales, sino una necesidad en sí misma para la gestión de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white"/>
          <w:rtl w:val="0"/>
        </w:rPr>
        <w:t xml:space="preserve">recursos digitales como referente de competitividad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 en formas de cobrar y aceptación de dinero electrónico. </w:t>
      </w:r>
    </w:p>
    <w:p w:rsidR="00000000" w:rsidDel="00000000" w:rsidP="00000000" w:rsidRDefault="00000000" w:rsidRPr="00000000" w14:paraId="0000000D">
      <w:pPr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Villarruel destaca que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white"/>
          <w:rtl w:val="0"/>
        </w:rPr>
        <w:t xml:space="preserve">la digitalización no cambia el enfoque comercial de una empresa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, sino que lo impulsa para lograr sus objetivos comerciales. También recomienda estar atentos a las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white"/>
          <w:rtl w:val="0"/>
        </w:rPr>
        <w:t xml:space="preserve">tendencias tecnológicas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, en especial a las que tengan que ver con transacciones financieras para enfrentar el nuevo panorama que dicta la pandemia por Covid-19.</w:t>
      </w:r>
    </w:p>
    <w:p w:rsidR="00000000" w:rsidDel="00000000" w:rsidP="00000000" w:rsidRDefault="00000000" w:rsidRPr="00000000" w14:paraId="0000000F">
      <w:pPr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En virtud de ello, firmas como Fiserv destinan sus esfuerzos en brindar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white"/>
          <w:rtl w:val="0"/>
        </w:rPr>
        <w:t xml:space="preserve"> tecnología de última generación para cualquier giro comercial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. Su servicio omnicanal integra distintas soluciones de pago que se focalizan en hacer que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white"/>
          <w:rtl w:val="0"/>
        </w:rPr>
        <w:t xml:space="preserve">los negocios se digitalicen con más facilidad y se desarrollen más rápidamente,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 sin importar a la industria a la que pertenezcan y así hacer posible el incremento de clientes y ventas. </w:t>
      </w:r>
    </w:p>
    <w:p w:rsidR="00000000" w:rsidDel="00000000" w:rsidP="00000000" w:rsidRDefault="00000000" w:rsidRPr="00000000" w14:paraId="00000011">
      <w:pPr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Montserrat" w:cs="Montserrat" w:eastAsia="Montserrat" w:hAnsi="Montserrat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Montserrat" w:cs="Montserrat" w:eastAsia="Montserrat" w:hAnsi="Montserrat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white"/>
          <w:rtl w:val="0"/>
        </w:rPr>
        <w:t xml:space="preserve">Digitalizarse o morir </w:t>
      </w:r>
    </w:p>
    <w:p w:rsidR="00000000" w:rsidDel="00000000" w:rsidP="00000000" w:rsidRDefault="00000000" w:rsidRPr="00000000" w14:paraId="00000014">
      <w:pPr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De diciembre de 2019 a julio de 2020, el promedio de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white"/>
          <w:rtl w:val="0"/>
        </w:rPr>
        <w:t xml:space="preserve">servicios y productos digitalizados a nivel mundial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 pasó de 35% a 55%, de acuerdo a datos de la consultoría estratégica global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highlight w:val="white"/>
            <w:u w:val="single"/>
            <w:rtl w:val="0"/>
          </w:rPr>
          <w:t xml:space="preserve">McKinsey &amp; Company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En el año venidero, las empresas tendrán que crear, innovar, y colaborar a un ritmo nunca antes imaginado. Dado el orden natural del mercado y lo que dicta el actual clima económico, la norma será modernizarse. Un claro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white"/>
          <w:rtl w:val="0"/>
        </w:rPr>
        <w:t xml:space="preserve">enfoque táctico de inversión en herramientas y soluciones de pago digitales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 es un catalizador para afrontar los retos que existen en el mundo y marcar la diferencia para ser competitivos en cada industria.  </w:t>
      </w:r>
    </w:p>
    <w:p w:rsidR="00000000" w:rsidDel="00000000" w:rsidP="00000000" w:rsidRDefault="00000000" w:rsidRPr="00000000" w14:paraId="00000018">
      <w:pPr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Acerca de Fiserv</w:t>
      </w:r>
    </w:p>
    <w:p w:rsidR="00000000" w:rsidDel="00000000" w:rsidP="00000000" w:rsidRDefault="00000000" w:rsidRPr="00000000" w14:paraId="0000001B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Fiserv, Inc. (NASDAQ: FISV) aspira a mover el dinero y la información de una manera que mueva el mundo. Como líder mundial en tecnología financiera y de pagos, la empresa ayuda a sus clientes a lograr los mejores resultados de su clase mediante un compromiso con la innovación y la excelencia en áreas como el procesamiento de cuentas y soluciones de banca digital; procesamiento de emisores de tarjetas y servicios de red; pagos; comercio electrónico; adquisición y procesamiento de comerciantes; y la solución de punto de venta basada en la nube Clover®. Fiserv es miembro del Índice S&amp;P 500® y de la FORTUNE® 500, y figura entre las empresas más admiradas del mundo por la revista FORTUNE®. Visite fiserv.com y siga en los medios sociales para obtener más información y las últimas noticias de la empresa.</w:t>
      </w:r>
    </w:p>
    <w:p w:rsidR="00000000" w:rsidDel="00000000" w:rsidP="00000000" w:rsidRDefault="00000000" w:rsidRPr="00000000" w14:paraId="0000001C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Facebook: 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@Fiserv</w:t>
        </w:r>
      </w:hyperlink>
      <w:r w:rsidDel="00000000" w:rsidR="00000000" w:rsidRPr="00000000">
        <w:rPr>
          <w:rFonts w:ascii="Montserrat" w:cs="Montserrat" w:eastAsia="Montserrat" w:hAnsi="Montserrat"/>
          <w:color w:val="1155cc"/>
          <w:sz w:val="20"/>
          <w:szCs w:val="20"/>
          <w:u w:val="single"/>
          <w:rtl w:val="0"/>
        </w:rPr>
        <w:t xml:space="preserve"> México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Instagram: </w:t>
      </w:r>
      <w:hyperlink r:id="rId9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@Fiserv</w:t>
        </w:r>
      </w:hyperlink>
      <w:r w:rsidDel="00000000" w:rsidR="00000000" w:rsidRPr="00000000">
        <w:rPr>
          <w:rFonts w:ascii="Montserrat" w:cs="Montserrat" w:eastAsia="Montserrat" w:hAnsi="Montserrat"/>
          <w:color w:val="1155cc"/>
          <w:sz w:val="20"/>
          <w:szCs w:val="20"/>
          <w:u w:val="single"/>
          <w:rtl w:val="0"/>
        </w:rPr>
        <w:t xml:space="preserve"> México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Sitio web: </w:t>
      </w:r>
      <w:hyperlink r:id="rId10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https://www.fiserv.com/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0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Contacto: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rtl w:val="0"/>
        </w:rPr>
        <w:t xml:space="preserve">EJECUTIVO DE CUENTA</w:t>
        <w:tab/>
        <w:tab/>
        <w:tab/>
        <w:tab/>
        <w:t xml:space="preserve">ASISTENTE DE CUENTA</w:t>
      </w:r>
    </w:p>
    <w:p w:rsidR="00000000" w:rsidDel="00000000" w:rsidP="00000000" w:rsidRDefault="00000000" w:rsidRPr="00000000" w14:paraId="00000024">
      <w:pPr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Jorge Sánchez</w:t>
        <w:tab/>
        <w:tab/>
        <w:tab/>
        <w:tab/>
        <w:tab/>
        <w:tab/>
        <w:t xml:space="preserve">Michelle Palma</w:t>
      </w:r>
    </w:p>
    <w:p w:rsidR="00000000" w:rsidDel="00000000" w:rsidP="00000000" w:rsidRDefault="00000000" w:rsidRPr="00000000" w14:paraId="00000025">
      <w:pPr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Another Company</w:t>
        <w:tab/>
        <w:tab/>
        <w:tab/>
        <w:tab/>
        <w:tab/>
        <w:t xml:space="preserve">Another Company</w:t>
      </w:r>
    </w:p>
    <w:p w:rsidR="00000000" w:rsidDel="00000000" w:rsidP="00000000" w:rsidRDefault="00000000" w:rsidRPr="00000000" w14:paraId="00000026">
      <w:pPr>
        <w:jc w:val="both"/>
        <w:rPr>
          <w:rFonts w:ascii="Montserrat" w:cs="Montserrat" w:eastAsia="Montserrat" w:hAnsi="Montserrat"/>
          <w:sz w:val="18"/>
          <w:szCs w:val="18"/>
        </w:rPr>
      </w:pPr>
      <w:hyperlink r:id="rId11">
        <w:r w:rsidDel="00000000" w:rsidR="00000000" w:rsidRPr="00000000">
          <w:rPr>
            <w:rFonts w:ascii="Montserrat" w:cs="Montserrat" w:eastAsia="Montserrat" w:hAnsi="Montserrat"/>
            <w:color w:val="1155cc"/>
            <w:sz w:val="18"/>
            <w:szCs w:val="18"/>
            <w:u w:val="single"/>
            <w:rtl w:val="0"/>
          </w:rPr>
          <w:t xml:space="preserve">jorge.sanchez@another.co</w:t>
        </w:r>
      </w:hyperlink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ab/>
        <w:tab/>
        <w:tab/>
        <w:tab/>
      </w:r>
      <w:hyperlink r:id="rId12">
        <w:r w:rsidDel="00000000" w:rsidR="00000000" w:rsidRPr="00000000">
          <w:rPr>
            <w:rFonts w:ascii="Montserrat" w:cs="Montserrat" w:eastAsia="Montserrat" w:hAnsi="Montserrat"/>
            <w:color w:val="1155cc"/>
            <w:sz w:val="18"/>
            <w:szCs w:val="18"/>
            <w:u w:val="single"/>
            <w:rtl w:val="0"/>
          </w:rPr>
          <w:t xml:space="preserve">michelle.palma@another.co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55 4369 3607</w:t>
        <w:tab/>
        <w:tab/>
        <w:tab/>
        <w:tab/>
        <w:tab/>
        <w:tab/>
        <w:t xml:space="preserve">55 2299 6398</w:t>
      </w:r>
      <w:r w:rsidDel="00000000" w:rsidR="00000000" w:rsidRPr="00000000">
        <w:rPr>
          <w:rtl w:val="0"/>
        </w:rPr>
      </w:r>
    </w:p>
    <w:sectPr>
      <w:headerReference r:id="rId13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tabs>
        <w:tab w:val="center" w:pos="4419"/>
        <w:tab w:val="right" w:pos="8838"/>
        <w:tab w:val="left" w:pos="3450"/>
      </w:tabs>
      <w:spacing w:line="240" w:lineRule="auto"/>
      <w:rPr>
        <w:rFonts w:ascii="Open Sans" w:cs="Open Sans" w:eastAsia="Open Sans" w:hAnsi="Open Sans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697609" cy="875966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7609" cy="87596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jc w:val="right"/>
      <w:rPr>
        <w:rFonts w:ascii="Open Sans" w:cs="Open Sans" w:eastAsia="Open Sans" w:hAnsi="Open Sans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spacing w:after="160" w:line="259" w:lineRule="auto"/>
      <w:rPr>
        <w:rFonts w:ascii="Open Sans" w:cs="Open Sans" w:eastAsia="Open Sans" w:hAnsi="Open Sans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5731200" cy="6350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3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jorge.sanchez@another.co" TargetMode="External"/><Relationship Id="rId10" Type="http://schemas.openxmlformats.org/officeDocument/2006/relationships/hyperlink" Target="https://www.fiserv.com/" TargetMode="External"/><Relationship Id="rId13" Type="http://schemas.openxmlformats.org/officeDocument/2006/relationships/header" Target="header1.xml"/><Relationship Id="rId12" Type="http://schemas.openxmlformats.org/officeDocument/2006/relationships/hyperlink" Target="mailto:michelle.palma@another.c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witter.com/fiserv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mckinsey.com/business-functions/strategy-and-corporate-finance/our-insights/how-covid-19-has-pushed-companies-over-the-technology-tipping-point-and-transformed-business-forever" TargetMode="External"/><Relationship Id="rId8" Type="http://schemas.openxmlformats.org/officeDocument/2006/relationships/hyperlink" Target="https://www.facebook.com/Fiserv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DHU5wk3dW/2ydUE4H/+Kopi+bA==">AMUW2mVe6K3Obx21//kUiw+3tEXkpGRP8JROPxBvYAjDA3Zsi4Jf0jMHSROI+0Hb9tSQwXAlBsunlFdgxnuUCV9Y/LVkeUaxUkG3OAImV3+YCty6NBP1xEA=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2020-12-24T05:59:00Z</dcterms:created>
  <dc:creator>First Data</dc:creator>
</cp:coreProperties>
</file>